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Knowledge Base Update Memo</w:t>
      </w:r>
    </w:p>
    <w:p>
      <w:r>
        <w:rPr>
          <w:b/>
        </w:rPr>
        <w:t xml:space="preserve">Document ID: </w:t>
      </w:r>
      <w:r>
        <w:t xml:space="preserve">VAL-CS-005   </w:t>
      </w:r>
      <w:r>
        <w:rPr>
          <w:b/>
        </w:rPr>
        <w:t xml:space="preserve">Department: </w:t>
      </w:r>
      <w:r>
        <w:t xml:space="preserve">Customer Success &amp; Support   </w:t>
      </w:r>
      <w:r>
        <w:rPr>
          <w:b/>
        </w:rPr>
        <w:t xml:space="preserve">Confidentiality: </w:t>
      </w:r>
      <w:r>
        <w:t xml:space="preserve">Internal Use Only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Support Enablement Manager</w:t>
            </w:r>
          </w:p>
        </w:tc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Internal memo</w:t>
            </w:r>
          </w:p>
        </w:tc>
      </w:tr>
      <w:tr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2026-02-10</w:t>
            </w:r>
          </w:p>
        </w:tc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2026-08-10</w:t>
            </w:r>
          </w:p>
        </w:tc>
      </w:tr>
    </w:tbl>
    <w:p>
      <w:r>
        <w:t>Purpose: Announces the quarterly refresh of the Customer Success and Support knowledge base and clarifies what content types must be updated after product changes, incident learnings, and deployment-process adjustments. This memo supports retrieval around knowledge base, article ownership, obsolete guidance, and documentation hygiene.</w:t>
      </w:r>
    </w:p>
    <w:p>
      <w:pPr>
        <w:pStyle w:val="Heading1"/>
      </w:pPr>
      <w:r>
        <w:t>What changed in this update cycle</w:t>
      </w:r>
    </w:p>
    <w:p>
      <w:pPr>
        <w:ind w:left="288" w:hanging="216"/>
      </w:pPr>
      <w:r>
        <w:rPr>
          <w:b/>
        </w:rPr>
        <w:t xml:space="preserve">• </w:t>
      </w:r>
      <w:r>
        <w:t>Support runbooks now include explicit links to gateway heartbeat troubleshooting and scanner re-pair procedures used during go-live incidents.</w:t>
      </w:r>
    </w:p>
    <w:p>
      <w:pPr>
        <w:ind w:left="288" w:hanging="216"/>
      </w:pPr>
      <w:r>
        <w:rPr>
          <w:b/>
        </w:rPr>
        <w:t xml:space="preserve">• </w:t>
      </w:r>
      <w:r>
        <w:t>The onboarding library has a new cutover checklist aligned with the Product launch-readiness process and the Engineering release-freeze notice.</w:t>
      </w:r>
    </w:p>
    <w:p>
      <w:pPr>
        <w:ind w:left="288" w:hanging="216"/>
      </w:pPr>
      <w:r>
        <w:rPr>
          <w:b/>
        </w:rPr>
        <w:t xml:space="preserve">• </w:t>
      </w:r>
      <w:r>
        <w:t>Several legacy screenshots and retired v1 API references were removed to reduce confusion during ticket handling and customer training.</w:t>
      </w:r>
    </w:p>
    <w:p>
      <w:pPr>
        <w:pStyle w:val="Heading1"/>
      </w:pPr>
      <w:r>
        <w:t>Required article ownership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33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33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Refresh trigger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Troubleshooting runbook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Support enablement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Incident RCA identifies a new repeatable resolution path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Onboarding checklist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Implementation success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Launch workflow or warehouse process changes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Customer-facing training note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 enablement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New feature rollout or UI workflow change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Known issue article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Support with Engineering reviewer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Workaround changes or defect state materially shifts</w:t>
            </w:r>
          </w:p>
        </w:tc>
      </w:tr>
    </w:tbl>
    <w:p>
      <w:pPr>
        <w:pStyle w:val="Heading1"/>
      </w:pPr>
      <w:r>
        <w:t>Retirement and hygiene rules</w:t>
      </w:r>
    </w:p>
    <w:p>
      <w:pPr>
        <w:ind w:left="288" w:hanging="216"/>
      </w:pPr>
      <w:r>
        <w:rPr>
          <w:b/>
        </w:rPr>
        <w:t xml:space="preserve">• </w:t>
      </w:r>
      <w:r>
        <w:t>Articles older than twelve months must be reviewed for outdated screenshots, retired terms, and stale escalation paths.</w:t>
      </w:r>
    </w:p>
    <w:p>
      <w:pPr>
        <w:ind w:left="288" w:hanging="216"/>
      </w:pPr>
      <w:r>
        <w:rPr>
          <w:b/>
        </w:rPr>
        <w:t xml:space="preserve">• </w:t>
      </w:r>
      <w:r>
        <w:t>If a workaround is no longer valid, the article must be archived or rewritten within five business days of confirmation.</w:t>
      </w:r>
    </w:p>
    <w:p>
      <w:pPr>
        <w:ind w:left="288" w:hanging="216"/>
      </w:pPr>
      <w:r>
        <w:rPr>
          <w:b/>
        </w:rPr>
        <w:t xml:space="preserve">• </w:t>
      </w:r>
      <w:r>
        <w:t>Do not duplicate nearly identical articles by team. Prefer one controlled source with clear audience labels.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