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42F4F"/>
          <w:sz w:val="40"/>
        </w:rPr>
        <w:t>OrchestrAI Engineering Incident RCA</w:t>
      </w:r>
    </w:p>
    <w:p>
      <w:pPr>
        <w:jc w:val="center"/>
      </w:pPr>
      <w:r>
        <w:rPr>
          <w:i/>
          <w:color w:val="5A5A5A"/>
          <w:sz w:val="20"/>
        </w:rPr>
        <w:t>VAL-ENG-004  |  Event Processor Timeout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656"/>
            <w:vAlign w:val="center"/>
            <w:tcMar>
              <w:top w:w="90" w:type="dxa"/>
              <w:start w:w="100" w:type="dxa"/>
              <w:bottom w:w="90" w:type="dxa"/>
              <w:end w:w="100" w:type="dxa"/>
            </w:tcMar>
            <w:shd w:fill="D9EAF7"/>
          </w:tcPr>
          <w:p>
            <w:r>
              <w:rPr>
                <w:b/>
              </w:rPr>
              <w:t>Department</w:t>
            </w:r>
          </w:p>
        </w:tc>
        <w:tc>
          <w:tcPr>
            <w:tcW w:type="dxa" w:w="2952"/>
            <w:vAlign w:val="center"/>
            <w:tcMar>
              <w:top w:w="90" w:type="dxa"/>
              <w:start w:w="100" w:type="dxa"/>
              <w:bottom w:w="90" w:type="dxa"/>
              <w:end w:w="100" w:type="dxa"/>
            </w:tcMar>
          </w:tcPr>
          <w:p>
            <w:r>
              <w:t>Engineering Platform</w:t>
            </w:r>
          </w:p>
        </w:tc>
        <w:tc>
          <w:tcPr>
            <w:tcW w:type="dxa" w:w="1656"/>
            <w:vAlign w:val="center"/>
            <w:tcMar>
              <w:top w:w="90" w:type="dxa"/>
              <w:start w:w="100" w:type="dxa"/>
              <w:bottom w:w="90" w:type="dxa"/>
              <w:end w:w="100" w:type="dxa"/>
            </w:tcMar>
            <w:shd w:fill="D9EAF7"/>
          </w:tcPr>
          <w:p>
            <w:r>
              <w:rPr>
                <w:b/>
              </w:rPr>
              <w:t>Owner</w:t>
            </w:r>
          </w:p>
        </w:tc>
        <w:tc>
          <w:tcPr>
            <w:tcW w:type="dxa" w:w="2952"/>
            <w:vAlign w:val="center"/>
            <w:tcMar>
              <w:top w:w="90" w:type="dxa"/>
              <w:start w:w="100" w:type="dxa"/>
              <w:bottom w:w="90" w:type="dxa"/>
              <w:end w:w="100" w:type="dxa"/>
            </w:tcMar>
          </w:tcPr>
          <w:p>
            <w:r>
              <w:t>Platform Reliability Team</w:t>
            </w:r>
          </w:p>
        </w:tc>
      </w:tr>
      <w:tr>
        <w:tc>
          <w:tcPr>
            <w:tcW w:type="dxa" w:w="1656"/>
            <w:vAlign w:val="center"/>
            <w:tcMar>
              <w:top w:w="90" w:type="dxa"/>
              <w:start w:w="100" w:type="dxa"/>
              <w:bottom w:w="90" w:type="dxa"/>
              <w:end w:w="100" w:type="dxa"/>
            </w:tcMar>
            <w:shd w:fill="D9EAF7"/>
          </w:tcPr>
          <w:p>
            <w:r>
              <w:rPr>
                <w:b/>
              </w:rPr>
              <w:t>Severity</w:t>
            </w:r>
          </w:p>
        </w:tc>
        <w:tc>
          <w:tcPr>
            <w:tcW w:type="dxa" w:w="2952"/>
            <w:vAlign w:val="center"/>
            <w:tcMar>
              <w:top w:w="90" w:type="dxa"/>
              <w:start w:w="100" w:type="dxa"/>
              <w:bottom w:w="90" w:type="dxa"/>
              <w:end w:w="100" w:type="dxa"/>
            </w:tcMar>
          </w:tcPr>
          <w:p>
            <w:r>
              <w:t>SEV-2</w:t>
            </w:r>
          </w:p>
        </w:tc>
        <w:tc>
          <w:tcPr>
            <w:tcW w:type="dxa" w:w="1656"/>
            <w:vAlign w:val="center"/>
            <w:tcMar>
              <w:top w:w="90" w:type="dxa"/>
              <w:start w:w="100" w:type="dxa"/>
              <w:bottom w:w="90" w:type="dxa"/>
              <w:end w:w="100" w:type="dxa"/>
            </w:tcMar>
            <w:shd w:fill="D9EAF7"/>
          </w:tcPr>
          <w:p>
            <w:r>
              <w:rPr>
                <w:b/>
              </w:rPr>
              <w:t>Status</w:t>
            </w:r>
          </w:p>
        </w:tc>
        <w:tc>
          <w:tcPr>
            <w:tcW w:type="dxa" w:w="2952"/>
            <w:vAlign w:val="center"/>
            <w:tcMar>
              <w:top w:w="90" w:type="dxa"/>
              <w:start w:w="100" w:type="dxa"/>
              <w:bottom w:w="90" w:type="dxa"/>
              <w:end w:w="100" w:type="dxa"/>
            </w:tcMar>
          </w:tcPr>
          <w:p>
            <w:r>
              <w:t>Closed</w:t>
            </w:r>
          </w:p>
        </w:tc>
      </w:tr>
      <w:tr>
        <w:tc>
          <w:tcPr>
            <w:tcW w:type="dxa" w:w="1656"/>
            <w:vAlign w:val="center"/>
            <w:tcMar>
              <w:top w:w="90" w:type="dxa"/>
              <w:start w:w="100" w:type="dxa"/>
              <w:bottom w:w="90" w:type="dxa"/>
              <w:end w:w="100" w:type="dxa"/>
            </w:tcMar>
            <w:shd w:fill="D9EAF7"/>
          </w:tcPr>
          <w:p>
            <w:r>
              <w:rPr>
                <w:b/>
              </w:rPr>
              <w:t>Incident Start</w:t>
            </w:r>
          </w:p>
        </w:tc>
        <w:tc>
          <w:tcPr>
            <w:tcW w:type="dxa" w:w="2952"/>
            <w:vAlign w:val="center"/>
            <w:tcMar>
              <w:top w:w="90" w:type="dxa"/>
              <w:start w:w="100" w:type="dxa"/>
              <w:bottom w:w="90" w:type="dxa"/>
              <w:end w:w="100" w:type="dxa"/>
            </w:tcMar>
          </w:tcPr>
          <w:p>
            <w:r>
              <w:t>2026-01-14 09:12 UTC</w:t>
            </w:r>
          </w:p>
        </w:tc>
        <w:tc>
          <w:tcPr>
            <w:tcW w:type="dxa" w:w="1656"/>
            <w:vAlign w:val="center"/>
            <w:tcMar>
              <w:top w:w="90" w:type="dxa"/>
              <w:start w:w="100" w:type="dxa"/>
              <w:bottom w:w="90" w:type="dxa"/>
              <w:end w:w="100" w:type="dxa"/>
            </w:tcMar>
            <w:shd w:fill="D9EAF7"/>
          </w:tcPr>
          <w:p>
            <w:r>
              <w:rPr>
                <w:b/>
              </w:rPr>
              <w:t>Mitigation Complete</w:t>
            </w:r>
          </w:p>
        </w:tc>
        <w:tc>
          <w:tcPr>
            <w:tcW w:type="dxa" w:w="2952"/>
            <w:vAlign w:val="center"/>
            <w:tcMar>
              <w:top w:w="90" w:type="dxa"/>
              <w:start w:w="100" w:type="dxa"/>
              <w:bottom w:w="90" w:type="dxa"/>
              <w:end w:w="100" w:type="dxa"/>
            </w:tcMar>
          </w:tcPr>
          <w:p>
            <w:r>
              <w:t>2026-01-14 10:26 UTC</w:t>
            </w:r>
          </w:p>
        </w:tc>
      </w:tr>
      <w:tr>
        <w:tc>
          <w:tcPr>
            <w:tcW w:type="dxa" w:w="1656"/>
            <w:vAlign w:val="center"/>
            <w:tcMar>
              <w:top w:w="90" w:type="dxa"/>
              <w:start w:w="100" w:type="dxa"/>
              <w:bottom w:w="90" w:type="dxa"/>
              <w:end w:w="100" w:type="dxa"/>
            </w:tcMar>
            <w:shd w:fill="D9EAF7"/>
          </w:tcPr>
          <w:p>
            <w:r>
              <w:rPr>
                <w:b/>
              </w:rPr>
              <w:t>Customer Impact</w:t>
            </w:r>
          </w:p>
        </w:tc>
        <w:tc>
          <w:tcPr>
            <w:tcW w:type="dxa" w:w="2952"/>
            <w:vAlign w:val="center"/>
            <w:tcMar>
              <w:top w:w="90" w:type="dxa"/>
              <w:start w:w="100" w:type="dxa"/>
              <w:bottom w:w="90" w:type="dxa"/>
              <w:end w:w="100" w:type="dxa"/>
            </w:tcMar>
          </w:tcPr>
          <w:p>
            <w:r>
              <w:t>Moderate</w:t>
            </w:r>
          </w:p>
        </w:tc>
        <w:tc>
          <w:tcPr>
            <w:tcW w:type="dxa" w:w="1656"/>
            <w:vAlign w:val="center"/>
            <w:tcMar>
              <w:top w:w="90" w:type="dxa"/>
              <w:start w:w="100" w:type="dxa"/>
              <w:bottom w:w="90" w:type="dxa"/>
              <w:end w:w="100" w:type="dxa"/>
            </w:tcMar>
            <w:shd w:fill="D9EAF7"/>
          </w:tcPr>
          <w:p>
            <w:r>
              <w:rPr>
                <w:b/>
              </w:rPr>
              <w:t>Postmortem Date</w:t>
            </w:r>
          </w:p>
        </w:tc>
        <w:tc>
          <w:tcPr>
            <w:tcW w:type="dxa" w:w="2952"/>
            <w:vAlign w:val="center"/>
            <w:tcMar>
              <w:top w:w="90" w:type="dxa"/>
              <w:start w:w="100" w:type="dxa"/>
              <w:bottom w:w="90" w:type="dxa"/>
              <w:end w:w="100" w:type="dxa"/>
            </w:tcMar>
          </w:tcPr>
          <w:p>
            <w:r>
              <w:t>2026-01-17</w:t>
            </w:r>
          </w:p>
        </w:tc>
      </w:tr>
    </w:tbl>
    <w:p/>
    <w:tbl>
      <w:tblPr>
        <w:tblStyle w:val="TableGrid"/>
        <w:tblW w:type="auto" w:w="0"/>
        <w:jc w:val="center"/>
        <w:tblLook w:firstColumn="1" w:firstRow="1" w:lastColumn="0" w:lastRow="0" w:noHBand="0" w:noVBand="1" w:val="04A0"/>
      </w:tblPr>
      <w:tblGrid>
        <w:gridCol w:w="10080"/>
      </w:tblGrid>
      <w:tr>
        <w:tc>
          <w:tcPr>
            <w:tcW w:type="dxa" w:w="10080"/>
            <w:vAlign w:val="center"/>
            <w:tcMar>
              <w:top w:w="90" w:type="dxa"/>
              <w:start w:w="100" w:type="dxa"/>
              <w:bottom w:w="90" w:type="dxa"/>
              <w:end w:w="100" w:type="dxa"/>
            </w:tcMar>
            <w:shd w:fill="EAF4EA"/>
          </w:tcPr>
          <w:p>
            <w:r>
              <w:rPr>
                <w:b/>
              </w:rPr>
              <w:t xml:space="preserve">Executive summary: </w:t>
            </w:r>
            <w:r>
              <w:t>A timeout regression in the event-processor worker pool caused delayed command execution for edge gateways in three regions. The incident did not corrupt data, but queued device actions exceeded the customer-facing execution SLA until concurrency limits were raised and a retry policy defect was patched.</w:t>
            </w:r>
          </w:p>
        </w:tc>
      </w:tr>
    </w:tbl>
    <w:p>
      <w:pPr>
        <w:pStyle w:val="Heading1"/>
      </w:pPr>
      <w:r>
        <w:t>1. Services and scope</w:t>
      </w:r>
    </w:p>
    <w:p>
      <w:r>
        <w:t>The affected service was the Event Processor, a core platform component that consumes orchestration commands from the control-plane queue and dispatches them to gateway clusters. The service is used for configuration pushes, routing-plan activation, and device health remediation jobs.</w:t>
      </w:r>
    </w:p>
    <w:p>
      <w:r>
        <w:t>Customer-visible impact was highest for tenants using scheduled workflow execution between 09:00 and 10:00 UTC. Internal analytics ingestion remained healthy, but command acknowledgements from edge nodes were delayed beyond normal thresholds.</w:t>
      </w:r>
    </w:p>
    <w:p>
      <w:pPr>
        <w:pStyle w:val="Heading1"/>
      </w:pPr>
      <w:r>
        <w:t>2. Timeline of events</w:t>
      </w:r>
    </w:p>
    <w:tbl>
      <w:tblPr>
        <w:tblStyle w:val="TableGrid"/>
        <w:tblW w:type="auto" w:w="0"/>
        <w:jc w:val="center"/>
        <w:tblLayout w:type="fixed"/>
        <w:tblLook w:firstColumn="1" w:firstRow="1" w:lastColumn="0" w:lastRow="0" w:noHBand="0" w:noVBand="1" w:val="04A0"/>
      </w:tblPr>
      <w:tblGrid>
        <w:gridCol w:w="5040"/>
        <w:gridCol w:w="5040"/>
      </w:tblGrid>
      <w:tr>
        <w:tc>
          <w:tcPr>
            <w:tcW w:type="dxa" w:w="1728"/>
            <w:vAlign w:val="center"/>
            <w:tcMar>
              <w:top w:w="90" w:type="dxa"/>
              <w:start w:w="100" w:type="dxa"/>
              <w:bottom w:w="90" w:type="dxa"/>
              <w:end w:w="100" w:type="dxa"/>
            </w:tcMar>
            <w:shd w:fill="D9EAF7"/>
          </w:tcPr>
          <w:p>
            <w:r>
              <w:rPr>
                <w:b/>
              </w:rPr>
              <w:t>Time</w:t>
            </w:r>
          </w:p>
        </w:tc>
        <w:tc>
          <w:tcPr>
            <w:tcW w:type="dxa" w:w="8352"/>
            <w:vAlign w:val="center"/>
            <w:tcMar>
              <w:top w:w="90" w:type="dxa"/>
              <w:start w:w="100" w:type="dxa"/>
              <w:bottom w:w="90" w:type="dxa"/>
              <w:end w:w="100" w:type="dxa"/>
            </w:tcMar>
            <w:shd w:fill="D9EAF7"/>
          </w:tcPr>
          <w:p>
            <w:r>
              <w:rPr>
                <w:b/>
              </w:rPr>
              <w:t>Event</w:t>
            </w:r>
          </w:p>
        </w:tc>
      </w:tr>
      <w:tr>
        <w:tc>
          <w:tcPr>
            <w:tcW w:type="dxa" w:w="5040"/>
          </w:tcPr>
          <w:p>
            <w:r>
              <w:t>09:12</w:t>
            </w:r>
          </w:p>
        </w:tc>
        <w:tc>
          <w:tcPr>
            <w:tcW w:type="dxa" w:w="5040"/>
          </w:tcPr>
          <w:p>
            <w:r>
              <w:t>Duty alerts fired for queue-depth and worker-latency thresholds in EU-Central.</w:t>
            </w:r>
          </w:p>
        </w:tc>
      </w:tr>
      <w:tr>
        <w:tc>
          <w:tcPr>
            <w:tcW w:type="dxa" w:w="5040"/>
          </w:tcPr>
          <w:p>
            <w:r>
              <w:t>09:18</w:t>
            </w:r>
          </w:p>
        </w:tc>
        <w:tc>
          <w:tcPr>
            <w:tcW w:type="dxa" w:w="5040"/>
          </w:tcPr>
          <w:p>
            <w:r>
              <w:t>On-call engineer confirmed rising backlog and opened SEV-2 incident bridge.</w:t>
            </w:r>
          </w:p>
        </w:tc>
      </w:tr>
      <w:tr>
        <w:tc>
          <w:tcPr>
            <w:tcW w:type="dxa" w:w="5040"/>
          </w:tcPr>
          <w:p>
            <w:r>
              <w:t>09:27</w:t>
            </w:r>
          </w:p>
        </w:tc>
        <w:tc>
          <w:tcPr>
            <w:tcW w:type="dxa" w:w="5040"/>
          </w:tcPr>
          <w:p>
            <w:r>
              <w:t>Traffic comparison showed regression began after worker image 3.18.4 rollout.</w:t>
            </w:r>
          </w:p>
        </w:tc>
      </w:tr>
      <w:tr>
        <w:tc>
          <w:tcPr>
            <w:tcW w:type="dxa" w:w="5040"/>
          </w:tcPr>
          <w:p>
            <w:r>
              <w:t>09:41</w:t>
            </w:r>
          </w:p>
        </w:tc>
        <w:tc>
          <w:tcPr>
            <w:tcW w:type="dxa" w:w="5040"/>
          </w:tcPr>
          <w:p>
            <w:r>
              <w:t>Rollback attempted; backlog continued due to retry storm from stuck tasks.</w:t>
            </w:r>
          </w:p>
        </w:tc>
      </w:tr>
      <w:tr>
        <w:tc>
          <w:tcPr>
            <w:tcW w:type="dxa" w:w="5040"/>
          </w:tcPr>
          <w:p>
            <w:r>
              <w:t>09:56</w:t>
            </w:r>
          </w:p>
        </w:tc>
        <w:tc>
          <w:tcPr>
            <w:tcW w:type="dxa" w:w="5040"/>
          </w:tcPr>
          <w:p>
            <w:r>
              <w:t>Temporary worker concurrency override applied to primary processing pool.</w:t>
            </w:r>
          </w:p>
        </w:tc>
      </w:tr>
      <w:tr>
        <w:tc>
          <w:tcPr>
            <w:tcW w:type="dxa" w:w="5040"/>
          </w:tcPr>
          <w:p>
            <w:r>
              <w:t>10:08</w:t>
            </w:r>
          </w:p>
        </w:tc>
        <w:tc>
          <w:tcPr>
            <w:tcW w:type="dxa" w:w="5040"/>
          </w:tcPr>
          <w:p>
            <w:r>
              <w:t>Queue depth fell below paging threshold; new task latency normalized.</w:t>
            </w:r>
          </w:p>
        </w:tc>
      </w:tr>
      <w:tr>
        <w:tc>
          <w:tcPr>
            <w:tcW w:type="dxa" w:w="5040"/>
          </w:tcPr>
          <w:p>
            <w:r>
              <w:t>10:26</w:t>
            </w:r>
          </w:p>
        </w:tc>
        <w:tc>
          <w:tcPr>
            <w:tcW w:type="dxa" w:w="5040"/>
          </w:tcPr>
          <w:p>
            <w:r>
              <w:t>Mitigation complete and customer communications updated.</w:t>
            </w:r>
          </w:p>
        </w:tc>
      </w:tr>
      <w:tr>
        <w:tc>
          <w:tcPr>
            <w:tcW w:type="dxa" w:w="5040"/>
          </w:tcPr>
          <w:p>
            <w:r>
              <w:t>2026-01-17</w:t>
            </w:r>
          </w:p>
        </w:tc>
        <w:tc>
          <w:tcPr>
            <w:tcW w:type="dxa" w:w="5040"/>
          </w:tcPr>
          <w:p>
            <w:r>
              <w:t>Root cause review completed; permanent actions assigned.</w:t>
            </w:r>
          </w:p>
        </w:tc>
      </w:tr>
    </w:tbl>
    <w:p/>
    <w:p>
      <w:pPr>
        <w:pStyle w:val="Heading1"/>
      </w:pPr>
      <w:r>
        <w:t>3. Root cause analysis</w:t>
      </w:r>
    </w:p>
    <w:p>
      <w:r>
        <w:t>The primary trigger was a code-path change introduced in worker image 3.18.4. A new timeout wrapper treated downstream acknowledgement waits as retryable without applying the intended jitter cap. When gateway acknowledgements slowed under normal peak load, the wrapper spawned repeated retries on the same task group.</w:t>
      </w:r>
    </w:p>
    <w:p>
      <w:r>
        <w:t>The retry storm increased lock contention inside the worker pool, which reduced effective throughput and pushed queue depth above the autoscaling assumptions. Because the rollback left already-queued retry-heavy tasks in place, latency did not immediately recover until concurrency and retry guardrails were adjusted.</w:t>
      </w:r>
    </w:p>
    <w:p>
      <w:r>
        <w:t>Contributing factors included an incomplete load-test profile for command bursts, an alert tuned to queue depth rather than duplicate-task growth, and a release checklist that did not require explicit validation of retry policy changes.</w:t>
      </w:r>
    </w:p>
    <w:p>
      <w:pPr>
        <w:pStyle w:val="Heading1"/>
      </w:pPr>
      <w:r>
        <w:t>4. Impact assessment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944"/>
            <w:vAlign w:val="center"/>
            <w:tcMar>
              <w:top w:w="90" w:type="dxa"/>
              <w:start w:w="100" w:type="dxa"/>
              <w:bottom w:w="90" w:type="dxa"/>
              <w:end w:w="100" w:type="dxa"/>
            </w:tcMar>
            <w:shd w:fill="D9EAF7"/>
          </w:tcPr>
          <w:p>
            <w:r>
              <w:rPr>
                <w:b/>
              </w:rPr>
              <w:t>Metric</w:t>
            </w:r>
          </w:p>
        </w:tc>
        <w:tc>
          <w:tcPr>
            <w:tcW w:type="dxa" w:w="2232"/>
            <w:vAlign w:val="center"/>
            <w:tcMar>
              <w:top w:w="90" w:type="dxa"/>
              <w:start w:w="100" w:type="dxa"/>
              <w:bottom w:w="90" w:type="dxa"/>
              <w:end w:w="100" w:type="dxa"/>
            </w:tcMar>
            <w:shd w:fill="D9EAF7"/>
          </w:tcPr>
          <w:p>
            <w:r>
              <w:rPr>
                <w:b/>
              </w:rPr>
              <w:t>Observed</w:t>
            </w:r>
          </w:p>
        </w:tc>
        <w:tc>
          <w:tcPr>
            <w:tcW w:type="dxa" w:w="2448"/>
            <w:vAlign w:val="center"/>
            <w:tcMar>
              <w:top w:w="90" w:type="dxa"/>
              <w:start w:w="100" w:type="dxa"/>
              <w:bottom w:w="90" w:type="dxa"/>
              <w:end w:w="100" w:type="dxa"/>
            </w:tcMar>
            <w:shd w:fill="D9EAF7"/>
          </w:tcPr>
          <w:p>
            <w:r>
              <w:rPr>
                <w:b/>
              </w:rPr>
              <w:t>SLA / Target</w:t>
            </w:r>
          </w:p>
        </w:tc>
        <w:tc>
          <w:tcPr>
            <w:tcW w:type="dxa" w:w="3456"/>
            <w:vAlign w:val="center"/>
            <w:tcMar>
              <w:top w:w="90" w:type="dxa"/>
              <w:start w:w="100" w:type="dxa"/>
              <w:bottom w:w="90" w:type="dxa"/>
              <w:end w:w="100" w:type="dxa"/>
            </w:tcMar>
            <w:shd w:fill="D9EAF7"/>
          </w:tcPr>
          <w:p>
            <w:r>
              <w:rPr>
                <w:b/>
              </w:rPr>
              <w:t>Notes</w:t>
            </w:r>
          </w:p>
        </w:tc>
      </w:tr>
      <w:tr>
        <w:tc>
          <w:tcPr>
            <w:tcW w:type="dxa" w:w="2520"/>
          </w:tcPr>
          <w:p>
            <w:r>
              <w:t>Peak queue depth</w:t>
            </w:r>
          </w:p>
        </w:tc>
        <w:tc>
          <w:tcPr>
            <w:tcW w:type="dxa" w:w="2520"/>
          </w:tcPr>
          <w:p>
            <w:r>
              <w:t>148k tasks</w:t>
            </w:r>
          </w:p>
        </w:tc>
        <w:tc>
          <w:tcPr>
            <w:tcW w:type="dxa" w:w="2520"/>
          </w:tcPr>
          <w:p>
            <w:r>
              <w:t>&lt; 25k tasks</w:t>
            </w:r>
          </w:p>
        </w:tc>
        <w:tc>
          <w:tcPr>
            <w:tcW w:type="dxa" w:w="2520"/>
          </w:tcPr>
          <w:p>
            <w:r>
              <w:t>Driven by duplicate retry enqueueing</w:t>
            </w:r>
          </w:p>
        </w:tc>
      </w:tr>
      <w:tr>
        <w:tc>
          <w:tcPr>
            <w:tcW w:type="dxa" w:w="2520"/>
          </w:tcPr>
          <w:p>
            <w:r>
              <w:t>P95 task latency</w:t>
            </w:r>
          </w:p>
        </w:tc>
        <w:tc>
          <w:tcPr>
            <w:tcW w:type="dxa" w:w="2520"/>
          </w:tcPr>
          <w:p>
            <w:r>
              <w:t>18m 24s</w:t>
            </w:r>
          </w:p>
        </w:tc>
        <w:tc>
          <w:tcPr>
            <w:tcW w:type="dxa" w:w="2520"/>
          </w:tcPr>
          <w:p>
            <w:r>
              <w:t>&lt; 2m</w:t>
            </w:r>
          </w:p>
        </w:tc>
        <w:tc>
          <w:tcPr>
            <w:tcW w:type="dxa" w:w="2520"/>
          </w:tcPr>
          <w:p>
            <w:r>
              <w:t>Most visible in EU-Central and US-East</w:t>
            </w:r>
          </w:p>
        </w:tc>
      </w:tr>
      <w:tr>
        <w:tc>
          <w:tcPr>
            <w:tcW w:type="dxa" w:w="2520"/>
          </w:tcPr>
          <w:p>
            <w:r>
              <w:t>Tenants materially affected</w:t>
            </w:r>
          </w:p>
        </w:tc>
        <w:tc>
          <w:tcPr>
            <w:tcW w:type="dxa" w:w="2520"/>
          </w:tcPr>
          <w:p>
            <w:r>
              <w:t>27</w:t>
            </w:r>
          </w:p>
        </w:tc>
        <w:tc>
          <w:tcPr>
            <w:tcW w:type="dxa" w:w="2520"/>
          </w:tcPr>
          <w:p>
            <w:r>
              <w:t>0</w:t>
            </w:r>
          </w:p>
        </w:tc>
        <w:tc>
          <w:tcPr>
            <w:tcW w:type="dxa" w:w="2520"/>
          </w:tcPr>
          <w:p>
            <w:r>
              <w:t>Customers with scheduled command windows</w:t>
            </w:r>
          </w:p>
        </w:tc>
      </w:tr>
      <w:tr>
        <w:tc>
          <w:tcPr>
            <w:tcW w:type="dxa" w:w="2520"/>
          </w:tcPr>
          <w:p>
            <w:r>
              <w:t>Data integrity incidents</w:t>
            </w:r>
          </w:p>
        </w:tc>
        <w:tc>
          <w:tcPr>
            <w:tcW w:type="dxa" w:w="2520"/>
          </w:tcPr>
          <w:p>
            <w:r>
              <w:t>0</w:t>
            </w:r>
          </w:p>
        </w:tc>
        <w:tc>
          <w:tcPr>
            <w:tcW w:type="dxa" w:w="2520"/>
          </w:tcPr>
          <w:p>
            <w:r>
              <w:t>0</w:t>
            </w:r>
          </w:p>
        </w:tc>
        <w:tc>
          <w:tcPr>
            <w:tcW w:type="dxa" w:w="2520"/>
          </w:tcPr>
          <w:p>
            <w:r>
              <w:t>No payload corruption or lost audit events</w:t>
            </w:r>
          </w:p>
        </w:tc>
      </w:tr>
    </w:tbl>
    <w:p/>
    <w:p>
      <w:pPr>
        <w:pStyle w:val="Heading1"/>
      </w:pPr>
      <w:r>
        <w:t>5. Detection and response effectiveness</w:t>
      </w:r>
    </w:p>
    <w:p>
      <w:r>
        <w:t>Detection was timely but diagnosis lagged because the primary dashboard emphasized queue depth and worker CPU rather than duplicate retry growth. The team identified the release correlation within 15 minutes, but the first rollback action was insufficient because retry-amplified tasks were already resident in the queue.</w:t>
      </w:r>
    </w:p>
    <w:p>
      <w:r>
        <w:t>The incident bridge, customer-status coordination, and mitigation ownership were handled according to the engineering runbook. However, customer success teams requested earlier plain-language summaries to distinguish delayed execution from hard device failure.</w:t>
      </w:r>
    </w:p>
    <w:p>
      <w:pPr>
        <w:pStyle w:val="Heading1"/>
      </w:pPr>
      <w:r>
        <w:t>6. Corrective 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4176"/>
            <w:vAlign w:val="center"/>
            <w:tcMar>
              <w:top w:w="90" w:type="dxa"/>
              <w:start w:w="100" w:type="dxa"/>
              <w:bottom w:w="90" w:type="dxa"/>
              <w:end w:w="100" w:type="dxa"/>
            </w:tcMar>
            <w:shd w:fill="D9EAF7"/>
          </w:tcPr>
          <w:p>
            <w:r>
              <w:rPr>
                <w:b/>
              </w:rPr>
              <w:t>Action</w:t>
            </w:r>
          </w:p>
        </w:tc>
        <w:tc>
          <w:tcPr>
            <w:tcW w:type="dxa" w:w="1584"/>
            <w:vAlign w:val="center"/>
            <w:tcMar>
              <w:top w:w="90" w:type="dxa"/>
              <w:start w:w="100" w:type="dxa"/>
              <w:bottom w:w="90" w:type="dxa"/>
              <w:end w:w="100" w:type="dxa"/>
            </w:tcMar>
            <w:shd w:fill="D9EAF7"/>
          </w:tcPr>
          <w:p>
            <w:r>
              <w:rPr>
                <w:b/>
              </w:rPr>
              <w:t>Owner</w:t>
            </w:r>
          </w:p>
        </w:tc>
        <w:tc>
          <w:tcPr>
            <w:tcW w:type="dxa" w:w="1584"/>
            <w:vAlign w:val="center"/>
            <w:tcMar>
              <w:top w:w="90" w:type="dxa"/>
              <w:start w:w="100" w:type="dxa"/>
              <w:bottom w:w="90" w:type="dxa"/>
              <w:end w:w="100" w:type="dxa"/>
            </w:tcMar>
            <w:shd w:fill="D9EAF7"/>
          </w:tcPr>
          <w:p>
            <w:r>
              <w:rPr>
                <w:b/>
              </w:rPr>
              <w:t>Due</w:t>
            </w:r>
          </w:p>
        </w:tc>
        <w:tc>
          <w:tcPr>
            <w:tcW w:type="dxa" w:w="2448"/>
            <w:vAlign w:val="center"/>
            <w:tcMar>
              <w:top w:w="90" w:type="dxa"/>
              <w:start w:w="100" w:type="dxa"/>
              <w:bottom w:w="90" w:type="dxa"/>
              <w:end w:w="100" w:type="dxa"/>
            </w:tcMar>
            <w:shd w:fill="D9EAF7"/>
          </w:tcPr>
          <w:p>
            <w:r>
              <w:rPr>
                <w:b/>
              </w:rPr>
              <w:t>Status</w:t>
            </w:r>
          </w:p>
        </w:tc>
      </w:tr>
      <w:tr>
        <w:tc>
          <w:tcPr>
            <w:tcW w:type="dxa" w:w="2520"/>
          </w:tcPr>
          <w:p>
            <w:r>
              <w:t>Add retry-budget enforcement and jitter-cap unit tests for Event Processor acknowledgements.</w:t>
            </w:r>
          </w:p>
        </w:tc>
        <w:tc>
          <w:tcPr>
            <w:tcW w:type="dxa" w:w="2520"/>
          </w:tcPr>
          <w:p>
            <w:r>
              <w:t>PRE</w:t>
            </w:r>
          </w:p>
        </w:tc>
        <w:tc>
          <w:tcPr>
            <w:tcW w:type="dxa" w:w="2520"/>
          </w:tcPr>
          <w:p>
            <w:r>
              <w:t>2026-01-24</w:t>
            </w:r>
          </w:p>
        </w:tc>
        <w:tc>
          <w:tcPr>
            <w:tcW w:type="dxa" w:w="2520"/>
          </w:tcPr>
          <w:p>
            <w:r>
              <w:t>In progress</w:t>
            </w:r>
          </w:p>
        </w:tc>
      </w:tr>
      <w:tr>
        <w:tc>
          <w:tcPr>
            <w:tcW w:type="dxa" w:w="2520"/>
          </w:tcPr>
          <w:p>
            <w:r>
              <w:t>Expand load-test suite to include scheduled burst windows and delayed ack simulation.</w:t>
            </w:r>
          </w:p>
        </w:tc>
        <w:tc>
          <w:tcPr>
            <w:tcW w:type="dxa" w:w="2520"/>
          </w:tcPr>
          <w:p>
            <w:r>
              <w:t>Perf Eng</w:t>
            </w:r>
          </w:p>
        </w:tc>
        <w:tc>
          <w:tcPr>
            <w:tcW w:type="dxa" w:w="2520"/>
          </w:tcPr>
          <w:p>
            <w:r>
              <w:t>2026-01-28</w:t>
            </w:r>
          </w:p>
        </w:tc>
        <w:tc>
          <w:tcPr>
            <w:tcW w:type="dxa" w:w="2520"/>
          </w:tcPr>
          <w:p>
            <w:r>
              <w:t>Planned</w:t>
            </w:r>
          </w:p>
        </w:tc>
      </w:tr>
      <w:tr>
        <w:tc>
          <w:tcPr>
            <w:tcW w:type="dxa" w:w="2520"/>
          </w:tcPr>
          <w:p>
            <w:r>
              <w:t>Create duplicate-task growth alert and dashboard panel for worker pools.</w:t>
            </w:r>
          </w:p>
        </w:tc>
        <w:tc>
          <w:tcPr>
            <w:tcW w:type="dxa" w:w="2520"/>
          </w:tcPr>
          <w:p>
            <w:r>
              <w:t>SRE</w:t>
            </w:r>
          </w:p>
        </w:tc>
        <w:tc>
          <w:tcPr>
            <w:tcW w:type="dxa" w:w="2520"/>
          </w:tcPr>
          <w:p>
            <w:r>
              <w:t>2026-01-22</w:t>
            </w:r>
          </w:p>
        </w:tc>
        <w:tc>
          <w:tcPr>
            <w:tcW w:type="dxa" w:w="2520"/>
          </w:tcPr>
          <w:p>
            <w:r>
              <w:t>Open</w:t>
            </w:r>
          </w:p>
        </w:tc>
      </w:tr>
      <w:tr>
        <w:tc>
          <w:tcPr>
            <w:tcW w:type="dxa" w:w="2520"/>
          </w:tcPr>
          <w:p>
            <w:r>
              <w:t>Update deployment checklist to require explicit approval for retry policy changes.</w:t>
            </w:r>
          </w:p>
        </w:tc>
        <w:tc>
          <w:tcPr>
            <w:tcW w:type="dxa" w:w="2520"/>
          </w:tcPr>
          <w:p>
            <w:r>
              <w:t>Release Mgmt</w:t>
            </w:r>
          </w:p>
        </w:tc>
        <w:tc>
          <w:tcPr>
            <w:tcW w:type="dxa" w:w="2520"/>
          </w:tcPr>
          <w:p>
            <w:r>
              <w:t>2026-01-20</w:t>
            </w:r>
          </w:p>
        </w:tc>
        <w:tc>
          <w:tcPr>
            <w:tcW w:type="dxa" w:w="2520"/>
          </w:tcPr>
          <w:p>
            <w:r>
              <w:t>Done</w:t>
            </w:r>
          </w:p>
        </w:tc>
      </w:tr>
    </w:tbl>
    <w:p/>
    <w:p>
      <w:pPr>
        <w:pStyle w:val="Heading1"/>
      </w:pPr>
      <w:r>
        <w:t>7. Search terms and related systems</w:t>
      </w:r>
    </w:p>
    <w:p>
      <w:pPr>
        <w:pStyle w:val="ListBullet"/>
      </w:pPr>
      <w:r>
        <w:t>Keywords: event processor, timeout, retry storm, queue backlog, worker concurrency, delayed command execution, gateway ack latency.</w:t>
      </w:r>
    </w:p>
    <w:p>
      <w:pPr>
        <w:pStyle w:val="ListBullet"/>
      </w:pPr>
      <w:r>
        <w:t>Related systems: Control Plane Queue, Edge Gateway Manager, Workflow Scheduler, Tenant Status Broadcaster.</w:t>
      </w:r>
    </w:p>
    <w:p>
      <w:pPr>
        <w:pStyle w:val="ListBullet"/>
      </w:pPr>
      <w:r>
        <w:t>Related document families: deployment readiness checklist, release freeze notice, severity matrix, customer status update templates.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2F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