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OrchestrAI Engineering Standard</w:t>
      </w:r>
    </w:p>
    <w:p>
      <w:pPr>
        <w:pStyle w:val="Title"/>
      </w:pPr>
      <w:r>
        <w:t>Environment Access Rules</w:t>
      </w:r>
    </w:p>
    <w:p>
      <w:pPr>
        <w:pStyle w:val="Subtitle"/>
      </w:pPr>
      <w:r>
        <w:t>Document ID: VAL-ENG-005   |   Department: Engineering Platform and Edge Systems   |   Classification: Internal Use</w:t>
      </w:r>
    </w:p>
    <w:p>
      <w:pPr>
        <w:spacing w:after="160"/>
      </w:pPr>
      <w:r>
        <w:rPr>
          <w:b/>
        </w:rPr>
        <w:t xml:space="preserve">Summary. </w:t>
      </w:r>
      <w:r>
        <w:t>This standard defines who may access OrchestrAI engineering environments, what approvals are required, and how temporary elevated permissions must be controlled. The rules apply to platform services, edge simulation clusters, build infrastructure, and shared observability tools used by engineering teams and approved support functions.</w:t>
      </w:r>
    </w:p>
    <w:p>
      <w:pPr>
        <w:pStyle w:val="Heading1"/>
      </w:pPr>
      <w:r>
        <w:t>Control requirements at a glance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AF7"/>
          </w:tcPr>
          <w:p>
            <w:pPr>
              <w:spacing w:after="0"/>
            </w:pPr>
            <w:r/>
            <w:r>
              <w:rPr>
                <w:b/>
                <w:sz w:val="18"/>
              </w:rPr>
              <w:t>Environment tier</w:t>
            </w:r>
          </w:p>
        </w:tc>
        <w:tc>
          <w:tcPr>
            <w:tcW w:type="dxa" w:w="2232"/>
            <w:vAlign w:val="center"/>
            <w:shd w:fill="D9EAF7"/>
          </w:tcPr>
          <w:p>
            <w:pPr>
              <w:spacing w:after="0"/>
            </w:pPr>
            <w:r/>
            <w:r>
              <w:rPr>
                <w:b/>
                <w:sz w:val="18"/>
              </w:rPr>
              <w:t>Default access</w:t>
            </w:r>
          </w:p>
        </w:tc>
        <w:tc>
          <w:tcPr>
            <w:tcW w:type="dxa" w:w="1944"/>
            <w:vAlign w:val="center"/>
            <w:shd w:fill="D9EAF7"/>
          </w:tcPr>
          <w:p>
            <w:pPr>
              <w:spacing w:after="0"/>
            </w:pPr>
            <w:r/>
            <w:r>
              <w:rPr>
                <w:b/>
                <w:sz w:val="18"/>
              </w:rPr>
              <w:t>Approval owner</w:t>
            </w:r>
          </w:p>
        </w:tc>
        <w:tc>
          <w:tcPr>
            <w:tcW w:type="dxa" w:w="3024"/>
            <w:vAlign w:val="center"/>
            <w:shd w:fill="D9EAF7"/>
          </w:tcPr>
          <w:p>
            <w:pPr>
              <w:spacing w:after="0"/>
            </w:pPr>
            <w:r/>
            <w:r>
              <w:rPr>
                <w:b/>
                <w:sz w:val="18"/>
              </w:rPr>
              <w:t>Maximum elevation window</w:t>
            </w:r>
          </w:p>
        </w:tc>
      </w:tr>
      <w:tr>
        <w:tc>
          <w:tcPr>
            <w:tcW w:type="dxa" w:w="2484"/>
            <w:vAlign w:val="center"/>
          </w:tcPr>
          <w:p>
            <w:pPr>
              <w:spacing w:after="0"/>
            </w:pPr>
            <w:r/>
            <w:r>
              <w:rPr>
                <w:b w:val="0"/>
                <w:sz w:val="18"/>
              </w:rPr>
              <w:t>Dev</w:t>
            </w:r>
          </w:p>
        </w:tc>
        <w:tc>
          <w:tcPr>
            <w:tcW w:type="dxa" w:w="2484"/>
            <w:vAlign w:val="center"/>
          </w:tcPr>
          <w:p>
            <w:pPr>
              <w:spacing w:after="0"/>
            </w:pPr>
            <w:r/>
            <w:r>
              <w:rPr>
                <w:b w:val="0"/>
                <w:sz w:val="18"/>
              </w:rPr>
              <w:t>Engineering team members assigned to service</w:t>
            </w:r>
          </w:p>
        </w:tc>
        <w:tc>
          <w:tcPr>
            <w:tcW w:type="dxa" w:w="2484"/>
            <w:vAlign w:val="center"/>
          </w:tcPr>
          <w:p>
            <w:pPr>
              <w:spacing w:after="0"/>
            </w:pPr>
            <w:r/>
            <w:r>
              <w:rPr>
                <w:b w:val="0"/>
                <w:sz w:val="18"/>
              </w:rPr>
              <w:t>Engineering Manager</w:t>
            </w:r>
          </w:p>
        </w:tc>
        <w:tc>
          <w:tcPr>
            <w:tcW w:type="dxa" w:w="2484"/>
            <w:vAlign w:val="center"/>
          </w:tcPr>
          <w:p>
            <w:pPr>
              <w:spacing w:after="0"/>
            </w:pPr>
            <w:r/>
            <w:r>
              <w:rPr>
                <w:b w:val="0"/>
                <w:sz w:val="18"/>
              </w:rPr>
              <w:t>Persistent role allowed</w:t>
            </w:r>
          </w:p>
        </w:tc>
      </w:tr>
      <w:tr>
        <w:tc>
          <w:tcPr>
            <w:tcW w:type="dxa" w:w="2484"/>
            <w:vAlign w:val="center"/>
          </w:tcPr>
          <w:p>
            <w:pPr>
              <w:spacing w:after="0"/>
            </w:pPr>
            <w:r/>
            <w:r>
              <w:rPr>
                <w:b w:val="0"/>
                <w:sz w:val="18"/>
              </w:rPr>
              <w:t>Staging</w:t>
            </w:r>
          </w:p>
        </w:tc>
        <w:tc>
          <w:tcPr>
            <w:tcW w:type="dxa" w:w="2484"/>
            <w:vAlign w:val="center"/>
          </w:tcPr>
          <w:p>
            <w:pPr>
              <w:spacing w:after="0"/>
            </w:pPr>
            <w:r/>
            <w:r>
              <w:rPr>
                <w:b w:val="0"/>
                <w:sz w:val="18"/>
              </w:rPr>
              <w:t>Named deployers and on-call engineers</w:t>
            </w:r>
          </w:p>
        </w:tc>
        <w:tc>
          <w:tcPr>
            <w:tcW w:type="dxa" w:w="2484"/>
            <w:vAlign w:val="center"/>
          </w:tcPr>
          <w:p>
            <w:pPr>
              <w:spacing w:after="0"/>
            </w:pPr>
            <w:r/>
            <w:r>
              <w:rPr>
                <w:b w:val="0"/>
                <w:sz w:val="18"/>
              </w:rPr>
              <w:t>Service Owner</w:t>
            </w:r>
          </w:p>
        </w:tc>
        <w:tc>
          <w:tcPr>
            <w:tcW w:type="dxa" w:w="2484"/>
            <w:vAlign w:val="center"/>
          </w:tcPr>
          <w:p>
            <w:pPr>
              <w:spacing w:after="0"/>
            </w:pPr>
            <w:r/>
            <w:r>
              <w:rPr>
                <w:b w:val="0"/>
                <w:sz w:val="18"/>
              </w:rPr>
              <w:t>8 hours</w:t>
            </w:r>
          </w:p>
        </w:tc>
      </w:tr>
      <w:tr>
        <w:tc>
          <w:tcPr>
            <w:tcW w:type="dxa" w:w="2484"/>
            <w:vAlign w:val="center"/>
          </w:tcPr>
          <w:p>
            <w:pPr>
              <w:spacing w:after="0"/>
            </w:pPr>
            <w:r/>
            <w:r>
              <w:rPr>
                <w:b w:val="0"/>
                <w:sz w:val="18"/>
              </w:rPr>
              <w:t>Prod read-only</w:t>
            </w:r>
          </w:p>
        </w:tc>
        <w:tc>
          <w:tcPr>
            <w:tcW w:type="dxa" w:w="2484"/>
            <w:vAlign w:val="center"/>
          </w:tcPr>
          <w:p>
            <w:pPr>
              <w:spacing w:after="0"/>
            </w:pPr>
            <w:r/>
            <w:r>
              <w:rPr>
                <w:b w:val="0"/>
                <w:sz w:val="18"/>
              </w:rPr>
              <w:t>On-call, SRE liaison, approved analysts</w:t>
            </w:r>
          </w:p>
        </w:tc>
        <w:tc>
          <w:tcPr>
            <w:tcW w:type="dxa" w:w="2484"/>
            <w:vAlign w:val="center"/>
          </w:tcPr>
          <w:p>
            <w:pPr>
              <w:spacing w:after="0"/>
            </w:pPr>
            <w:r/>
            <w:r>
              <w:rPr>
                <w:b w:val="0"/>
                <w:sz w:val="18"/>
              </w:rPr>
              <w:t>Service Owner</w:t>
            </w:r>
          </w:p>
        </w:tc>
        <w:tc>
          <w:tcPr>
            <w:tcW w:type="dxa" w:w="2484"/>
            <w:vAlign w:val="center"/>
          </w:tcPr>
          <w:p>
            <w:pPr>
              <w:spacing w:after="0"/>
            </w:pPr>
            <w:r/>
            <w:r>
              <w:rPr>
                <w:b w:val="0"/>
                <w:sz w:val="18"/>
              </w:rPr>
              <w:t>24 hours</w:t>
            </w:r>
          </w:p>
        </w:tc>
      </w:tr>
      <w:tr>
        <w:tc>
          <w:tcPr>
            <w:tcW w:type="dxa" w:w="2484"/>
            <w:vAlign w:val="center"/>
          </w:tcPr>
          <w:p>
            <w:pPr>
              <w:spacing w:after="0"/>
            </w:pPr>
            <w:r/>
            <w:r>
              <w:rPr>
                <w:b w:val="0"/>
                <w:sz w:val="18"/>
              </w:rPr>
              <w:t>Prod write / console</w:t>
            </w:r>
          </w:p>
        </w:tc>
        <w:tc>
          <w:tcPr>
            <w:tcW w:type="dxa" w:w="2484"/>
            <w:vAlign w:val="center"/>
          </w:tcPr>
          <w:p>
            <w:pPr>
              <w:spacing w:after="0"/>
            </w:pPr>
            <w:r/>
            <w:r>
              <w:rPr>
                <w:b w:val="0"/>
                <w:sz w:val="18"/>
              </w:rPr>
              <w:t>Break-glass only</w:t>
            </w:r>
          </w:p>
        </w:tc>
        <w:tc>
          <w:tcPr>
            <w:tcW w:type="dxa" w:w="2484"/>
            <w:vAlign w:val="center"/>
          </w:tcPr>
          <w:p>
            <w:pPr>
              <w:spacing w:after="0"/>
            </w:pPr>
            <w:r/>
            <w:r>
              <w:rPr>
                <w:b w:val="0"/>
                <w:sz w:val="18"/>
              </w:rPr>
              <w:t>Director of Engineering or delegate</w:t>
            </w:r>
          </w:p>
        </w:tc>
        <w:tc>
          <w:tcPr>
            <w:tcW w:type="dxa" w:w="2484"/>
            <w:vAlign w:val="center"/>
          </w:tcPr>
          <w:p>
            <w:pPr>
              <w:spacing w:after="0"/>
            </w:pPr>
            <w:r/>
            <w:r>
              <w:rPr>
                <w:b w:val="0"/>
                <w:sz w:val="18"/>
              </w:rPr>
              <w:t>2 hours</w:t>
            </w:r>
          </w:p>
        </w:tc>
      </w:tr>
    </w:tbl>
    <w:p>
      <w:pPr>
        <w:pStyle w:val="Heading1"/>
      </w:pPr>
      <w:r>
        <w:t>1. Scope and principles</w:t>
      </w:r>
    </w:p>
    <w:p>
      <w:pPr>
        <w:pStyle w:val="ListBullet"/>
      </w:pPr>
      <w:r>
        <w:t>Engineering environments are separated into development, staging, and production tiers. Access must reflect operational risk, not job title alone.</w:t>
      </w:r>
    </w:p>
    <w:p>
      <w:pPr>
        <w:pStyle w:val="ListBullet"/>
      </w:pPr>
      <w:r>
        <w:t>Least-privilege access is the default. Team membership may grant visibility into code repositories and dashboards, but not direct production console access.</w:t>
      </w:r>
    </w:p>
    <w:p>
      <w:pPr>
        <w:pStyle w:val="ListBullet"/>
      </w:pPr>
      <w:r>
        <w:t>Shared credentials, persistent local admin tokens, and undocumented access paths are prohibited in all environments.</w:t>
      </w:r>
    </w:p>
    <w:p>
      <w:pPr>
        <w:pStyle w:val="Heading1"/>
      </w:pPr>
      <w:r>
        <w:t>2. Role mapping and approvals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shd w:fill="EAF3E1"/>
            <w:vAlign w:val="center"/>
          </w:tcPr>
          <w:p>
            <w:pPr>
              <w:spacing w:after="0"/>
            </w:pPr>
            <w:r/>
            <w:r>
              <w:rPr>
                <w:b/>
                <w:sz w:val="18"/>
              </w:rPr>
              <w:t>Role</w:t>
            </w:r>
          </w:p>
        </w:tc>
        <w:tc>
          <w:tcPr>
            <w:tcW w:type="dxa" w:w="3384"/>
            <w:shd w:fill="EAF3E1"/>
            <w:vAlign w:val="center"/>
          </w:tcPr>
          <w:p>
            <w:pPr>
              <w:spacing w:after="0"/>
            </w:pPr>
            <w:r/>
            <w:r>
              <w:rPr>
                <w:b/>
                <w:sz w:val="18"/>
              </w:rPr>
              <w:t>Typical permissions</w:t>
            </w:r>
          </w:p>
        </w:tc>
        <w:tc>
          <w:tcPr>
            <w:tcW w:type="dxa" w:w="2376"/>
            <w:shd w:fill="EAF3E1"/>
            <w:vAlign w:val="center"/>
          </w:tcPr>
          <w:p>
            <w:pPr>
              <w:spacing w:after="0"/>
            </w:pPr>
            <w:r/>
            <w:r>
              <w:rPr>
                <w:b/>
                <w:sz w:val="18"/>
              </w:rPr>
              <w:t>Additional approval needed</w:t>
            </w:r>
          </w:p>
        </w:tc>
        <w:tc>
          <w:tcPr>
            <w:tcW w:type="dxa" w:w="1440"/>
            <w:shd w:fill="EAF3E1"/>
            <w:vAlign w:val="center"/>
          </w:tcPr>
          <w:p>
            <w:pPr>
              <w:spacing w:after="0"/>
            </w:pPr>
            <w:r/>
            <w:r>
              <w:rPr>
                <w:b/>
                <w:sz w:val="18"/>
              </w:rPr>
              <w:t>Review cadence</w:t>
            </w:r>
          </w:p>
        </w:tc>
      </w:tr>
      <w:tr>
        <w:tc>
          <w:tcPr>
            <w:tcW w:type="dxa" w:w="2484"/>
            <w:vAlign w:val="center"/>
          </w:tcPr>
          <w:p>
            <w:pPr>
              <w:spacing w:after="0"/>
            </w:pPr>
            <w:r/>
            <w:r>
              <w:rPr>
                <w:b w:val="0"/>
                <w:sz w:val="18"/>
              </w:rPr>
              <w:t>Engineer</w:t>
            </w:r>
          </w:p>
        </w:tc>
        <w:tc>
          <w:tcPr>
            <w:tcW w:type="dxa" w:w="2484"/>
            <w:vAlign w:val="center"/>
          </w:tcPr>
          <w:p>
            <w:pPr>
              <w:spacing w:after="0"/>
            </w:pPr>
            <w:r/>
            <w:r>
              <w:rPr>
                <w:b w:val="0"/>
                <w:sz w:val="18"/>
              </w:rPr>
              <w:t>Dev + service logs</w:t>
            </w:r>
          </w:p>
        </w:tc>
        <w:tc>
          <w:tcPr>
            <w:tcW w:type="dxa" w:w="2484"/>
            <w:vAlign w:val="center"/>
          </w:tcPr>
          <w:p>
            <w:pPr>
              <w:spacing w:after="0"/>
            </w:pPr>
            <w:r/>
            <w:r>
              <w:rPr>
                <w:b w:val="0"/>
                <w:sz w:val="18"/>
              </w:rPr>
              <w:t>Staging deploy rights</w:t>
            </w:r>
          </w:p>
        </w:tc>
        <w:tc>
          <w:tcPr>
            <w:tcW w:type="dxa" w:w="2484"/>
            <w:vAlign w:val="center"/>
          </w:tcPr>
          <w:p>
            <w:pPr>
              <w:spacing w:after="0"/>
            </w:pPr>
            <w:r/>
            <w:r>
              <w:rPr>
                <w:b w:val="0"/>
                <w:sz w:val="18"/>
              </w:rPr>
              <w:t>Quarterly</w:t>
            </w:r>
          </w:p>
        </w:tc>
      </w:tr>
      <w:tr>
        <w:tc>
          <w:tcPr>
            <w:tcW w:type="dxa" w:w="2484"/>
            <w:vAlign w:val="center"/>
          </w:tcPr>
          <w:p>
            <w:pPr>
              <w:spacing w:after="0"/>
            </w:pPr>
            <w:r/>
            <w:r>
              <w:rPr>
                <w:b w:val="0"/>
                <w:sz w:val="18"/>
              </w:rPr>
              <w:t>Senior / Staff Engineer</w:t>
            </w:r>
          </w:p>
        </w:tc>
        <w:tc>
          <w:tcPr>
            <w:tcW w:type="dxa" w:w="2484"/>
            <w:vAlign w:val="center"/>
          </w:tcPr>
          <w:p>
            <w:pPr>
              <w:spacing w:after="0"/>
            </w:pPr>
            <w:r/>
            <w:r>
              <w:rPr>
                <w:b w:val="0"/>
                <w:sz w:val="18"/>
              </w:rPr>
              <w:t>Engineer baseline + maintenance actions</w:t>
            </w:r>
          </w:p>
        </w:tc>
        <w:tc>
          <w:tcPr>
            <w:tcW w:type="dxa" w:w="2484"/>
            <w:vAlign w:val="center"/>
          </w:tcPr>
          <w:p>
            <w:pPr>
              <w:spacing w:after="0"/>
            </w:pPr>
            <w:r/>
            <w:r>
              <w:rPr>
                <w:b w:val="0"/>
                <w:sz w:val="18"/>
              </w:rPr>
              <w:t>Production read-only</w:t>
            </w:r>
          </w:p>
        </w:tc>
        <w:tc>
          <w:tcPr>
            <w:tcW w:type="dxa" w:w="2484"/>
            <w:vAlign w:val="center"/>
          </w:tcPr>
          <w:p>
            <w:pPr>
              <w:spacing w:after="0"/>
            </w:pPr>
            <w:r/>
            <w:r>
              <w:rPr>
                <w:b w:val="0"/>
                <w:sz w:val="18"/>
              </w:rPr>
              <w:t>Quarterly</w:t>
            </w:r>
          </w:p>
        </w:tc>
      </w:tr>
      <w:tr>
        <w:tc>
          <w:tcPr>
            <w:tcW w:type="dxa" w:w="2484"/>
            <w:vAlign w:val="center"/>
          </w:tcPr>
          <w:p>
            <w:pPr>
              <w:spacing w:after="0"/>
            </w:pPr>
            <w:r/>
            <w:r>
              <w:rPr>
                <w:b w:val="0"/>
                <w:sz w:val="18"/>
              </w:rPr>
              <w:t>On-call engineer</w:t>
            </w:r>
          </w:p>
        </w:tc>
        <w:tc>
          <w:tcPr>
            <w:tcW w:type="dxa" w:w="2484"/>
            <w:vAlign w:val="center"/>
          </w:tcPr>
          <w:p>
            <w:pPr>
              <w:spacing w:after="0"/>
            </w:pPr>
            <w:r/>
            <w:r>
              <w:rPr>
                <w:b w:val="0"/>
                <w:sz w:val="18"/>
              </w:rPr>
              <w:t>Read-only production and runbook actions</w:t>
            </w:r>
          </w:p>
        </w:tc>
        <w:tc>
          <w:tcPr>
            <w:tcW w:type="dxa" w:w="2484"/>
            <w:vAlign w:val="center"/>
          </w:tcPr>
          <w:p>
            <w:pPr>
              <w:spacing w:after="0"/>
            </w:pPr>
            <w:r/>
            <w:r>
              <w:rPr>
                <w:b w:val="0"/>
                <w:sz w:val="18"/>
              </w:rPr>
              <w:t>Break-glass write access when incident declared</w:t>
            </w:r>
          </w:p>
        </w:tc>
        <w:tc>
          <w:tcPr>
            <w:tcW w:type="dxa" w:w="2484"/>
            <w:vAlign w:val="center"/>
          </w:tcPr>
          <w:p>
            <w:pPr>
              <w:spacing w:after="0"/>
            </w:pPr>
            <w:r/>
            <w:r>
              <w:rPr>
                <w:b w:val="0"/>
                <w:sz w:val="18"/>
              </w:rPr>
              <w:t>Per rotation</w:t>
            </w:r>
          </w:p>
        </w:tc>
      </w:tr>
      <w:tr>
        <w:tc>
          <w:tcPr>
            <w:tcW w:type="dxa" w:w="2484"/>
            <w:vAlign w:val="center"/>
          </w:tcPr>
          <w:p>
            <w:pPr>
              <w:spacing w:after="0"/>
            </w:pPr>
            <w:r/>
            <w:r>
              <w:rPr>
                <w:b w:val="0"/>
                <w:sz w:val="18"/>
              </w:rPr>
              <w:t>Release manager</w:t>
            </w:r>
          </w:p>
        </w:tc>
        <w:tc>
          <w:tcPr>
            <w:tcW w:type="dxa" w:w="2484"/>
            <w:vAlign w:val="center"/>
          </w:tcPr>
          <w:p>
            <w:pPr>
              <w:spacing w:after="0"/>
            </w:pPr>
            <w:r/>
            <w:r>
              <w:rPr>
                <w:b w:val="0"/>
                <w:sz w:val="18"/>
              </w:rPr>
              <w:t>Staging release controls</w:t>
            </w:r>
          </w:p>
        </w:tc>
        <w:tc>
          <w:tcPr>
            <w:tcW w:type="dxa" w:w="2484"/>
            <w:vAlign w:val="center"/>
          </w:tcPr>
          <w:p>
            <w:pPr>
              <w:spacing w:after="0"/>
            </w:pPr>
            <w:r/>
            <w:r>
              <w:rPr>
                <w:b w:val="0"/>
                <w:sz w:val="18"/>
              </w:rPr>
              <w:t>Production promotion during approved window</w:t>
            </w:r>
          </w:p>
        </w:tc>
        <w:tc>
          <w:tcPr>
            <w:tcW w:type="dxa" w:w="2484"/>
            <w:vAlign w:val="center"/>
          </w:tcPr>
          <w:p>
            <w:pPr>
              <w:spacing w:after="0"/>
            </w:pPr>
            <w:r/>
            <w:r>
              <w:rPr>
                <w:b w:val="0"/>
                <w:sz w:val="18"/>
              </w:rPr>
              <w:t>Monthly</w:t>
            </w:r>
          </w:p>
        </w:tc>
      </w:tr>
      <w:tr>
        <w:tc>
          <w:tcPr>
            <w:tcW w:type="dxa" w:w="2484"/>
            <w:vAlign w:val="center"/>
          </w:tcPr>
          <w:p>
            <w:pPr>
              <w:spacing w:after="0"/>
            </w:pPr>
            <w:r/>
            <w:r>
              <w:rPr>
                <w:b w:val="0"/>
                <w:sz w:val="18"/>
              </w:rPr>
              <w:t>Support or QA</w:t>
            </w:r>
          </w:p>
        </w:tc>
        <w:tc>
          <w:tcPr>
            <w:tcW w:type="dxa" w:w="2484"/>
            <w:vAlign w:val="center"/>
          </w:tcPr>
          <w:p>
            <w:pPr>
              <w:spacing w:after="0"/>
            </w:pPr>
            <w:r/>
            <w:r>
              <w:rPr>
                <w:b w:val="0"/>
                <w:sz w:val="18"/>
              </w:rPr>
              <w:t>Observability dashboards only</w:t>
            </w:r>
          </w:p>
        </w:tc>
        <w:tc>
          <w:tcPr>
            <w:tcW w:type="dxa" w:w="2484"/>
            <w:vAlign w:val="center"/>
          </w:tcPr>
          <w:p>
            <w:pPr>
              <w:spacing w:after="0"/>
            </w:pPr>
            <w:r/>
            <w:r>
              <w:rPr>
                <w:b w:val="0"/>
                <w:sz w:val="18"/>
              </w:rPr>
              <w:t>Temporary staging access by service owner</w:t>
            </w:r>
          </w:p>
        </w:tc>
        <w:tc>
          <w:tcPr>
            <w:tcW w:type="dxa" w:w="2484"/>
            <w:vAlign w:val="center"/>
          </w:tcPr>
          <w:p>
            <w:pPr>
              <w:spacing w:after="0"/>
            </w:pPr>
            <w:r/>
            <w:r>
              <w:rPr>
                <w:b w:val="0"/>
                <w:sz w:val="18"/>
              </w:rPr>
              <w:t>Monthly</w:t>
            </w:r>
          </w:p>
        </w:tc>
      </w:tr>
    </w:tbl>
    <w:p>
      <w:pPr>
        <w:pStyle w:val="Heading1"/>
      </w:pPr>
      <w:r>
        <w:t>3. Access request workflow</w:t>
      </w:r>
    </w:p>
    <w:p>
      <w:pPr>
        <w:pStyle w:val="ListNumber"/>
      </w:pPr>
      <w:r>
        <w:t>Submit a request through AccessHub with environment tier, business justification, service name, and requested duration.</w:t>
      </w:r>
    </w:p>
    <w:p>
      <w:pPr>
        <w:pStyle w:val="ListNumber"/>
      </w:pPr>
      <w:r>
        <w:t>Manager approval is required for all new staging permissions and any extension of production read-only access beyond the default role profile.</w:t>
      </w:r>
    </w:p>
    <w:p>
      <w:pPr>
        <w:pStyle w:val="ListNumber"/>
      </w:pPr>
      <w:r>
        <w:t>Service-owner approval is required for production read-only access. Production write access requires an active incident or approved release event plus director approval.</w:t>
      </w:r>
    </w:p>
    <w:p>
      <w:pPr>
        <w:pStyle w:val="ListNumber"/>
      </w:pPr>
      <w:r>
        <w:t>Identity Gateway assigns the role with an expiry timestamp. Expired elevated access is revoked automatically and must not be renewed by copying prior requests.</w:t>
      </w:r>
    </w:p>
    <w:p>
      <w:pPr>
        <w:spacing w:before="120" w:after="120"/>
        <w:ind w:left="288" w:right="288"/>
      </w:pPr>
      <w:r>
        <w:rPr>
          <w:b/>
        </w:rPr>
        <w:t xml:space="preserve">Important control. </w:t>
      </w:r>
      <w:r>
        <w:t>Temporary production write access must always map to an incident number or approved release ticket. Requests without a traceable change record must be rejected.</w:t>
      </w:r>
    </w:p>
    <w:p>
      <w:pPr>
        <w:pStyle w:val="Heading1"/>
      </w:pPr>
      <w:r>
        <w:t>4. Emergency access and logging</w:t>
      </w:r>
    </w:p>
    <w:p>
      <w:pPr>
        <w:pStyle w:val="ListBullet"/>
      </w:pPr>
      <w:r>
        <w:t>Break-glass accounts are stored in the privileged access vault and may be used only when standard role elevation is unavailable during a Severity 1 or Severity 2 incident.</w:t>
      </w:r>
    </w:p>
    <w:p>
      <w:pPr>
        <w:pStyle w:val="ListBullet"/>
      </w:pPr>
      <w:r>
        <w:t>All console sessions must record the acting engineer, ticket number, start time, commands issued if available, and exit confirmation from the incident commander or service owner.</w:t>
      </w:r>
    </w:p>
    <w:p>
      <w:pPr>
        <w:pStyle w:val="ListBullet"/>
      </w:pPr>
      <w:r>
        <w:t>Within one business day, the engineering manager reviews emergency access usage for scope, necessity, and cleanup actions such as credential rotation or audit note closure.</w:t>
      </w:r>
    </w:p>
    <w:p>
      <w:pPr>
        <w:pStyle w:val="Heading1"/>
      </w:pPr>
      <w:r>
        <w:t>5. Prohibited patterns and exceptions</w:t>
      </w:r>
    </w:p>
    <w:tbl>
      <w:tblPr>
        <w:tblStyle w:val="TableGrid"/>
        <w:tblW w:type="auto" w:w="0"/>
        <w:tblLook w:firstColumn="1" w:firstRow="1" w:lastColumn="0" w:lastRow="0" w:noHBand="0" w:noVBand="1" w:val="04A0"/>
      </w:tblPr>
      <w:tblGrid>
        <w:gridCol w:w="3312"/>
        <w:gridCol w:w="3312"/>
        <w:gridCol w:w="3312"/>
      </w:tblGrid>
      <w:tr>
        <w:tc>
          <w:tcPr>
            <w:tcW w:type="dxa" w:w="3600"/>
            <w:shd w:fill="FCE4D6"/>
            <w:vAlign w:val="center"/>
          </w:tcPr>
          <w:p>
            <w:pPr>
              <w:spacing w:after="0"/>
            </w:pPr>
            <w:r/>
            <w:r>
              <w:rPr>
                <w:b/>
                <w:sz w:val="18"/>
              </w:rPr>
              <w:t>Pattern</w:t>
            </w:r>
          </w:p>
        </w:tc>
        <w:tc>
          <w:tcPr>
            <w:tcW w:type="dxa" w:w="1296"/>
            <w:shd w:fill="FCE4D6"/>
            <w:vAlign w:val="center"/>
          </w:tcPr>
          <w:p>
            <w:pPr>
              <w:spacing w:after="0"/>
            </w:pPr>
            <w:r/>
            <w:r>
              <w:rPr>
                <w:b/>
                <w:sz w:val="18"/>
              </w:rPr>
              <w:t>Status</w:t>
            </w:r>
          </w:p>
        </w:tc>
        <w:tc>
          <w:tcPr>
            <w:tcW w:type="dxa" w:w="3456"/>
            <w:shd w:fill="FCE4D6"/>
            <w:vAlign w:val="center"/>
          </w:tcPr>
          <w:p>
            <w:pPr>
              <w:spacing w:after="0"/>
            </w:pPr>
            <w:r/>
            <w:r>
              <w:rPr>
                <w:b/>
                <w:sz w:val="18"/>
              </w:rPr>
              <w:t>Required action</w:t>
            </w:r>
          </w:p>
        </w:tc>
      </w:tr>
      <w:tr>
        <w:tc>
          <w:tcPr>
            <w:tcW w:type="dxa" w:w="3312"/>
            <w:vAlign w:val="center"/>
          </w:tcPr>
          <w:p>
            <w:pPr>
              <w:spacing w:after="0"/>
            </w:pPr>
            <w:r/>
            <w:r>
              <w:rPr>
                <w:b w:val="0"/>
                <w:sz w:val="18"/>
              </w:rPr>
              <w:t>Shared production shell account</w:t>
            </w:r>
          </w:p>
        </w:tc>
        <w:tc>
          <w:tcPr>
            <w:tcW w:type="dxa" w:w="3312"/>
            <w:vAlign w:val="center"/>
          </w:tcPr>
          <w:p>
            <w:pPr>
              <w:spacing w:after="0"/>
            </w:pPr>
            <w:r/>
            <w:r>
              <w:rPr>
                <w:b w:val="0"/>
                <w:sz w:val="18"/>
              </w:rPr>
              <w:t>Not allowed</w:t>
            </w:r>
          </w:p>
        </w:tc>
        <w:tc>
          <w:tcPr>
            <w:tcW w:type="dxa" w:w="3312"/>
            <w:vAlign w:val="center"/>
          </w:tcPr>
          <w:p>
            <w:pPr>
              <w:spacing w:after="0"/>
            </w:pPr>
            <w:r/>
            <w:r>
              <w:rPr>
                <w:b w:val="0"/>
                <w:sz w:val="18"/>
              </w:rPr>
              <w:t>Replace with named access and revoke immediately</w:t>
            </w:r>
          </w:p>
        </w:tc>
      </w:tr>
      <w:tr>
        <w:tc>
          <w:tcPr>
            <w:tcW w:type="dxa" w:w="3312"/>
            <w:vAlign w:val="center"/>
          </w:tcPr>
          <w:p>
            <w:pPr>
              <w:spacing w:after="0"/>
            </w:pPr>
            <w:r/>
            <w:r>
              <w:rPr>
                <w:b w:val="0"/>
                <w:sz w:val="18"/>
              </w:rPr>
              <w:t>Standing admin role for convenience</w:t>
            </w:r>
          </w:p>
        </w:tc>
        <w:tc>
          <w:tcPr>
            <w:tcW w:type="dxa" w:w="3312"/>
            <w:vAlign w:val="center"/>
          </w:tcPr>
          <w:p>
            <w:pPr>
              <w:spacing w:after="0"/>
            </w:pPr>
            <w:r/>
            <w:r>
              <w:rPr>
                <w:b w:val="0"/>
                <w:sz w:val="18"/>
              </w:rPr>
              <w:t>Not allowed</w:t>
            </w:r>
          </w:p>
        </w:tc>
        <w:tc>
          <w:tcPr>
            <w:tcW w:type="dxa" w:w="3312"/>
            <w:vAlign w:val="center"/>
          </w:tcPr>
          <w:p>
            <w:pPr>
              <w:spacing w:after="0"/>
            </w:pPr>
            <w:r/>
            <w:r>
              <w:rPr>
                <w:b w:val="0"/>
                <w:sz w:val="18"/>
              </w:rPr>
              <w:t>Convert to time-bound elevation</w:t>
            </w:r>
          </w:p>
        </w:tc>
      </w:tr>
      <w:tr>
        <w:tc>
          <w:tcPr>
            <w:tcW w:type="dxa" w:w="3312"/>
            <w:vAlign w:val="center"/>
          </w:tcPr>
          <w:p>
            <w:pPr>
              <w:spacing w:after="0"/>
            </w:pPr>
            <w:r/>
            <w:r>
              <w:rPr>
                <w:b w:val="0"/>
                <w:sz w:val="18"/>
              </w:rPr>
              <w:t>Temporary staging access for vendor troubleshooting</w:t>
            </w:r>
          </w:p>
        </w:tc>
        <w:tc>
          <w:tcPr>
            <w:tcW w:type="dxa" w:w="3312"/>
            <w:vAlign w:val="center"/>
          </w:tcPr>
          <w:p>
            <w:pPr>
              <w:spacing w:after="0"/>
            </w:pPr>
            <w:r/>
            <w:r>
              <w:rPr>
                <w:b w:val="0"/>
                <w:sz w:val="18"/>
              </w:rPr>
              <w:t>Allowed with approval</w:t>
            </w:r>
          </w:p>
        </w:tc>
        <w:tc>
          <w:tcPr>
            <w:tcW w:type="dxa" w:w="3312"/>
            <w:vAlign w:val="center"/>
          </w:tcPr>
          <w:p>
            <w:pPr>
              <w:spacing w:after="0"/>
            </w:pPr>
            <w:r/>
            <w:r>
              <w:rPr>
                <w:b w:val="0"/>
                <w:sz w:val="18"/>
              </w:rPr>
              <w:t>Set expiry and attach change or incident record</w:t>
            </w:r>
          </w:p>
        </w:tc>
      </w:tr>
      <w:tr>
        <w:tc>
          <w:tcPr>
            <w:tcW w:type="dxa" w:w="3312"/>
            <w:vAlign w:val="center"/>
          </w:tcPr>
          <w:p>
            <w:pPr>
              <w:spacing w:after="0"/>
            </w:pPr>
            <w:r/>
            <w:r>
              <w:rPr>
                <w:b w:val="0"/>
                <w:sz w:val="18"/>
              </w:rPr>
              <w:t>Read-only metrics access for support analyst</w:t>
            </w:r>
          </w:p>
        </w:tc>
        <w:tc>
          <w:tcPr>
            <w:tcW w:type="dxa" w:w="3312"/>
            <w:vAlign w:val="center"/>
          </w:tcPr>
          <w:p>
            <w:pPr>
              <w:spacing w:after="0"/>
            </w:pPr>
            <w:r/>
            <w:r>
              <w:rPr>
                <w:b w:val="0"/>
                <w:sz w:val="18"/>
              </w:rPr>
              <w:t>Allowed</w:t>
            </w:r>
          </w:p>
        </w:tc>
        <w:tc>
          <w:tcPr>
            <w:tcW w:type="dxa" w:w="3312"/>
            <w:vAlign w:val="center"/>
          </w:tcPr>
          <w:p>
            <w:pPr>
              <w:spacing w:after="0"/>
            </w:pPr>
            <w:r/>
            <w:r>
              <w:rPr>
                <w:b w:val="0"/>
                <w:sz w:val="18"/>
              </w:rPr>
              <w:t>Review monthly against active case load</w:t>
            </w:r>
          </w:p>
        </w:tc>
      </w:tr>
    </w:tbl>
    <w:p>
      <w:pPr>
        <w:pStyle w:val="Heading1"/>
      </w:pPr>
      <w:r>
        <w:t>Search cues for retrieval testing</w:t>
      </w:r>
    </w:p>
    <w:p>
      <w:r>
        <w:rPr>
          <w:b/>
        </w:rPr>
        <w:t xml:space="preserve">Relevant lookup terms include: </w:t>
      </w:r>
      <w:r>
        <w:t>environment access, staging permissions, production read-only, break-glass, privileged access vault, least privilege, temporary elevation, AccessHub, service owner approval, and incident-linked console access.</w:t>
      </w:r>
    </w:p>
    <w:p>
      <w:pPr>
        <w:pStyle w:val="Heading1"/>
      </w:pPr>
      <w:r>
        <w:t>Related references</w:t>
      </w:r>
    </w:p>
    <w:p>
      <w:pPr>
        <w:pStyle w:val="ListBullet"/>
      </w:pPr>
      <w:r>
        <w:t>TEAMQA-ENG-001 OrchestrAI Engineering Platform and Edge Systems Handbook</w:t>
      </w:r>
    </w:p>
    <w:p>
      <w:pPr>
        <w:pStyle w:val="ListBullet"/>
      </w:pPr>
      <w:r>
        <w:t>VAL-ENG-001 Release Freeze Notice</w:t>
      </w:r>
    </w:p>
    <w:p>
      <w:pPr>
        <w:pStyle w:val="ListBullet"/>
      </w:pPr>
      <w:r>
        <w:t>Corporate security standard for privileged identity and session logging</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7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