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Purchase Order Approval Matrix</w:t>
      </w:r>
    </w:p>
    <w:p>
      <w:r>
        <w:rPr>
          <w:b/>
        </w:rPr>
        <w:t xml:space="preserve">Document ID: </w:t>
      </w:r>
      <w:r>
        <w:t xml:space="preserve">VAL-FIN-001   </w:t>
      </w:r>
      <w:r>
        <w:rPr>
          <w:b/>
        </w:rPr>
        <w:t xml:space="preserve">Owner: </w:t>
      </w:r>
      <w:r>
        <w:t xml:space="preserve">Finance &amp; Procurement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Purpose: This matrix defines standard purchase-order approval requirements for OrchestrAI spend categories and thresholds.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2026-03-03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All departments submitting controlled third-party spend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systems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ProcurePath, LedgerFlow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Related process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Vendor onboarding and invoice matching</w:t>
            </w:r>
          </w:p>
        </w:tc>
      </w:tr>
    </w:tbl>
    <w:p>
      <w:pPr>
        <w:pStyle w:val="Heading1"/>
      </w:pPr>
      <w:r>
        <w:t>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Spend band</w:t>
            </w:r>
          </w:p>
        </w:tc>
        <w:tc>
          <w:tcPr>
            <w:tcW w:type="dxa" w:w="246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Required approver(s)</w:t>
            </w:r>
          </w:p>
        </w:tc>
        <w:tc>
          <w:tcPr>
            <w:tcW w:type="dxa" w:w="246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Additional review</w:t>
            </w:r>
          </w:p>
        </w:tc>
        <w:tc>
          <w:tcPr>
            <w:tcW w:type="dxa" w:w="246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Under EUR 2,500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Budget owner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None unless vendor is new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Low-value software, minor office supplies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EUR 2,500 to EUR 10,000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Budget owner + department head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Procurement if new vendor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Training package, small hardware order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EUR 10,001 to EUR 50,000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Budget owner + department head + Finance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Security if vendor touches systems/data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Annual tool renewal, warehouse equipment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Above EUR 50,000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Department VP + Finance Director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Security / Legal as applicable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Major hardware batch, strategic services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Emergency spend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Fast-track approver + Finance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Post-event review mandatory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Critical replacement gateway shipment</w:t>
            </w:r>
          </w:p>
        </w:tc>
      </w:tr>
    </w:tbl>
    <w:p>
      <w:pPr>
        <w:pStyle w:val="Heading1"/>
      </w:pPr>
      <w:r>
        <w:t>Notes</w:t>
      </w:r>
    </w:p>
    <w:p>
      <w:pPr>
        <w:ind w:left="288" w:hanging="216"/>
      </w:pPr>
      <w:r>
        <w:rPr>
          <w:b/>
        </w:rPr>
        <w:t xml:space="preserve">• </w:t>
      </w:r>
      <w:r>
        <w:t>Approvals must be recorded in ProcurePath before the purchase order is issued.</w:t>
      </w:r>
    </w:p>
    <w:p>
      <w:pPr>
        <w:ind w:left="288" w:hanging="216"/>
      </w:pPr>
      <w:r>
        <w:rPr>
          <w:b/>
        </w:rPr>
        <w:t xml:space="preserve">• </w:t>
      </w:r>
      <w:r>
        <w:t>Email-only approvals are not valid unless attached to the approved exception record.</w:t>
      </w:r>
    </w:p>
    <w:p>
      <w:pPr>
        <w:ind w:left="288" w:hanging="216"/>
      </w:pPr>
      <w:r>
        <w:rPr>
          <w:b/>
        </w:rPr>
        <w:t xml:space="preserve">• </w:t>
      </w:r>
      <w:r>
        <w:t>Non-standard payment terms or auto-renewal language may trigger extra review even below threshold.</w:t>
      </w:r>
    </w:p>
    <w:p>
      <w:r>
        <w:t>Search anchors: PO approval, purchase order threshold, spend band, finance approval, procurement matrix.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B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A64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34E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