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Expense Reimbursement FAQ</w:t>
      </w:r>
    </w:p>
    <w:p>
      <w:r>
        <w:rPr>
          <w:b/>
        </w:rPr>
        <w:t xml:space="preserve">Document ID: </w:t>
      </w:r>
      <w:r>
        <w:t xml:space="preserve">VAL-FIN-002   </w:t>
      </w:r>
      <w:r>
        <w:rPr>
          <w:b/>
        </w:rPr>
        <w:t xml:space="preserve">Owner: </w:t>
      </w:r>
      <w:r>
        <w:t xml:space="preserve">Finance &amp; Procurement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Purpose: This FAQ answers common questions about reimbursement timing, receipts, policy exceptions, and out-of-pocket spend at OrchestrAI.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2026-03-05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Employees submitting business expenses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LedgerFlow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Expense Administration</w:t>
            </w:r>
          </w:p>
        </w:tc>
      </w:tr>
    </w:tbl>
    <w:p>
      <w:pPr>
        <w:pStyle w:val="Heading1"/>
      </w:pPr>
      <w:r>
        <w:t>Frequently asked questions</w:t>
      </w:r>
    </w:p>
    <w:p>
      <w:r>
        <w:rPr>
          <w:b/>
        </w:rPr>
        <w:t xml:space="preserve">Q: </w:t>
      </w:r>
      <w:r>
        <w:rPr>
          <w:b/>
        </w:rPr>
        <w:t>When should an expense be submitted?</w:t>
      </w:r>
    </w:p>
    <w:p>
      <w:pPr>
        <w:ind w:left="259"/>
      </w:pPr>
      <w:r>
        <w:rPr>
          <w:b/>
        </w:rPr>
        <w:t xml:space="preserve">A: </w:t>
      </w:r>
      <w:r>
        <w:t>Employees should submit claims within 15 calendar days of the transaction date unless a longer delay is justified and approved.</w:t>
      </w:r>
    </w:p>
    <w:p>
      <w:r>
        <w:rPr>
          <w:b/>
        </w:rPr>
        <w:t xml:space="preserve">Q: </w:t>
      </w:r>
      <w:r>
        <w:rPr>
          <w:b/>
        </w:rPr>
        <w:t>What receipt quality is required?</w:t>
      </w:r>
    </w:p>
    <w:p>
      <w:pPr>
        <w:ind w:left="259"/>
      </w:pPr>
      <w:r>
        <w:rPr>
          <w:b/>
        </w:rPr>
        <w:t xml:space="preserve">A: </w:t>
      </w:r>
      <w:r>
        <w:t>Receipts must show vendor name, transaction date, amount, currency, and enough detail to identify the business purpose.</w:t>
      </w:r>
    </w:p>
    <w:p>
      <w:r>
        <w:rPr>
          <w:b/>
        </w:rPr>
        <w:t xml:space="preserve">Q: </w:t>
      </w:r>
      <w:r>
        <w:rPr>
          <w:b/>
        </w:rPr>
        <w:t>Can I submit personal and business items on one receipt?</w:t>
      </w:r>
    </w:p>
    <w:p>
      <w:pPr>
        <w:ind w:left="259"/>
      </w:pPr>
      <w:r>
        <w:rPr>
          <w:b/>
        </w:rPr>
        <w:t xml:space="preserve">A: </w:t>
      </w:r>
      <w:r>
        <w:t>Mixed receipts should be itemized clearly; personal spend must not be reimbursed.</w:t>
      </w:r>
    </w:p>
    <w:p>
      <w:r>
        <w:rPr>
          <w:b/>
        </w:rPr>
        <w:t xml:space="preserve">Q: </w:t>
      </w:r>
      <w:r>
        <w:rPr>
          <w:b/>
        </w:rPr>
        <w:t>What happens if a receipt is missing?</w:t>
      </w:r>
    </w:p>
    <w:p>
      <w:pPr>
        <w:ind w:left="259"/>
      </w:pPr>
      <w:r>
        <w:rPr>
          <w:b/>
        </w:rPr>
        <w:t xml:space="preserve">A: </w:t>
      </w:r>
      <w:r>
        <w:t>The claim may be rejected or routed for exception review depending on amount, frequency, and manager confirmation.</w:t>
      </w:r>
    </w:p>
    <w:p>
      <w:r>
        <w:rPr>
          <w:b/>
        </w:rPr>
        <w:t xml:space="preserve">Q: </w:t>
      </w:r>
      <w:r>
        <w:rPr>
          <w:b/>
        </w:rPr>
        <w:t>How long does reimbursement take?</w:t>
      </w:r>
    </w:p>
    <w:p>
      <w:pPr>
        <w:ind w:left="259"/>
      </w:pPr>
      <w:r>
        <w:rPr>
          <w:b/>
        </w:rPr>
        <w:t xml:space="preserve">A: </w:t>
      </w:r>
      <w:r>
        <w:t>Standard claims are reviewed within 5 business days after submission of complete documentation.</w:t>
      </w:r>
    </w:p>
    <w:p>
      <w:r>
        <w:rPr>
          <w:b/>
        </w:rPr>
        <w:t xml:space="preserve">Q: </w:t>
      </w:r>
      <w:r>
        <w:rPr>
          <w:b/>
        </w:rPr>
        <w:t>Are travel upgrades reimbursable?</w:t>
      </w:r>
    </w:p>
    <w:p>
      <w:pPr>
        <w:ind w:left="259"/>
      </w:pPr>
      <w:r>
        <w:rPr>
          <w:b/>
        </w:rPr>
        <w:t xml:space="preserve">A: </w:t>
      </w:r>
      <w:r>
        <w:t>Upgrades are generally not reimbursable unless there is a documented business reason and pre-approval.</w:t>
      </w:r>
    </w:p>
    <w:p>
      <w:r>
        <w:t>Search anchors: reimbursement FAQ, missing receipt, out-of-pocket spend, expense policy, LedgerFlow claim.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B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64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34E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