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6B7A"/>
          <w:sz w:val="17"/>
        </w:rPr>
        <w:t>ORCHESTRAI INTERNAL KNOWLEDGE BASE</w:t>
      </w:r>
    </w:p>
    <w:p>
      <w:pPr>
        <w:pStyle w:val="Title"/>
      </w:pPr>
      <w:r>
        <w:t>Emergency Procurement Exception Memo</w:t>
      </w:r>
    </w:p>
    <w:p>
      <w:r>
        <w:rPr>
          <w:b/>
        </w:rPr>
        <w:t xml:space="preserve">Document ID: </w:t>
      </w:r>
      <w:r>
        <w:t xml:space="preserve">VAL-FIN-005   </w:t>
      </w:r>
      <w:r>
        <w:rPr>
          <w:b/>
        </w:rPr>
        <w:t xml:space="preserve">Owner: </w:t>
      </w:r>
      <w:r>
        <w:t xml:space="preserve">Finance and Procurement Leadership   </w:t>
      </w:r>
      <w:r>
        <w:rPr>
          <w:b/>
        </w:rPr>
        <w:t xml:space="preserve">Confidentiality: </w:t>
      </w:r>
      <w:r>
        <w:t xml:space="preserve">Internal Use Only   </w:t>
      </w:r>
    </w:p>
    <w:p>
      <w:r>
        <w:t>Purpose: This memo defines how emergency purchases may proceed when waiting for the full standard workflow would create material operational, security, or customer impact.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39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2026-03-07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Urgent operational, security, or customer-impacting purchases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systems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ProcurePath, LedgerFlow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Review requirement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Post-event review within 5 business days</w:t>
            </w:r>
          </w:p>
        </w:tc>
      </w:tr>
    </w:tbl>
    <w:p>
      <w:pPr>
        <w:pStyle w:val="Heading1"/>
      </w:pPr>
      <w:r>
        <w:t>Exception criteria</w:t>
      </w:r>
    </w:p>
    <w:p>
      <w:pPr>
        <w:ind w:left="288" w:hanging="216"/>
      </w:pPr>
      <w:r>
        <w:rPr>
          <w:b/>
        </w:rPr>
        <w:t xml:space="preserve">• </w:t>
      </w:r>
      <w:r>
        <w:t>Delay would create a customer outage, security exposure, or warehouse-operational failure.</w:t>
      </w:r>
    </w:p>
    <w:p>
      <w:pPr>
        <w:ind w:left="288" w:hanging="216"/>
      </w:pPr>
      <w:r>
        <w:rPr>
          <w:b/>
        </w:rPr>
        <w:t xml:space="preserve">• </w:t>
      </w:r>
      <w:r>
        <w:t>A standard approval path cannot complete in time to avoid material harm.</w:t>
      </w:r>
    </w:p>
    <w:p>
      <w:pPr>
        <w:ind w:left="288" w:hanging="216"/>
      </w:pPr>
      <w:r>
        <w:rPr>
          <w:b/>
        </w:rPr>
        <w:t xml:space="preserve">• </w:t>
      </w:r>
      <w:r>
        <w:t>A named executive or delegated approver accepts accountability for the exception.</w:t>
      </w:r>
    </w:p>
    <w:p>
      <w:pPr>
        <w:pStyle w:val="Heading1"/>
      </w:pPr>
      <w:r>
        <w:t>Minimum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Required item</w:t>
            </w:r>
          </w:p>
        </w:tc>
        <w:tc>
          <w:tcPr>
            <w:tcW w:type="dxa" w:w="3293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93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Business justification and impact statement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Requester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Shows why emergency path was necessary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Approval record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Approver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Confirms exception authority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Follow-up PO / reconciliation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Procurement + Finance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Brings spend back into controlled record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Post-event review summary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Owner + Finance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Identifies whether process change is needed</w:t>
            </w:r>
          </w:p>
        </w:tc>
      </w:tr>
    </w:tbl>
    <w:p>
      <w:r>
        <w:t>Search anchors: emergency procurement, urgent purchase, fast-track approval, exception memo, post-event review.</w:t>
      </w:r>
    </w:p>
    <w:sectPr w:rsidR="00FC693F" w:rsidRPr="0006063C" w:rsidSect="00034616">
      <w:pgSz w:w="12240" w:h="15840"/>
      <w:pgMar w:top="936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B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A64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34E5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