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4748B"/>
          <w:sz w:val="17"/>
        </w:rPr>
        <w:t>ORCHESTRAI INTERNAL KNOWLEDGE BASE</w:t>
      </w:r>
    </w:p>
    <w:p>
      <w:pPr>
        <w:pStyle w:val="Title"/>
      </w:pPr>
      <w:r>
        <w:t>Leave Request Policy Update</w:t>
      </w:r>
    </w:p>
    <w:p>
      <w:r>
        <w:rPr>
          <w:b/>
        </w:rPr>
        <w:t xml:space="preserve">Document ID: </w:t>
      </w:r>
      <w:r>
        <w:t xml:space="preserve">VAL-HR-002   </w:t>
      </w:r>
      <w:r>
        <w:rPr>
          <w:b/>
        </w:rPr>
        <w:t xml:space="preserve">Owner: </w:t>
      </w:r>
      <w:r>
        <w:t xml:space="preserve">HR &amp; People Operations   </w:t>
      </w:r>
      <w:r>
        <w:rPr>
          <w:b/>
        </w:rPr>
        <w:t xml:space="preserve">Confidentiality: </w:t>
      </w:r>
      <w:r>
        <w:t xml:space="preserve">Internal Use Only   </w:t>
      </w:r>
    </w:p>
    <w:p>
      <w:r>
        <w:t>Summary: This update clarifies submission windows, documentation expectations, and manager responsibilities for standard leave requests across OrchestrAI.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EAF1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39"/>
            <w:shd w:fill="EAF1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939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HR &amp; People Operations</w:t>
            </w:r>
          </w:p>
        </w:tc>
      </w:tr>
      <w:tr>
        <w:tc>
          <w:tcPr>
            <w:tcW w:type="dxa" w:w="4939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2026-03-01</w:t>
            </w:r>
          </w:p>
        </w:tc>
      </w:tr>
      <w:tr>
        <w:tc>
          <w:tcPr>
            <w:tcW w:type="dxa" w:w="4939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Supersedes</w:t>
            </w:r>
          </w:p>
        </w:tc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Informal local guidance issued in 2025</w:t>
            </w:r>
          </w:p>
        </w:tc>
      </w:tr>
      <w:tr>
        <w:tc>
          <w:tcPr>
            <w:tcW w:type="dxa" w:w="4939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Related systems</w:t>
            </w:r>
          </w:p>
        </w:tc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PeopleCore, manager approval workflow</w:t>
            </w:r>
          </w:p>
        </w:tc>
      </w:tr>
    </w:tbl>
    <w:p>
      <w:pPr>
        <w:pStyle w:val="Heading1"/>
      </w:pPr>
      <w:r>
        <w:t>Policy changes</w:t>
      </w:r>
    </w:p>
    <w:p>
      <w:pPr>
        <w:ind w:left="288" w:hanging="216"/>
      </w:pPr>
      <w:r>
        <w:rPr>
          <w:b/>
        </w:rPr>
        <w:t xml:space="preserve">• </w:t>
      </w:r>
      <w:r>
        <w:t>Employees should submit planned leave requests at least 10 business days in advance when practical.</w:t>
      </w:r>
    </w:p>
    <w:p>
      <w:pPr>
        <w:ind w:left="288" w:hanging="216"/>
      </w:pPr>
      <w:r>
        <w:rPr>
          <w:b/>
        </w:rPr>
        <w:t xml:space="preserve">• </w:t>
      </w:r>
      <w:r>
        <w:t>Managers are expected to respond within 3 business days for standard requests.</w:t>
      </w:r>
    </w:p>
    <w:p>
      <w:pPr>
        <w:ind w:left="288" w:hanging="216"/>
      </w:pPr>
      <w:r>
        <w:rPr>
          <w:b/>
        </w:rPr>
        <w:t xml:space="preserve">• </w:t>
      </w:r>
      <w:r>
        <w:t>Extended or documentation-based leave remains subject to HR review before final approval.</w:t>
      </w:r>
    </w:p>
    <w:p>
      <w:pPr>
        <w:ind w:left="288" w:hanging="216"/>
      </w:pPr>
      <w:r>
        <w:rPr>
          <w:b/>
        </w:rPr>
        <w:t xml:space="preserve">• </w:t>
      </w:r>
      <w:r>
        <w:t>Local spreadsheets or private tracking documents should not replace the system-of-record entry in PeopleCore.</w:t>
      </w:r>
    </w:p>
    <w:p>
      <w:pPr>
        <w:pStyle w:val="Heading1"/>
      </w:pPr>
      <w:r>
        <w:t>Manager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EAF1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3293"/>
            <w:shd w:fill="EAF1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Manager action</w:t>
            </w:r>
          </w:p>
        </w:tc>
        <w:tc>
          <w:tcPr>
            <w:tcW w:type="dxa" w:w="3293"/>
            <w:shd w:fill="EAF1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Escalate when</w:t>
            </w:r>
          </w:p>
        </w:tc>
      </w:tr>
      <w:tr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Standard paid leave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Approve or decline in workflow tool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Coverage conflict or policy ambiguity exists</w:t>
            </w:r>
          </w:p>
        </w:tc>
      </w:tr>
      <w:tr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Multi-week leave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Confirm business continuity plan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Documentation or eligibility review is needed</w:t>
            </w:r>
          </w:p>
        </w:tc>
      </w:tr>
      <w:tr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Retroactive submission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Document rationale in approval note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Pattern suggests process misuse or payroll impact</w:t>
            </w:r>
          </w:p>
        </w:tc>
      </w:tr>
    </w:tbl>
    <w:p>
      <w:r>
        <w:t>Search anchors: leave policy, time off, manager approval, planned leave, retroactive leave, PeopleCore request.</w:t>
      </w:r>
    </w:p>
    <w:sectPr w:rsidR="00FC693F" w:rsidRPr="0006063C" w:rsidSect="00034616">
      <w:pgSz w:w="12240" w:h="15840"/>
      <w:pgMar w:top="936" w:right="1181" w:bottom="936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34155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7556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4B55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