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B6B5" w14:textId="77777777" w:rsidR="00B17F2D" w:rsidRDefault="00000000">
      <w:pPr>
        <w:jc w:val="center"/>
      </w:pPr>
      <w:r>
        <w:rPr>
          <w:rFonts w:ascii="Aptos Display" w:hAnsi="Aptos Display"/>
          <w:b/>
          <w:color w:val="17365D"/>
          <w:sz w:val="36"/>
        </w:rPr>
        <w:t>OrchestrAI IT Service Desk Priority Matrix</w:t>
      </w:r>
    </w:p>
    <w:p w14:paraId="1918E28C" w14:textId="77777777" w:rsidR="00B17F2D" w:rsidRDefault="00000000">
      <w:pPr>
        <w:jc w:val="center"/>
      </w:pPr>
      <w:r>
        <w:rPr>
          <w:i/>
          <w:color w:val="555555"/>
          <w:sz w:val="19"/>
        </w:rPr>
        <w:t>Document ID: VAL-IT-004 | Department: IT Workplace &amp; Service Desk | Version: 1.0</w:t>
      </w:r>
    </w:p>
    <w:tbl>
      <w:tblPr>
        <w:tblStyle w:val="TableGrid"/>
        <w:tblW w:w="0" w:type="auto"/>
        <w:jc w:val="center"/>
        <w:tblLook w:val="04A0" w:firstRow="1" w:lastRow="0" w:firstColumn="1" w:lastColumn="0" w:noHBand="0" w:noVBand="1"/>
      </w:tblPr>
      <w:tblGrid>
        <w:gridCol w:w="2520"/>
        <w:gridCol w:w="2520"/>
        <w:gridCol w:w="2520"/>
        <w:gridCol w:w="2520"/>
      </w:tblGrid>
      <w:tr w:rsidR="00B17F2D" w14:paraId="6D6962F6" w14:textId="77777777">
        <w:trPr>
          <w:jc w:val="center"/>
        </w:trPr>
        <w:tc>
          <w:tcPr>
            <w:tcW w:w="2520" w:type="dxa"/>
            <w:shd w:val="clear" w:color="auto" w:fill="D9EAF7"/>
            <w:tcMar>
              <w:top w:w="80" w:type="dxa"/>
              <w:left w:w="100" w:type="dxa"/>
              <w:bottom w:w="80" w:type="dxa"/>
              <w:right w:w="100" w:type="dxa"/>
            </w:tcMar>
            <w:vAlign w:val="center"/>
          </w:tcPr>
          <w:p w14:paraId="6AB7CF73" w14:textId="77777777" w:rsidR="00B17F2D" w:rsidRDefault="00000000">
            <w:r>
              <w:rPr>
                <w:b/>
              </w:rPr>
              <w:t>Effective date</w:t>
            </w:r>
          </w:p>
        </w:tc>
        <w:tc>
          <w:tcPr>
            <w:tcW w:w="2520" w:type="dxa"/>
            <w:tcMar>
              <w:top w:w="80" w:type="dxa"/>
              <w:left w:w="100" w:type="dxa"/>
              <w:bottom w:w="80" w:type="dxa"/>
              <w:right w:w="100" w:type="dxa"/>
            </w:tcMar>
            <w:vAlign w:val="center"/>
          </w:tcPr>
          <w:p w14:paraId="289E70A1" w14:textId="77777777" w:rsidR="00B17F2D" w:rsidRDefault="00000000">
            <w:r>
              <w:t>14 February 2026</w:t>
            </w:r>
          </w:p>
        </w:tc>
        <w:tc>
          <w:tcPr>
            <w:tcW w:w="2520" w:type="dxa"/>
            <w:shd w:val="clear" w:color="auto" w:fill="D9EAF7"/>
            <w:tcMar>
              <w:top w:w="80" w:type="dxa"/>
              <w:left w:w="100" w:type="dxa"/>
              <w:bottom w:w="80" w:type="dxa"/>
              <w:right w:w="100" w:type="dxa"/>
            </w:tcMar>
            <w:vAlign w:val="center"/>
          </w:tcPr>
          <w:p w14:paraId="6153A202" w14:textId="77777777" w:rsidR="00B17F2D" w:rsidRDefault="00000000">
            <w:r>
              <w:rPr>
                <w:b/>
              </w:rPr>
              <w:t>Review date</w:t>
            </w:r>
          </w:p>
        </w:tc>
        <w:tc>
          <w:tcPr>
            <w:tcW w:w="2520" w:type="dxa"/>
            <w:tcMar>
              <w:top w:w="80" w:type="dxa"/>
              <w:left w:w="100" w:type="dxa"/>
              <w:bottom w:w="80" w:type="dxa"/>
              <w:right w:w="100" w:type="dxa"/>
            </w:tcMar>
            <w:vAlign w:val="center"/>
          </w:tcPr>
          <w:p w14:paraId="607B188A" w14:textId="77777777" w:rsidR="00B17F2D" w:rsidRDefault="00000000">
            <w:r>
              <w:t>14 August 2026</w:t>
            </w:r>
          </w:p>
        </w:tc>
      </w:tr>
      <w:tr w:rsidR="00B17F2D" w14:paraId="2B23D1ED" w14:textId="77777777">
        <w:trPr>
          <w:jc w:val="center"/>
        </w:trPr>
        <w:tc>
          <w:tcPr>
            <w:tcW w:w="2520" w:type="dxa"/>
            <w:shd w:val="clear" w:color="auto" w:fill="D9EAF7"/>
            <w:tcMar>
              <w:top w:w="80" w:type="dxa"/>
              <w:left w:w="100" w:type="dxa"/>
              <w:bottom w:w="80" w:type="dxa"/>
              <w:right w:w="100" w:type="dxa"/>
            </w:tcMar>
            <w:vAlign w:val="center"/>
          </w:tcPr>
          <w:p w14:paraId="7F0668BB" w14:textId="77777777" w:rsidR="00B17F2D" w:rsidRDefault="00000000">
            <w:r>
              <w:rPr>
                <w:b/>
              </w:rPr>
              <w:t>Owner</w:t>
            </w:r>
          </w:p>
        </w:tc>
        <w:tc>
          <w:tcPr>
            <w:tcW w:w="2520" w:type="dxa"/>
            <w:tcMar>
              <w:top w:w="80" w:type="dxa"/>
              <w:left w:w="100" w:type="dxa"/>
              <w:bottom w:w="80" w:type="dxa"/>
              <w:right w:w="100" w:type="dxa"/>
            </w:tcMar>
            <w:vAlign w:val="center"/>
          </w:tcPr>
          <w:p w14:paraId="33ECC765" w14:textId="77777777" w:rsidR="00B17F2D" w:rsidRDefault="00000000">
            <w:r>
              <w:t>IT Service Operations Manager</w:t>
            </w:r>
          </w:p>
        </w:tc>
        <w:tc>
          <w:tcPr>
            <w:tcW w:w="2520" w:type="dxa"/>
            <w:shd w:val="clear" w:color="auto" w:fill="D9EAF7"/>
            <w:tcMar>
              <w:top w:w="80" w:type="dxa"/>
              <w:left w:w="100" w:type="dxa"/>
              <w:bottom w:w="80" w:type="dxa"/>
              <w:right w:w="100" w:type="dxa"/>
            </w:tcMar>
            <w:vAlign w:val="center"/>
          </w:tcPr>
          <w:p w14:paraId="1DAA321A" w14:textId="77777777" w:rsidR="00B17F2D" w:rsidRDefault="00000000">
            <w:r>
              <w:rPr>
                <w:b/>
              </w:rPr>
              <w:t>Confidentiality</w:t>
            </w:r>
          </w:p>
        </w:tc>
        <w:tc>
          <w:tcPr>
            <w:tcW w:w="2520" w:type="dxa"/>
            <w:tcMar>
              <w:top w:w="80" w:type="dxa"/>
              <w:left w:w="100" w:type="dxa"/>
              <w:bottom w:w="80" w:type="dxa"/>
              <w:right w:w="100" w:type="dxa"/>
            </w:tcMar>
            <w:vAlign w:val="center"/>
          </w:tcPr>
          <w:p w14:paraId="2550E311" w14:textId="77777777" w:rsidR="00B17F2D" w:rsidRDefault="00000000">
            <w:r>
              <w:t>Internal Use</w:t>
            </w:r>
          </w:p>
        </w:tc>
      </w:tr>
      <w:tr w:rsidR="00B17F2D" w14:paraId="0577D38F" w14:textId="77777777">
        <w:trPr>
          <w:jc w:val="center"/>
        </w:trPr>
        <w:tc>
          <w:tcPr>
            <w:tcW w:w="2520" w:type="dxa"/>
            <w:shd w:val="clear" w:color="auto" w:fill="D9EAF7"/>
            <w:tcMar>
              <w:top w:w="80" w:type="dxa"/>
              <w:left w:w="100" w:type="dxa"/>
              <w:bottom w:w="80" w:type="dxa"/>
              <w:right w:w="100" w:type="dxa"/>
            </w:tcMar>
            <w:vAlign w:val="center"/>
          </w:tcPr>
          <w:p w14:paraId="18394745" w14:textId="77777777" w:rsidR="00B17F2D" w:rsidRDefault="00000000">
            <w:r>
              <w:rPr>
                <w:b/>
              </w:rPr>
              <w:t>Related systems</w:t>
            </w:r>
          </w:p>
        </w:tc>
        <w:tc>
          <w:tcPr>
            <w:tcW w:w="2520" w:type="dxa"/>
            <w:tcMar>
              <w:top w:w="80" w:type="dxa"/>
              <w:left w:w="100" w:type="dxa"/>
              <w:bottom w:w="80" w:type="dxa"/>
              <w:right w:w="100" w:type="dxa"/>
            </w:tcMar>
            <w:vAlign w:val="center"/>
          </w:tcPr>
          <w:p w14:paraId="686FD132" w14:textId="77777777" w:rsidR="00B17F2D" w:rsidRDefault="00000000">
            <w:r>
              <w:t>PulseDesk, SentinelID, SecurePath VPN</w:t>
            </w:r>
          </w:p>
        </w:tc>
        <w:tc>
          <w:tcPr>
            <w:tcW w:w="2520" w:type="dxa"/>
            <w:shd w:val="clear" w:color="auto" w:fill="D9EAF7"/>
            <w:tcMar>
              <w:top w:w="80" w:type="dxa"/>
              <w:left w:w="100" w:type="dxa"/>
              <w:bottom w:w="80" w:type="dxa"/>
              <w:right w:w="100" w:type="dxa"/>
            </w:tcMar>
            <w:vAlign w:val="center"/>
          </w:tcPr>
          <w:p w14:paraId="24B94EAC" w14:textId="77777777" w:rsidR="00B17F2D" w:rsidRDefault="00000000">
            <w:r>
              <w:rPr>
                <w:b/>
              </w:rPr>
              <w:t>Related docs</w:t>
            </w:r>
          </w:p>
        </w:tc>
        <w:tc>
          <w:tcPr>
            <w:tcW w:w="2520" w:type="dxa"/>
            <w:tcMar>
              <w:top w:w="80" w:type="dxa"/>
              <w:left w:w="100" w:type="dxa"/>
              <w:bottom w:w="80" w:type="dxa"/>
              <w:right w:w="100" w:type="dxa"/>
            </w:tcMar>
            <w:vAlign w:val="center"/>
          </w:tcPr>
          <w:p w14:paraId="740BD859" w14:textId="77777777" w:rsidR="00B17F2D" w:rsidRDefault="00000000">
            <w:r>
              <w:t>TEAMQA-IT-001, VAL-IT-003</w:t>
            </w:r>
          </w:p>
        </w:tc>
      </w:tr>
    </w:tbl>
    <w:p w14:paraId="60FBC6C6" w14:textId="77777777" w:rsidR="00B17F2D" w:rsidRDefault="00000000">
      <w:pPr>
        <w:pStyle w:val="Heading1"/>
      </w:pPr>
      <w:r>
        <w:rPr>
          <w:rFonts w:ascii="Aptos" w:hAnsi="Aptos"/>
          <w:color w:val="1F4E79"/>
          <w:sz w:val="30"/>
        </w:rPr>
        <w:t>Purpose and usage</w:t>
      </w:r>
    </w:p>
    <w:p w14:paraId="3605921E" w14:textId="77777777" w:rsidR="00B17F2D" w:rsidRDefault="00000000">
      <w:r>
        <w:t>This matrix defines how OrchestrAI IT classifies incoming workplace and service desk requests, the target response windows for each priority, and when a ticket must be reassigned or escalated. It applies to employee-facing issues involving endpoints, identity, collaboration tools, office connectivity, and access restoration.</w:t>
      </w:r>
    </w:p>
    <w:tbl>
      <w:tblPr>
        <w:tblStyle w:val="TableGrid"/>
        <w:tblW w:w="0" w:type="auto"/>
        <w:jc w:val="center"/>
        <w:tblLook w:val="04A0" w:firstRow="1" w:lastRow="0" w:firstColumn="1" w:lastColumn="0" w:noHBand="0" w:noVBand="1"/>
      </w:tblPr>
      <w:tblGrid>
        <w:gridCol w:w="10080"/>
      </w:tblGrid>
      <w:tr w:rsidR="00B17F2D" w14:paraId="74F56944" w14:textId="77777777">
        <w:trPr>
          <w:jc w:val="center"/>
        </w:trPr>
        <w:tc>
          <w:tcPr>
            <w:tcW w:w="10080" w:type="dxa"/>
            <w:shd w:val="clear" w:color="auto" w:fill="EEF4FB"/>
            <w:tcMar>
              <w:top w:w="80" w:type="dxa"/>
              <w:left w:w="100" w:type="dxa"/>
              <w:bottom w:w="80" w:type="dxa"/>
              <w:right w:w="100" w:type="dxa"/>
            </w:tcMar>
            <w:vAlign w:val="center"/>
          </w:tcPr>
          <w:p w14:paraId="0EC349DD" w14:textId="77777777" w:rsidR="00B17F2D" w:rsidRDefault="00000000">
            <w:r>
              <w:rPr>
                <w:sz w:val="19"/>
              </w:rPr>
              <w:t>Use this matrix when a request is opened, triaged, or reprioritized. The assigned priority must reflect business impact, user scope, and time sensitivity—not only the urgency stated by the requester.</w:t>
            </w:r>
          </w:p>
        </w:tc>
      </w:tr>
    </w:tbl>
    <w:p w14:paraId="05D44892" w14:textId="77777777" w:rsidR="00B17F2D" w:rsidRDefault="00000000">
      <w:pPr>
        <w:pStyle w:val="Heading1"/>
      </w:pPr>
      <w:r>
        <w:rPr>
          <w:rFonts w:ascii="Aptos" w:hAnsi="Aptos"/>
          <w:color w:val="1F4E79"/>
          <w:sz w:val="30"/>
        </w:rPr>
        <w:t>Priority classification matrix</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17F2D" w14:paraId="78DC9350" w14:textId="77777777">
        <w:trPr>
          <w:jc w:val="center"/>
        </w:trPr>
        <w:tc>
          <w:tcPr>
            <w:tcW w:w="2016" w:type="dxa"/>
            <w:shd w:val="clear" w:color="auto" w:fill="1F4E79"/>
            <w:tcMar>
              <w:top w:w="80" w:type="dxa"/>
              <w:left w:w="100" w:type="dxa"/>
              <w:bottom w:w="80" w:type="dxa"/>
              <w:right w:w="100" w:type="dxa"/>
            </w:tcMar>
            <w:vAlign w:val="center"/>
          </w:tcPr>
          <w:p w14:paraId="3BF0CE0C" w14:textId="77777777" w:rsidR="00B17F2D" w:rsidRDefault="00000000">
            <w:pPr>
              <w:jc w:val="center"/>
            </w:pPr>
            <w:r>
              <w:rPr>
                <w:b/>
                <w:color w:val="FFFFFF"/>
              </w:rPr>
              <w:t>Priority</w:t>
            </w:r>
          </w:p>
        </w:tc>
        <w:tc>
          <w:tcPr>
            <w:tcW w:w="2016" w:type="dxa"/>
            <w:shd w:val="clear" w:color="auto" w:fill="1F4E79"/>
            <w:tcMar>
              <w:top w:w="80" w:type="dxa"/>
              <w:left w:w="100" w:type="dxa"/>
              <w:bottom w:w="80" w:type="dxa"/>
              <w:right w:w="100" w:type="dxa"/>
            </w:tcMar>
            <w:vAlign w:val="center"/>
          </w:tcPr>
          <w:p w14:paraId="201D875D" w14:textId="77777777" w:rsidR="00B17F2D" w:rsidRDefault="00000000">
            <w:pPr>
              <w:jc w:val="center"/>
            </w:pPr>
            <w:r>
              <w:rPr>
                <w:b/>
                <w:color w:val="FFFFFF"/>
              </w:rPr>
              <w:t>Typical scenario</w:t>
            </w:r>
          </w:p>
        </w:tc>
        <w:tc>
          <w:tcPr>
            <w:tcW w:w="2016" w:type="dxa"/>
            <w:shd w:val="clear" w:color="auto" w:fill="1F4E79"/>
            <w:tcMar>
              <w:top w:w="80" w:type="dxa"/>
              <w:left w:w="100" w:type="dxa"/>
              <w:bottom w:w="80" w:type="dxa"/>
              <w:right w:w="100" w:type="dxa"/>
            </w:tcMar>
            <w:vAlign w:val="center"/>
          </w:tcPr>
          <w:p w14:paraId="27DECEEE" w14:textId="77777777" w:rsidR="00B17F2D" w:rsidRDefault="00000000">
            <w:pPr>
              <w:jc w:val="center"/>
            </w:pPr>
            <w:r>
              <w:rPr>
                <w:b/>
                <w:color w:val="FFFFFF"/>
              </w:rPr>
              <w:t>Initial response target</w:t>
            </w:r>
          </w:p>
        </w:tc>
        <w:tc>
          <w:tcPr>
            <w:tcW w:w="2016" w:type="dxa"/>
            <w:shd w:val="clear" w:color="auto" w:fill="1F4E79"/>
            <w:tcMar>
              <w:top w:w="80" w:type="dxa"/>
              <w:left w:w="100" w:type="dxa"/>
              <w:bottom w:w="80" w:type="dxa"/>
              <w:right w:w="100" w:type="dxa"/>
            </w:tcMar>
            <w:vAlign w:val="center"/>
          </w:tcPr>
          <w:p w14:paraId="29B559A1" w14:textId="77777777" w:rsidR="00B17F2D" w:rsidRDefault="00000000">
            <w:pPr>
              <w:jc w:val="center"/>
            </w:pPr>
            <w:r>
              <w:rPr>
                <w:b/>
                <w:color w:val="FFFFFF"/>
              </w:rPr>
              <w:t>Update cadence</w:t>
            </w:r>
          </w:p>
        </w:tc>
        <w:tc>
          <w:tcPr>
            <w:tcW w:w="2016" w:type="dxa"/>
            <w:shd w:val="clear" w:color="auto" w:fill="1F4E79"/>
            <w:tcMar>
              <w:top w:w="80" w:type="dxa"/>
              <w:left w:w="100" w:type="dxa"/>
              <w:bottom w:w="80" w:type="dxa"/>
              <w:right w:w="100" w:type="dxa"/>
            </w:tcMar>
            <w:vAlign w:val="center"/>
          </w:tcPr>
          <w:p w14:paraId="2D3C2ECF" w14:textId="77777777" w:rsidR="00B17F2D" w:rsidRDefault="00000000">
            <w:pPr>
              <w:jc w:val="center"/>
            </w:pPr>
            <w:r>
              <w:rPr>
                <w:b/>
                <w:color w:val="FFFFFF"/>
              </w:rPr>
              <w:t>Escalation trigger</w:t>
            </w:r>
          </w:p>
        </w:tc>
      </w:tr>
      <w:tr w:rsidR="00B17F2D" w14:paraId="106B4A0B" w14:textId="77777777">
        <w:trPr>
          <w:jc w:val="center"/>
        </w:trPr>
        <w:tc>
          <w:tcPr>
            <w:tcW w:w="2016" w:type="dxa"/>
            <w:shd w:val="clear" w:color="auto" w:fill="DCE6F1"/>
          </w:tcPr>
          <w:p w14:paraId="410C5548" w14:textId="77777777" w:rsidR="00B17F2D" w:rsidRDefault="00000000">
            <w:pPr>
              <w:jc w:val="center"/>
            </w:pPr>
            <w:r>
              <w:rPr>
                <w:b/>
              </w:rPr>
              <w:t>P1 Critical</w:t>
            </w:r>
          </w:p>
        </w:tc>
        <w:tc>
          <w:tcPr>
            <w:tcW w:w="2016" w:type="dxa"/>
          </w:tcPr>
          <w:p w14:paraId="11307051" w14:textId="77777777" w:rsidR="00B17F2D" w:rsidRDefault="00000000">
            <w:r>
              <w:t>Major outage affecting payroll, identity sign-in, company-wide Wi-Fi, or more than one office/warehouse location.</w:t>
            </w:r>
          </w:p>
        </w:tc>
        <w:tc>
          <w:tcPr>
            <w:tcW w:w="2016" w:type="dxa"/>
          </w:tcPr>
          <w:p w14:paraId="0A51A002" w14:textId="77777777" w:rsidR="00B17F2D" w:rsidRDefault="00000000">
            <w:r>
              <w:t>15 minutes</w:t>
            </w:r>
          </w:p>
        </w:tc>
        <w:tc>
          <w:tcPr>
            <w:tcW w:w="2016" w:type="dxa"/>
          </w:tcPr>
          <w:p w14:paraId="78741243" w14:textId="77777777" w:rsidR="00B17F2D" w:rsidRDefault="00000000">
            <w:r>
              <w:t>Every 30 minutes until stabilized</w:t>
            </w:r>
          </w:p>
        </w:tc>
        <w:tc>
          <w:tcPr>
            <w:tcW w:w="2016" w:type="dxa"/>
          </w:tcPr>
          <w:p w14:paraId="17ED949F" w14:textId="77777777" w:rsidR="00B17F2D" w:rsidRDefault="00000000">
            <w:r>
              <w:t>No active owner within 10 minutes, or impact broadens beyond one region</w:t>
            </w:r>
          </w:p>
        </w:tc>
      </w:tr>
      <w:tr w:rsidR="00B17F2D" w14:paraId="78203EEE" w14:textId="77777777">
        <w:trPr>
          <w:jc w:val="center"/>
        </w:trPr>
        <w:tc>
          <w:tcPr>
            <w:tcW w:w="2016" w:type="dxa"/>
            <w:shd w:val="clear" w:color="auto" w:fill="EAF2F8"/>
          </w:tcPr>
          <w:p w14:paraId="7F0436E6" w14:textId="77777777" w:rsidR="00B17F2D" w:rsidRDefault="00000000">
            <w:pPr>
              <w:jc w:val="center"/>
            </w:pPr>
            <w:r>
              <w:rPr>
                <w:b/>
              </w:rPr>
              <w:t>P2 High</w:t>
            </w:r>
          </w:p>
        </w:tc>
        <w:tc>
          <w:tcPr>
            <w:tcW w:w="2016" w:type="dxa"/>
          </w:tcPr>
          <w:p w14:paraId="5FBB0A84" w14:textId="77777777" w:rsidR="00B17F2D" w:rsidRDefault="00000000">
            <w:r>
              <w:t>Service degradation blocking a department, executive user, launch event, or time-bound business process.</w:t>
            </w:r>
          </w:p>
        </w:tc>
        <w:tc>
          <w:tcPr>
            <w:tcW w:w="2016" w:type="dxa"/>
          </w:tcPr>
          <w:p w14:paraId="258F58A0" w14:textId="77777777" w:rsidR="00B17F2D" w:rsidRDefault="00000000">
            <w:r>
              <w:t>30 minutes</w:t>
            </w:r>
          </w:p>
        </w:tc>
        <w:tc>
          <w:tcPr>
            <w:tcW w:w="2016" w:type="dxa"/>
          </w:tcPr>
          <w:p w14:paraId="0747B078" w14:textId="77777777" w:rsidR="00B17F2D" w:rsidRDefault="00000000">
            <w:r>
              <w:t>Every 60 minutes</w:t>
            </w:r>
          </w:p>
        </w:tc>
        <w:tc>
          <w:tcPr>
            <w:tcW w:w="2016" w:type="dxa"/>
          </w:tcPr>
          <w:p w14:paraId="6449A3DD" w14:textId="77777777" w:rsidR="00B17F2D" w:rsidRDefault="00000000">
            <w:r>
              <w:t>Workaround unavailable after 2 hours or more than 25 users affected</w:t>
            </w:r>
          </w:p>
        </w:tc>
      </w:tr>
      <w:tr w:rsidR="00B17F2D" w14:paraId="019CDA56" w14:textId="77777777">
        <w:trPr>
          <w:jc w:val="center"/>
        </w:trPr>
        <w:tc>
          <w:tcPr>
            <w:tcW w:w="2016" w:type="dxa"/>
            <w:shd w:val="clear" w:color="auto" w:fill="F7F9FB"/>
          </w:tcPr>
          <w:p w14:paraId="081B3503" w14:textId="77777777" w:rsidR="00B17F2D" w:rsidRDefault="00000000">
            <w:pPr>
              <w:jc w:val="center"/>
            </w:pPr>
            <w:r>
              <w:rPr>
                <w:b/>
              </w:rPr>
              <w:t>P3 Medium</w:t>
            </w:r>
          </w:p>
        </w:tc>
        <w:tc>
          <w:tcPr>
            <w:tcW w:w="2016" w:type="dxa"/>
          </w:tcPr>
          <w:p w14:paraId="16CD7402" w14:textId="77777777" w:rsidR="00B17F2D" w:rsidRDefault="00000000">
            <w:r>
              <w:t>Single-user issue with business impact, degraded collaboration tools, standard device replacement, or role-based access delay.</w:t>
            </w:r>
          </w:p>
        </w:tc>
        <w:tc>
          <w:tcPr>
            <w:tcW w:w="2016" w:type="dxa"/>
          </w:tcPr>
          <w:p w14:paraId="62E821E1" w14:textId="77777777" w:rsidR="00B17F2D" w:rsidRDefault="00000000">
            <w:r>
              <w:t>4 business hours</w:t>
            </w:r>
          </w:p>
        </w:tc>
        <w:tc>
          <w:tcPr>
            <w:tcW w:w="2016" w:type="dxa"/>
          </w:tcPr>
          <w:p w14:paraId="7E689491" w14:textId="77777777" w:rsidR="00B17F2D" w:rsidRDefault="00000000">
            <w:r>
              <w:t>Once per business day</w:t>
            </w:r>
          </w:p>
        </w:tc>
        <w:tc>
          <w:tcPr>
            <w:tcW w:w="2016" w:type="dxa"/>
          </w:tcPr>
          <w:p w14:paraId="0D188B18" w14:textId="77777777" w:rsidR="00B17F2D" w:rsidRDefault="00000000">
            <w:r>
              <w:t>Repeated reopen, missed handoff, or dependency on vendor action beyond SLA</w:t>
            </w:r>
          </w:p>
        </w:tc>
      </w:tr>
      <w:tr w:rsidR="00B17F2D" w14:paraId="2777783F" w14:textId="77777777">
        <w:trPr>
          <w:jc w:val="center"/>
        </w:trPr>
        <w:tc>
          <w:tcPr>
            <w:tcW w:w="2016" w:type="dxa"/>
            <w:shd w:val="clear" w:color="auto" w:fill="FCFCFC"/>
          </w:tcPr>
          <w:p w14:paraId="7970B4B5" w14:textId="77777777" w:rsidR="00B17F2D" w:rsidRDefault="00000000">
            <w:pPr>
              <w:jc w:val="center"/>
            </w:pPr>
            <w:r>
              <w:rPr>
                <w:b/>
              </w:rPr>
              <w:lastRenderedPageBreak/>
              <w:t>P4 Low</w:t>
            </w:r>
          </w:p>
        </w:tc>
        <w:tc>
          <w:tcPr>
            <w:tcW w:w="2016" w:type="dxa"/>
          </w:tcPr>
          <w:p w14:paraId="73D18F0B" w14:textId="77777777" w:rsidR="00B17F2D" w:rsidRDefault="00000000">
            <w:r>
              <w:t>Routine request, advice, cosmetic issue, peripheral swap, or standard software install with no active business block.</w:t>
            </w:r>
          </w:p>
        </w:tc>
        <w:tc>
          <w:tcPr>
            <w:tcW w:w="2016" w:type="dxa"/>
          </w:tcPr>
          <w:p w14:paraId="49699800" w14:textId="77777777" w:rsidR="00B17F2D" w:rsidRDefault="00000000">
            <w:r>
              <w:t>1 business day</w:t>
            </w:r>
          </w:p>
        </w:tc>
        <w:tc>
          <w:tcPr>
            <w:tcW w:w="2016" w:type="dxa"/>
          </w:tcPr>
          <w:p w14:paraId="72F90D57" w14:textId="77777777" w:rsidR="00B17F2D" w:rsidRDefault="00000000">
            <w:r>
              <w:t>At milestone changes only</w:t>
            </w:r>
          </w:p>
        </w:tc>
        <w:tc>
          <w:tcPr>
            <w:tcW w:w="2016" w:type="dxa"/>
          </w:tcPr>
          <w:p w14:paraId="5781BE89" w14:textId="77777777" w:rsidR="00B17F2D" w:rsidRDefault="00000000">
            <w:r>
              <w:t>Aging beyond 5 business days without requester action or assignment</w:t>
            </w:r>
          </w:p>
        </w:tc>
      </w:tr>
    </w:tbl>
    <w:p w14:paraId="2D4CC0A3" w14:textId="77777777" w:rsidR="00B17F2D" w:rsidRDefault="00000000">
      <w:pPr>
        <w:pStyle w:val="Heading1"/>
      </w:pPr>
      <w:r>
        <w:rPr>
          <w:rFonts w:ascii="Aptos" w:hAnsi="Aptos"/>
          <w:color w:val="1F4E79"/>
          <w:sz w:val="30"/>
        </w:rPr>
        <w:t>Triage rules</w:t>
      </w:r>
    </w:p>
    <w:p w14:paraId="7486E615" w14:textId="77777777" w:rsidR="00B17F2D" w:rsidRDefault="00000000">
      <w:pPr>
        <w:pStyle w:val="ListBullet"/>
        <w:spacing w:after="40"/>
      </w:pPr>
      <w:r>
        <w:t>A request may be raised to a higher priority when a deadline-bound event, customer audit, security dependency, or executive travel constraint is documented in the ticket.</w:t>
      </w:r>
    </w:p>
    <w:p w14:paraId="7635AEA8" w14:textId="77777777" w:rsidR="00B17F2D" w:rsidRDefault="00000000">
      <w:pPr>
        <w:pStyle w:val="ListBullet"/>
        <w:spacing w:after="40"/>
      </w:pPr>
      <w:r>
        <w:t>A request must not be marked P1 solely because a user indicates urgency in chat or email. The service desk must validate business impact and affected population.</w:t>
      </w:r>
    </w:p>
    <w:p w14:paraId="047A6CFA" w14:textId="77777777" w:rsidR="00B17F2D" w:rsidRDefault="00000000">
      <w:pPr>
        <w:pStyle w:val="ListBullet"/>
        <w:spacing w:after="40"/>
      </w:pPr>
      <w:r>
        <w:t>Identity, VPN, and device-lockout issues for on-call engineering, finance close, or warehouse supervisors should default to at least P2 when no workaround exists.</w:t>
      </w:r>
    </w:p>
    <w:p w14:paraId="67B375BB" w14:textId="77777777" w:rsidR="00B17F2D" w:rsidRDefault="00000000">
      <w:pPr>
        <w:pStyle w:val="ListBullet"/>
        <w:spacing w:after="40"/>
      </w:pPr>
      <w:r>
        <w:t>Duplicate tickets tied to the same outage should be linked under the parent incident rather than independently assigned and escalated.</w:t>
      </w:r>
    </w:p>
    <w:p w14:paraId="6AB868A3" w14:textId="77777777" w:rsidR="00B17F2D" w:rsidRDefault="00000000">
      <w:pPr>
        <w:pStyle w:val="Heading1"/>
      </w:pPr>
      <w:r>
        <w:rPr>
          <w:rFonts w:ascii="Aptos" w:hAnsi="Aptos"/>
          <w:color w:val="1F4E79"/>
          <w:sz w:val="30"/>
        </w:rPr>
        <w:t>Routing and ownership rules</w:t>
      </w:r>
    </w:p>
    <w:tbl>
      <w:tblPr>
        <w:tblStyle w:val="TableGrid"/>
        <w:tblW w:w="0" w:type="auto"/>
        <w:jc w:val="center"/>
        <w:tblLook w:val="04A0" w:firstRow="1" w:lastRow="0" w:firstColumn="1" w:lastColumn="0" w:noHBand="0" w:noVBand="1"/>
      </w:tblPr>
      <w:tblGrid>
        <w:gridCol w:w="2520"/>
        <w:gridCol w:w="2520"/>
        <w:gridCol w:w="2520"/>
        <w:gridCol w:w="2520"/>
      </w:tblGrid>
      <w:tr w:rsidR="00B17F2D" w14:paraId="4FA4657C" w14:textId="77777777">
        <w:trPr>
          <w:jc w:val="center"/>
        </w:trPr>
        <w:tc>
          <w:tcPr>
            <w:tcW w:w="2520" w:type="dxa"/>
            <w:shd w:val="clear" w:color="auto" w:fill="D9EAF7"/>
            <w:tcMar>
              <w:top w:w="80" w:type="dxa"/>
              <w:left w:w="100" w:type="dxa"/>
              <w:bottom w:w="80" w:type="dxa"/>
              <w:right w:w="100" w:type="dxa"/>
            </w:tcMar>
            <w:vAlign w:val="center"/>
          </w:tcPr>
          <w:p w14:paraId="3F933006" w14:textId="77777777" w:rsidR="00B17F2D" w:rsidRDefault="00000000">
            <w:r>
              <w:rPr>
                <w:b/>
              </w:rPr>
              <w:t>Category</w:t>
            </w:r>
          </w:p>
        </w:tc>
        <w:tc>
          <w:tcPr>
            <w:tcW w:w="2520" w:type="dxa"/>
            <w:shd w:val="clear" w:color="auto" w:fill="D9EAF7"/>
            <w:tcMar>
              <w:top w:w="80" w:type="dxa"/>
              <w:left w:w="100" w:type="dxa"/>
              <w:bottom w:w="80" w:type="dxa"/>
              <w:right w:w="100" w:type="dxa"/>
            </w:tcMar>
            <w:vAlign w:val="center"/>
          </w:tcPr>
          <w:p w14:paraId="0CA624DC" w14:textId="77777777" w:rsidR="00B17F2D" w:rsidRDefault="00000000">
            <w:r>
              <w:rPr>
                <w:b/>
              </w:rPr>
              <w:t>Primary queue</w:t>
            </w:r>
          </w:p>
        </w:tc>
        <w:tc>
          <w:tcPr>
            <w:tcW w:w="2520" w:type="dxa"/>
            <w:shd w:val="clear" w:color="auto" w:fill="D9EAF7"/>
            <w:tcMar>
              <w:top w:w="80" w:type="dxa"/>
              <w:left w:w="100" w:type="dxa"/>
              <w:bottom w:w="80" w:type="dxa"/>
              <w:right w:w="100" w:type="dxa"/>
            </w:tcMar>
            <w:vAlign w:val="center"/>
          </w:tcPr>
          <w:p w14:paraId="5CE0B4C2" w14:textId="77777777" w:rsidR="00B17F2D" w:rsidRDefault="00000000">
            <w:r>
              <w:rPr>
                <w:b/>
              </w:rPr>
              <w:t>Secondary team</w:t>
            </w:r>
          </w:p>
        </w:tc>
        <w:tc>
          <w:tcPr>
            <w:tcW w:w="2520" w:type="dxa"/>
            <w:shd w:val="clear" w:color="auto" w:fill="D9EAF7"/>
            <w:tcMar>
              <w:top w:w="80" w:type="dxa"/>
              <w:left w:w="100" w:type="dxa"/>
              <w:bottom w:w="80" w:type="dxa"/>
              <w:right w:w="100" w:type="dxa"/>
            </w:tcMar>
            <w:vAlign w:val="center"/>
          </w:tcPr>
          <w:p w14:paraId="33835018" w14:textId="77777777" w:rsidR="00B17F2D" w:rsidRDefault="00000000">
            <w:r>
              <w:rPr>
                <w:b/>
              </w:rPr>
              <w:t>Notes</w:t>
            </w:r>
          </w:p>
        </w:tc>
      </w:tr>
      <w:tr w:rsidR="00B17F2D" w14:paraId="2804D996" w14:textId="77777777">
        <w:trPr>
          <w:jc w:val="center"/>
        </w:trPr>
        <w:tc>
          <w:tcPr>
            <w:tcW w:w="2520" w:type="dxa"/>
          </w:tcPr>
          <w:p w14:paraId="70D62BCC" w14:textId="77777777" w:rsidR="00B17F2D" w:rsidRDefault="00000000">
            <w:r>
              <w:t>Identity / MFA</w:t>
            </w:r>
          </w:p>
        </w:tc>
        <w:tc>
          <w:tcPr>
            <w:tcW w:w="2520" w:type="dxa"/>
          </w:tcPr>
          <w:p w14:paraId="635B2492" w14:textId="77777777" w:rsidR="00B17F2D" w:rsidRDefault="00000000">
            <w:r>
              <w:t>Service Desk Identity Queue</w:t>
            </w:r>
          </w:p>
        </w:tc>
        <w:tc>
          <w:tcPr>
            <w:tcW w:w="2520" w:type="dxa"/>
          </w:tcPr>
          <w:p w14:paraId="3A96F1CC" w14:textId="77777777" w:rsidR="00B17F2D" w:rsidRDefault="00000000">
            <w:r>
              <w:t>Security Operations</w:t>
            </w:r>
          </w:p>
        </w:tc>
        <w:tc>
          <w:tcPr>
            <w:tcW w:w="2520" w:type="dxa"/>
          </w:tcPr>
          <w:p w14:paraId="4BC6E325" w14:textId="77777777" w:rsidR="00B17F2D" w:rsidRDefault="00000000">
            <w:r>
              <w:t>Escalate to Security only when conditional-access or suspicious-sign-in indicators exist.</w:t>
            </w:r>
          </w:p>
        </w:tc>
      </w:tr>
      <w:tr w:rsidR="00B17F2D" w14:paraId="4E2F5B07" w14:textId="77777777">
        <w:trPr>
          <w:jc w:val="center"/>
        </w:trPr>
        <w:tc>
          <w:tcPr>
            <w:tcW w:w="2520" w:type="dxa"/>
          </w:tcPr>
          <w:p w14:paraId="5D1C0C7B" w14:textId="77777777" w:rsidR="00B17F2D" w:rsidRDefault="00000000">
            <w:r>
              <w:t>VPN / Remote access</w:t>
            </w:r>
          </w:p>
        </w:tc>
        <w:tc>
          <w:tcPr>
            <w:tcW w:w="2520" w:type="dxa"/>
          </w:tcPr>
          <w:p w14:paraId="1817C558" w14:textId="77777777" w:rsidR="00B17F2D" w:rsidRDefault="00000000">
            <w:r>
              <w:t>Network Support Queue</w:t>
            </w:r>
          </w:p>
        </w:tc>
        <w:tc>
          <w:tcPr>
            <w:tcW w:w="2520" w:type="dxa"/>
          </w:tcPr>
          <w:p w14:paraId="62FA81B4" w14:textId="77777777" w:rsidR="00B17F2D" w:rsidRDefault="00000000">
            <w:r>
              <w:t>Security Operations</w:t>
            </w:r>
          </w:p>
        </w:tc>
        <w:tc>
          <w:tcPr>
            <w:tcW w:w="2520" w:type="dxa"/>
          </w:tcPr>
          <w:p w14:paraId="3F4ED432" w14:textId="77777777" w:rsidR="00B17F2D" w:rsidRDefault="00000000">
            <w:r>
              <w:t>Use incident workflow for widespread tunnel failures or certificate expiry events.</w:t>
            </w:r>
          </w:p>
        </w:tc>
      </w:tr>
      <w:tr w:rsidR="00B17F2D" w14:paraId="23417826" w14:textId="77777777">
        <w:trPr>
          <w:jc w:val="center"/>
        </w:trPr>
        <w:tc>
          <w:tcPr>
            <w:tcW w:w="2520" w:type="dxa"/>
          </w:tcPr>
          <w:p w14:paraId="09C405B8" w14:textId="77777777" w:rsidR="00B17F2D" w:rsidRDefault="00000000">
            <w:r>
              <w:t>Endpoint hardware</w:t>
            </w:r>
          </w:p>
        </w:tc>
        <w:tc>
          <w:tcPr>
            <w:tcW w:w="2520" w:type="dxa"/>
          </w:tcPr>
          <w:p w14:paraId="401C2615" w14:textId="77777777" w:rsidR="00B17F2D" w:rsidRDefault="00000000">
            <w:r>
              <w:t>Device Lifecycle Queue</w:t>
            </w:r>
          </w:p>
        </w:tc>
        <w:tc>
          <w:tcPr>
            <w:tcW w:w="2520" w:type="dxa"/>
          </w:tcPr>
          <w:p w14:paraId="12EDBCFD" w14:textId="77777777" w:rsidR="00B17F2D" w:rsidRDefault="00000000">
            <w:r>
              <w:t>Procurement / Workplace Ops</w:t>
            </w:r>
          </w:p>
        </w:tc>
        <w:tc>
          <w:tcPr>
            <w:tcW w:w="2520" w:type="dxa"/>
          </w:tcPr>
          <w:p w14:paraId="4577E2B8" w14:textId="77777777" w:rsidR="00B17F2D" w:rsidRDefault="00000000">
            <w:r>
              <w:t>Loaner coordination required for executives, field engineers, and warehouse supervisors.</w:t>
            </w:r>
          </w:p>
        </w:tc>
      </w:tr>
      <w:tr w:rsidR="00B17F2D" w14:paraId="3C61753E" w14:textId="77777777">
        <w:trPr>
          <w:jc w:val="center"/>
        </w:trPr>
        <w:tc>
          <w:tcPr>
            <w:tcW w:w="2520" w:type="dxa"/>
          </w:tcPr>
          <w:p w14:paraId="21AB1256" w14:textId="77777777" w:rsidR="00B17F2D" w:rsidRDefault="00000000">
            <w:r>
              <w:t>Collaboration tools</w:t>
            </w:r>
          </w:p>
        </w:tc>
        <w:tc>
          <w:tcPr>
            <w:tcW w:w="2520" w:type="dxa"/>
          </w:tcPr>
          <w:p w14:paraId="3AEB407D" w14:textId="77777777" w:rsidR="00B17F2D" w:rsidRDefault="00000000">
            <w:r>
              <w:t>Productivity Apps Queue</w:t>
            </w:r>
          </w:p>
        </w:tc>
        <w:tc>
          <w:tcPr>
            <w:tcW w:w="2520" w:type="dxa"/>
          </w:tcPr>
          <w:p w14:paraId="6E15CDAE" w14:textId="77777777" w:rsidR="00B17F2D" w:rsidRDefault="00000000">
            <w:r>
              <w:t>Vendor Management</w:t>
            </w:r>
          </w:p>
        </w:tc>
        <w:tc>
          <w:tcPr>
            <w:tcW w:w="2520" w:type="dxa"/>
          </w:tcPr>
          <w:p w14:paraId="558076FC" w14:textId="77777777" w:rsidR="00B17F2D" w:rsidRDefault="00000000">
            <w:r>
              <w:t>Vendor escalation permitted after internal triage reproduces the issue.</w:t>
            </w:r>
          </w:p>
        </w:tc>
      </w:tr>
    </w:tbl>
    <w:p w14:paraId="01DBA13F" w14:textId="77777777" w:rsidR="00B17F2D" w:rsidRDefault="00000000">
      <w:pPr>
        <w:pStyle w:val="Heading1"/>
      </w:pPr>
      <w:r>
        <w:rPr>
          <w:rFonts w:ascii="Aptos" w:hAnsi="Aptos"/>
          <w:color w:val="1F4E79"/>
          <w:sz w:val="30"/>
        </w:rPr>
        <w:t>Operational notes</w:t>
      </w:r>
    </w:p>
    <w:p w14:paraId="61C59991" w14:textId="77777777" w:rsidR="00B17F2D" w:rsidRDefault="00000000">
      <w:pPr>
        <w:pStyle w:val="ListBullet"/>
        <w:spacing w:after="40"/>
      </w:pPr>
      <w:r>
        <w:t>All P1 and P2 tickets require a named owner in PulseDesk and a time-stamped customer-facing note before reassignment.</w:t>
      </w:r>
    </w:p>
    <w:p w14:paraId="74A14BE8" w14:textId="77777777" w:rsidR="00B17F2D" w:rsidRDefault="00000000">
      <w:pPr>
        <w:pStyle w:val="ListBullet"/>
        <w:spacing w:after="40"/>
      </w:pPr>
      <w:r>
        <w:t>If a ticket is pending requester response, the service desk must set a follow-up date rather than leaving the case unowned.</w:t>
      </w:r>
    </w:p>
    <w:p w14:paraId="6AE9FA44" w14:textId="77777777" w:rsidR="00B17F2D" w:rsidRDefault="00000000">
      <w:pPr>
        <w:pStyle w:val="ListBullet"/>
        <w:spacing w:after="40"/>
      </w:pPr>
      <w:r>
        <w:t>Warehouse and shipping site issues should include the site code, shift, and affected dock or zone to avoid misrouting to corporate office support.</w:t>
      </w:r>
    </w:p>
    <w:p w14:paraId="2D32EDA1" w14:textId="77777777" w:rsidR="00B17F2D" w:rsidRDefault="00000000">
      <w:pPr>
        <w:pStyle w:val="ListBullet"/>
        <w:spacing w:after="40"/>
      </w:pPr>
      <w:r>
        <w:lastRenderedPageBreak/>
        <w:t>Priority changes after intake must be captured in the activity log with a brief rationale for auditability and post-incident review.</w:t>
      </w:r>
    </w:p>
    <w:p w14:paraId="15D2F4C2" w14:textId="77777777" w:rsidR="00B17F2D" w:rsidRDefault="00000000">
      <w:pPr>
        <w:pStyle w:val="Heading1"/>
      </w:pPr>
      <w:r>
        <w:rPr>
          <w:rFonts w:ascii="Aptos" w:hAnsi="Aptos"/>
          <w:color w:val="1F4E79"/>
          <w:sz w:val="30"/>
        </w:rPr>
        <w:t>Keywords and retrieval anchors</w:t>
      </w:r>
    </w:p>
    <w:p w14:paraId="590483F4" w14:textId="77777777" w:rsidR="00B17F2D" w:rsidRDefault="00000000">
      <w:r>
        <w:t>Useful search terms expected in related tickets or summaries include service desk severity, ticket priority, triage matrix, response target, update cadence, reassign threshold, endpoint issue, VPN incident, identity access delay, and executive support escalation.</w:t>
      </w:r>
    </w:p>
    <w:sectPr w:rsidR="00B17F2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42806">
    <w:abstractNumId w:val="8"/>
  </w:num>
  <w:num w:numId="2" w16cid:durableId="1888640235">
    <w:abstractNumId w:val="6"/>
  </w:num>
  <w:num w:numId="3" w16cid:durableId="1244414615">
    <w:abstractNumId w:val="5"/>
  </w:num>
  <w:num w:numId="4" w16cid:durableId="693071172">
    <w:abstractNumId w:val="4"/>
  </w:num>
  <w:num w:numId="5" w16cid:durableId="335888805">
    <w:abstractNumId w:val="7"/>
  </w:num>
  <w:num w:numId="6" w16cid:durableId="1470785818">
    <w:abstractNumId w:val="3"/>
  </w:num>
  <w:num w:numId="7" w16cid:durableId="1617524805">
    <w:abstractNumId w:val="2"/>
  </w:num>
  <w:num w:numId="8" w16cid:durableId="247734466">
    <w:abstractNumId w:val="1"/>
  </w:num>
  <w:num w:numId="9" w16cid:durableId="76326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2E"/>
    <w:rsid w:val="0015074B"/>
    <w:rsid w:val="002755EB"/>
    <w:rsid w:val="0029639D"/>
    <w:rsid w:val="002D2376"/>
    <w:rsid w:val="00326F90"/>
    <w:rsid w:val="00AA1D8D"/>
    <w:rsid w:val="00B17F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3E7F2"/>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549</Words>
  <Characters>3544</Characters>
  <Application>Microsoft Office Word</Application>
  <DocSecurity>0</DocSecurity>
  <Lines>126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