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38BD1" w14:textId="77777777" w:rsidR="00E32B13" w:rsidRDefault="00000000">
      <w:pPr>
        <w:jc w:val="center"/>
      </w:pPr>
      <w:r>
        <w:rPr>
          <w:rFonts w:ascii="Aptos Display" w:hAnsi="Aptos Display"/>
          <w:b/>
          <w:color w:val="173F5F"/>
          <w:sz w:val="40"/>
        </w:rPr>
        <w:t>OrchestrAI</w:t>
      </w:r>
    </w:p>
    <w:p w14:paraId="68F7ACC9" w14:textId="77777777" w:rsidR="00E32B13" w:rsidRDefault="00000000">
      <w:pPr>
        <w:spacing w:after="80"/>
        <w:jc w:val="center"/>
      </w:pPr>
      <w:r>
        <w:rPr>
          <w:rFonts w:ascii="Aptos Display" w:hAnsi="Aptos Display"/>
          <w:b/>
          <w:color w:val="173F5F"/>
          <w:sz w:val="30"/>
        </w:rPr>
        <w:t>Regional Delivery SLA Matrix</w:t>
      </w:r>
    </w:p>
    <w:p w14:paraId="00AC8F63" w14:textId="77777777" w:rsidR="00E32B13" w:rsidRDefault="00000000">
      <w:pPr>
        <w:spacing w:after="40" w:line="269" w:lineRule="auto"/>
        <w:jc w:val="center"/>
      </w:pPr>
      <w:r>
        <w:rPr>
          <w:rFonts w:ascii="Aptos" w:hAnsi="Aptos"/>
          <w:color w:val="5B6570"/>
          <w:sz w:val="18"/>
        </w:rPr>
        <w:t>Document ID: VAL-LOG-004   |   Department: Logistics and Field Fulfillment   |   Version: 1.0   |   Effective Date: 2026-02-03</w:t>
      </w:r>
    </w:p>
    <w:p w14:paraId="77057FCF" w14:textId="77777777" w:rsidR="00E32B13" w:rsidRDefault="00000000">
      <w:pPr>
        <w:spacing w:after="240" w:line="269" w:lineRule="auto"/>
        <w:jc w:val="center"/>
      </w:pPr>
      <w:r>
        <w:rPr>
          <w:rFonts w:ascii="Aptos" w:hAnsi="Aptos"/>
          <w:color w:val="5B6570"/>
          <w:sz w:val="18"/>
        </w:rPr>
        <w:t>Owner: Regional Operations Planning   |   Confidentiality: Internal Use Only   |   Review Date: 2026-08-03</w:t>
      </w:r>
    </w:p>
    <w:tbl>
      <w:tblPr>
        <w:tblW w:w="0" w:type="auto"/>
        <w:jc w:val="center"/>
        <w:tblLayout w:type="fixed"/>
        <w:tblLook w:val="04A0" w:firstRow="1" w:lastRow="0" w:firstColumn="1" w:lastColumn="0" w:noHBand="0" w:noVBand="1"/>
      </w:tblPr>
      <w:tblGrid>
        <w:gridCol w:w="10166"/>
      </w:tblGrid>
      <w:tr w:rsidR="00E32B13" w14:paraId="45B25724" w14:textId="77777777">
        <w:trPr>
          <w:jc w:val="center"/>
        </w:trPr>
        <w:tc>
          <w:tcPr>
            <w:tcW w:w="10166" w:type="dxa"/>
            <w:shd w:val="clear" w:color="auto" w:fill="EAF2F8"/>
            <w:tcMar>
              <w:top w:w="80" w:type="dxa"/>
              <w:left w:w="90" w:type="dxa"/>
              <w:bottom w:w="80" w:type="dxa"/>
              <w:right w:w="90" w:type="dxa"/>
            </w:tcMar>
            <w:vAlign w:val="center"/>
          </w:tcPr>
          <w:p w14:paraId="290526E8" w14:textId="77777777" w:rsidR="00E32B13" w:rsidRDefault="00000000">
            <w:pPr>
              <w:spacing w:after="0" w:line="240" w:lineRule="auto"/>
            </w:pPr>
            <w:r>
              <w:rPr>
                <w:rFonts w:ascii="Aptos" w:hAnsi="Aptos"/>
                <w:color w:val="1F1F1F"/>
                <w:sz w:val="19"/>
              </w:rPr>
              <w:t>Purpose: Defines standard delivery service levels for OrchestrAI shipments moving from regional hubs to customer sites, integration partners, and authorized service depots. Use this matrix when validating commitments, escalating missed windows, or assessing customer-impact severity.</w:t>
            </w:r>
          </w:p>
        </w:tc>
      </w:tr>
    </w:tbl>
    <w:p w14:paraId="65C5D725" w14:textId="77777777" w:rsidR="00E32B13" w:rsidRDefault="00000000">
      <w:pPr>
        <w:spacing w:before="200" w:after="80" w:line="269" w:lineRule="auto"/>
      </w:pPr>
      <w:r>
        <w:rPr>
          <w:rFonts w:ascii="Aptos" w:hAnsi="Aptos"/>
          <w:b/>
          <w:color w:val="173F5F"/>
          <w:sz w:val="23"/>
        </w:rPr>
        <w:t>Applicability</w:t>
      </w:r>
    </w:p>
    <w:p w14:paraId="71DB82D3" w14:textId="77777777" w:rsidR="00E32B13" w:rsidRDefault="00000000">
      <w:pPr>
        <w:spacing w:after="160" w:line="269" w:lineRule="auto"/>
      </w:pPr>
      <w:r>
        <w:rPr>
          <w:rFonts w:ascii="Aptos" w:hAnsi="Aptos"/>
          <w:color w:val="333333"/>
          <w:sz w:val="19"/>
        </w:rPr>
        <w:t>The matrix applies to packaged edge gateways, sensor kits, replacement compute modules, and approved RMA returns moving through OrchestrAI logistics channels in North America, Europe, and the Middle East. Time commitments are measured from shipping release confirmation to customer-ready delivery, excluding customs holds and force majeure events unless specifically stated in the order record.</w:t>
      </w:r>
    </w:p>
    <w:p w14:paraId="0D36D76F" w14:textId="77777777" w:rsidR="00E32B13" w:rsidRDefault="00000000">
      <w:pPr>
        <w:spacing w:before="80" w:after="100" w:line="269" w:lineRule="auto"/>
      </w:pPr>
      <w:r>
        <w:rPr>
          <w:rFonts w:ascii="Aptos" w:hAnsi="Aptos"/>
          <w:b/>
          <w:color w:val="173F5F"/>
          <w:sz w:val="23"/>
        </w:rPr>
        <w:t>SLA Matrix</w:t>
      </w:r>
    </w:p>
    <w:tbl>
      <w:tblPr>
        <w:tblStyle w:val="TableGrid"/>
        <w:tblW w:w="0" w:type="auto"/>
        <w:jc w:val="center"/>
        <w:tblLayout w:type="fixed"/>
        <w:tblLook w:val="04A0" w:firstRow="1" w:lastRow="0" w:firstColumn="1" w:lastColumn="0" w:noHBand="0" w:noVBand="1"/>
      </w:tblPr>
      <w:tblGrid>
        <w:gridCol w:w="1368"/>
        <w:gridCol w:w="2232"/>
        <w:gridCol w:w="2232"/>
        <w:gridCol w:w="2520"/>
        <w:gridCol w:w="1944"/>
      </w:tblGrid>
      <w:tr w:rsidR="00E32B13" w14:paraId="119CE2B3" w14:textId="77777777">
        <w:trPr>
          <w:jc w:val="center"/>
        </w:trPr>
        <w:tc>
          <w:tcPr>
            <w:tcW w:w="1368" w:type="dxa"/>
            <w:shd w:val="clear" w:color="auto" w:fill="173F5F"/>
            <w:tcMar>
              <w:top w:w="80" w:type="dxa"/>
              <w:left w:w="90" w:type="dxa"/>
              <w:bottom w:w="80" w:type="dxa"/>
              <w:right w:w="90" w:type="dxa"/>
            </w:tcMar>
            <w:vAlign w:val="center"/>
          </w:tcPr>
          <w:p w14:paraId="0BF37DB1" w14:textId="77777777" w:rsidR="00E32B13" w:rsidRDefault="00000000">
            <w:pPr>
              <w:jc w:val="center"/>
            </w:pPr>
            <w:r>
              <w:rPr>
                <w:rFonts w:ascii="Aptos" w:hAnsi="Aptos"/>
                <w:b/>
                <w:color w:val="FFFFFF"/>
                <w:sz w:val="18"/>
              </w:rPr>
              <w:t>Region</w:t>
            </w:r>
          </w:p>
        </w:tc>
        <w:tc>
          <w:tcPr>
            <w:tcW w:w="2232" w:type="dxa"/>
            <w:shd w:val="clear" w:color="auto" w:fill="173F5F"/>
            <w:tcMar>
              <w:top w:w="80" w:type="dxa"/>
              <w:left w:w="90" w:type="dxa"/>
              <w:bottom w:w="80" w:type="dxa"/>
              <w:right w:w="90" w:type="dxa"/>
            </w:tcMar>
            <w:vAlign w:val="center"/>
          </w:tcPr>
          <w:p w14:paraId="1729A3E7" w14:textId="77777777" w:rsidR="00E32B13" w:rsidRDefault="00000000">
            <w:pPr>
              <w:jc w:val="center"/>
            </w:pPr>
            <w:r>
              <w:rPr>
                <w:rFonts w:ascii="Aptos" w:hAnsi="Aptos"/>
                <w:b/>
                <w:color w:val="FFFFFF"/>
                <w:sz w:val="18"/>
              </w:rPr>
              <w:t>Service lane</w:t>
            </w:r>
          </w:p>
        </w:tc>
        <w:tc>
          <w:tcPr>
            <w:tcW w:w="2232" w:type="dxa"/>
            <w:shd w:val="clear" w:color="auto" w:fill="173F5F"/>
            <w:tcMar>
              <w:top w:w="80" w:type="dxa"/>
              <w:left w:w="90" w:type="dxa"/>
              <w:bottom w:w="80" w:type="dxa"/>
              <w:right w:w="90" w:type="dxa"/>
            </w:tcMar>
            <w:vAlign w:val="center"/>
          </w:tcPr>
          <w:p w14:paraId="33819C07" w14:textId="77777777" w:rsidR="00E32B13" w:rsidRDefault="00000000">
            <w:pPr>
              <w:jc w:val="center"/>
            </w:pPr>
            <w:r>
              <w:rPr>
                <w:rFonts w:ascii="Aptos" w:hAnsi="Aptos"/>
                <w:b/>
                <w:color w:val="FFFFFF"/>
                <w:sz w:val="18"/>
              </w:rPr>
              <w:t>Standard commitment</w:t>
            </w:r>
          </w:p>
        </w:tc>
        <w:tc>
          <w:tcPr>
            <w:tcW w:w="2520" w:type="dxa"/>
            <w:shd w:val="clear" w:color="auto" w:fill="173F5F"/>
            <w:tcMar>
              <w:top w:w="80" w:type="dxa"/>
              <w:left w:w="90" w:type="dxa"/>
              <w:bottom w:w="80" w:type="dxa"/>
              <w:right w:w="90" w:type="dxa"/>
            </w:tcMar>
            <w:vAlign w:val="center"/>
          </w:tcPr>
          <w:p w14:paraId="0E4B7A7C" w14:textId="77777777" w:rsidR="00E32B13" w:rsidRDefault="00000000">
            <w:pPr>
              <w:jc w:val="center"/>
            </w:pPr>
            <w:r>
              <w:rPr>
                <w:rFonts w:ascii="Aptos" w:hAnsi="Aptos"/>
                <w:b/>
                <w:color w:val="FFFFFF"/>
                <w:sz w:val="18"/>
              </w:rPr>
              <w:t>Priority / mission-critical</w:t>
            </w:r>
          </w:p>
        </w:tc>
        <w:tc>
          <w:tcPr>
            <w:tcW w:w="1944" w:type="dxa"/>
            <w:shd w:val="clear" w:color="auto" w:fill="173F5F"/>
            <w:tcMar>
              <w:top w:w="80" w:type="dxa"/>
              <w:left w:w="90" w:type="dxa"/>
              <w:bottom w:w="80" w:type="dxa"/>
              <w:right w:w="90" w:type="dxa"/>
            </w:tcMar>
            <w:vAlign w:val="center"/>
          </w:tcPr>
          <w:p w14:paraId="00A69488" w14:textId="77777777" w:rsidR="00E32B13" w:rsidRDefault="00000000">
            <w:pPr>
              <w:jc w:val="center"/>
            </w:pPr>
            <w:r>
              <w:rPr>
                <w:rFonts w:ascii="Aptos" w:hAnsi="Aptos"/>
                <w:b/>
                <w:color w:val="FFFFFF"/>
                <w:sz w:val="18"/>
              </w:rPr>
              <w:t>Escalation trigger</w:t>
            </w:r>
          </w:p>
        </w:tc>
      </w:tr>
      <w:tr w:rsidR="00E32B13" w14:paraId="507B75CB" w14:textId="77777777">
        <w:trPr>
          <w:jc w:val="center"/>
        </w:trPr>
        <w:tc>
          <w:tcPr>
            <w:tcW w:w="1368" w:type="dxa"/>
            <w:shd w:val="clear" w:color="auto" w:fill="F7FAFC"/>
            <w:tcMar>
              <w:top w:w="80" w:type="dxa"/>
              <w:left w:w="90" w:type="dxa"/>
              <w:bottom w:w="80" w:type="dxa"/>
              <w:right w:w="90" w:type="dxa"/>
            </w:tcMar>
            <w:vAlign w:val="center"/>
          </w:tcPr>
          <w:p w14:paraId="4AB1B6D5" w14:textId="77777777" w:rsidR="00E32B13" w:rsidRDefault="00000000">
            <w:r>
              <w:rPr>
                <w:rFonts w:ascii="Aptos" w:hAnsi="Aptos"/>
                <w:color w:val="1F1F1F"/>
                <w:sz w:val="17"/>
              </w:rPr>
              <w:t>North America</w:t>
            </w:r>
          </w:p>
        </w:tc>
        <w:tc>
          <w:tcPr>
            <w:tcW w:w="2232" w:type="dxa"/>
            <w:shd w:val="clear" w:color="auto" w:fill="F7FAFC"/>
            <w:tcMar>
              <w:top w:w="80" w:type="dxa"/>
              <w:left w:w="90" w:type="dxa"/>
              <w:bottom w:w="80" w:type="dxa"/>
              <w:right w:w="90" w:type="dxa"/>
            </w:tcMar>
            <w:vAlign w:val="center"/>
          </w:tcPr>
          <w:p w14:paraId="1EBFEB80" w14:textId="77777777" w:rsidR="00E32B13" w:rsidRDefault="00000000">
            <w:r>
              <w:rPr>
                <w:rFonts w:ascii="Aptos" w:hAnsi="Aptos"/>
                <w:color w:val="1F1F1F"/>
                <w:sz w:val="17"/>
              </w:rPr>
              <w:t>Regional metro to customer site</w:t>
            </w:r>
          </w:p>
        </w:tc>
        <w:tc>
          <w:tcPr>
            <w:tcW w:w="2232" w:type="dxa"/>
            <w:shd w:val="clear" w:color="auto" w:fill="F7FAFC"/>
            <w:tcMar>
              <w:top w:w="80" w:type="dxa"/>
              <w:left w:w="90" w:type="dxa"/>
              <w:bottom w:w="80" w:type="dxa"/>
              <w:right w:w="90" w:type="dxa"/>
            </w:tcMar>
            <w:vAlign w:val="center"/>
          </w:tcPr>
          <w:p w14:paraId="43BA4EC3" w14:textId="77777777" w:rsidR="00E32B13" w:rsidRDefault="00000000">
            <w:r>
              <w:rPr>
                <w:rFonts w:ascii="Aptos" w:hAnsi="Aptos"/>
                <w:color w:val="1F1F1F"/>
                <w:sz w:val="17"/>
              </w:rPr>
              <w:t>Next business day by 17:00 local time</w:t>
            </w:r>
          </w:p>
        </w:tc>
        <w:tc>
          <w:tcPr>
            <w:tcW w:w="2520" w:type="dxa"/>
            <w:shd w:val="clear" w:color="auto" w:fill="F7FAFC"/>
            <w:tcMar>
              <w:top w:w="80" w:type="dxa"/>
              <w:left w:w="90" w:type="dxa"/>
              <w:bottom w:w="80" w:type="dxa"/>
              <w:right w:w="90" w:type="dxa"/>
            </w:tcMar>
            <w:vAlign w:val="center"/>
          </w:tcPr>
          <w:p w14:paraId="5D6C70B2" w14:textId="77777777" w:rsidR="00E32B13" w:rsidRDefault="00000000">
            <w:r>
              <w:rPr>
                <w:rFonts w:ascii="Aptos" w:hAnsi="Aptos"/>
                <w:color w:val="1F1F1F"/>
                <w:sz w:val="17"/>
              </w:rPr>
              <w:t>Same day where cut-off is met and approved by Control Tower</w:t>
            </w:r>
          </w:p>
        </w:tc>
        <w:tc>
          <w:tcPr>
            <w:tcW w:w="1944" w:type="dxa"/>
            <w:shd w:val="clear" w:color="auto" w:fill="F7FAFC"/>
            <w:tcMar>
              <w:top w:w="80" w:type="dxa"/>
              <w:left w:w="90" w:type="dxa"/>
              <w:bottom w:w="80" w:type="dxa"/>
              <w:right w:w="90" w:type="dxa"/>
            </w:tcMar>
            <w:vAlign w:val="center"/>
          </w:tcPr>
          <w:p w14:paraId="242C3F0C" w14:textId="77777777" w:rsidR="00E32B13" w:rsidRDefault="00000000">
            <w:r>
              <w:rPr>
                <w:rFonts w:ascii="Aptos" w:hAnsi="Aptos"/>
                <w:color w:val="1F1F1F"/>
                <w:sz w:val="17"/>
              </w:rPr>
              <w:t>No scan event for 4 hours after dispatch or ETA slip above 2 hours</w:t>
            </w:r>
          </w:p>
        </w:tc>
      </w:tr>
      <w:tr w:rsidR="00E32B13" w14:paraId="4CDD7639" w14:textId="77777777">
        <w:trPr>
          <w:jc w:val="center"/>
        </w:trPr>
        <w:tc>
          <w:tcPr>
            <w:tcW w:w="1368" w:type="dxa"/>
            <w:shd w:val="clear" w:color="auto" w:fill="EDF3F7"/>
            <w:tcMar>
              <w:top w:w="80" w:type="dxa"/>
              <w:left w:w="90" w:type="dxa"/>
              <w:bottom w:w="80" w:type="dxa"/>
              <w:right w:w="90" w:type="dxa"/>
            </w:tcMar>
            <w:vAlign w:val="center"/>
          </w:tcPr>
          <w:p w14:paraId="2B62BCB2" w14:textId="77777777" w:rsidR="00E32B13" w:rsidRDefault="00000000">
            <w:r>
              <w:rPr>
                <w:rFonts w:ascii="Aptos" w:hAnsi="Aptos"/>
                <w:color w:val="1F1F1F"/>
                <w:sz w:val="17"/>
              </w:rPr>
              <w:t>North America</w:t>
            </w:r>
          </w:p>
        </w:tc>
        <w:tc>
          <w:tcPr>
            <w:tcW w:w="2232" w:type="dxa"/>
            <w:shd w:val="clear" w:color="auto" w:fill="EDF3F7"/>
            <w:tcMar>
              <w:top w:w="80" w:type="dxa"/>
              <w:left w:w="90" w:type="dxa"/>
              <w:bottom w:w="80" w:type="dxa"/>
              <w:right w:w="90" w:type="dxa"/>
            </w:tcMar>
            <w:vAlign w:val="center"/>
          </w:tcPr>
          <w:p w14:paraId="05EDCB3D" w14:textId="77777777" w:rsidR="00E32B13" w:rsidRDefault="00000000">
            <w:r>
              <w:rPr>
                <w:rFonts w:ascii="Aptos" w:hAnsi="Aptos"/>
                <w:color w:val="1F1F1F"/>
                <w:sz w:val="17"/>
              </w:rPr>
              <w:t>Cross-country customer site delivery</w:t>
            </w:r>
          </w:p>
        </w:tc>
        <w:tc>
          <w:tcPr>
            <w:tcW w:w="2232" w:type="dxa"/>
            <w:shd w:val="clear" w:color="auto" w:fill="EDF3F7"/>
            <w:tcMar>
              <w:top w:w="80" w:type="dxa"/>
              <w:left w:w="90" w:type="dxa"/>
              <w:bottom w:w="80" w:type="dxa"/>
              <w:right w:w="90" w:type="dxa"/>
            </w:tcMar>
            <w:vAlign w:val="center"/>
          </w:tcPr>
          <w:p w14:paraId="0E9A9D15" w14:textId="77777777" w:rsidR="00E32B13" w:rsidRDefault="00000000">
            <w:r>
              <w:rPr>
                <w:rFonts w:ascii="Aptos" w:hAnsi="Aptos"/>
                <w:color w:val="1F1F1F"/>
                <w:sz w:val="17"/>
              </w:rPr>
              <w:t>2 business days</w:t>
            </w:r>
          </w:p>
        </w:tc>
        <w:tc>
          <w:tcPr>
            <w:tcW w:w="2520" w:type="dxa"/>
            <w:shd w:val="clear" w:color="auto" w:fill="EDF3F7"/>
            <w:tcMar>
              <w:top w:w="80" w:type="dxa"/>
              <w:left w:w="90" w:type="dxa"/>
              <w:bottom w:w="80" w:type="dxa"/>
              <w:right w:w="90" w:type="dxa"/>
            </w:tcMar>
            <w:vAlign w:val="center"/>
          </w:tcPr>
          <w:p w14:paraId="5C88F1C3" w14:textId="77777777" w:rsidR="00E32B13" w:rsidRDefault="00000000">
            <w:r>
              <w:rPr>
                <w:rFonts w:ascii="Aptos" w:hAnsi="Aptos"/>
                <w:color w:val="1F1F1F"/>
                <w:sz w:val="17"/>
              </w:rPr>
              <w:t>Next business day with Operations Director approval</w:t>
            </w:r>
          </w:p>
        </w:tc>
        <w:tc>
          <w:tcPr>
            <w:tcW w:w="1944" w:type="dxa"/>
            <w:shd w:val="clear" w:color="auto" w:fill="EDF3F7"/>
            <w:tcMar>
              <w:top w:w="80" w:type="dxa"/>
              <w:left w:w="90" w:type="dxa"/>
              <w:bottom w:w="80" w:type="dxa"/>
              <w:right w:w="90" w:type="dxa"/>
            </w:tcMar>
            <w:vAlign w:val="center"/>
          </w:tcPr>
          <w:p w14:paraId="0CAFBC74" w14:textId="77777777" w:rsidR="00E32B13" w:rsidRDefault="00000000">
            <w:r>
              <w:rPr>
                <w:rFonts w:ascii="Aptos" w:hAnsi="Aptos"/>
                <w:color w:val="1F1F1F"/>
                <w:sz w:val="17"/>
              </w:rPr>
              <w:t>ETA slip above 6 hours or handoff failure at final-mile partner</w:t>
            </w:r>
          </w:p>
        </w:tc>
      </w:tr>
      <w:tr w:rsidR="00E32B13" w14:paraId="64DB9756" w14:textId="77777777">
        <w:trPr>
          <w:jc w:val="center"/>
        </w:trPr>
        <w:tc>
          <w:tcPr>
            <w:tcW w:w="1368" w:type="dxa"/>
            <w:shd w:val="clear" w:color="auto" w:fill="F7FAFC"/>
            <w:tcMar>
              <w:top w:w="80" w:type="dxa"/>
              <w:left w:w="90" w:type="dxa"/>
              <w:bottom w:w="80" w:type="dxa"/>
              <w:right w:w="90" w:type="dxa"/>
            </w:tcMar>
            <w:vAlign w:val="center"/>
          </w:tcPr>
          <w:p w14:paraId="670D3881" w14:textId="77777777" w:rsidR="00E32B13" w:rsidRDefault="00000000">
            <w:r>
              <w:rPr>
                <w:rFonts w:ascii="Aptos" w:hAnsi="Aptos"/>
                <w:color w:val="1F1F1F"/>
                <w:sz w:val="17"/>
              </w:rPr>
              <w:t>Europe</w:t>
            </w:r>
          </w:p>
        </w:tc>
        <w:tc>
          <w:tcPr>
            <w:tcW w:w="2232" w:type="dxa"/>
            <w:shd w:val="clear" w:color="auto" w:fill="F7FAFC"/>
            <w:tcMar>
              <w:top w:w="80" w:type="dxa"/>
              <w:left w:w="90" w:type="dxa"/>
              <w:bottom w:w="80" w:type="dxa"/>
              <w:right w:w="90" w:type="dxa"/>
            </w:tcMar>
            <w:vAlign w:val="center"/>
          </w:tcPr>
          <w:p w14:paraId="013D97DD" w14:textId="77777777" w:rsidR="00E32B13" w:rsidRDefault="00000000">
            <w:r>
              <w:rPr>
                <w:rFonts w:ascii="Aptos" w:hAnsi="Aptos"/>
                <w:color w:val="1F1F1F"/>
                <w:sz w:val="17"/>
              </w:rPr>
              <w:t>EU hub to in-country customer site</w:t>
            </w:r>
          </w:p>
        </w:tc>
        <w:tc>
          <w:tcPr>
            <w:tcW w:w="2232" w:type="dxa"/>
            <w:shd w:val="clear" w:color="auto" w:fill="F7FAFC"/>
            <w:tcMar>
              <w:top w:w="80" w:type="dxa"/>
              <w:left w:w="90" w:type="dxa"/>
              <w:bottom w:w="80" w:type="dxa"/>
              <w:right w:w="90" w:type="dxa"/>
            </w:tcMar>
            <w:vAlign w:val="center"/>
          </w:tcPr>
          <w:p w14:paraId="32F7BB73" w14:textId="77777777" w:rsidR="00E32B13" w:rsidRDefault="00000000">
            <w:r>
              <w:rPr>
                <w:rFonts w:ascii="Aptos" w:hAnsi="Aptos"/>
                <w:color w:val="1F1F1F"/>
                <w:sz w:val="17"/>
              </w:rPr>
              <w:t>Next business day by 18:00 local time</w:t>
            </w:r>
          </w:p>
        </w:tc>
        <w:tc>
          <w:tcPr>
            <w:tcW w:w="2520" w:type="dxa"/>
            <w:shd w:val="clear" w:color="auto" w:fill="F7FAFC"/>
            <w:tcMar>
              <w:top w:w="80" w:type="dxa"/>
              <w:left w:w="90" w:type="dxa"/>
              <w:bottom w:w="80" w:type="dxa"/>
              <w:right w:w="90" w:type="dxa"/>
            </w:tcMar>
            <w:vAlign w:val="center"/>
          </w:tcPr>
          <w:p w14:paraId="64DEED2A" w14:textId="77777777" w:rsidR="00E32B13" w:rsidRDefault="00000000">
            <w:r>
              <w:rPr>
                <w:rFonts w:ascii="Aptos" w:hAnsi="Aptos"/>
                <w:color w:val="1F1F1F"/>
                <w:sz w:val="17"/>
              </w:rPr>
              <w:t>Same day only for service parts and contractual platinum accounts</w:t>
            </w:r>
          </w:p>
        </w:tc>
        <w:tc>
          <w:tcPr>
            <w:tcW w:w="1944" w:type="dxa"/>
            <w:shd w:val="clear" w:color="auto" w:fill="F7FAFC"/>
            <w:tcMar>
              <w:top w:w="80" w:type="dxa"/>
              <w:left w:w="90" w:type="dxa"/>
              <w:bottom w:w="80" w:type="dxa"/>
              <w:right w:w="90" w:type="dxa"/>
            </w:tcMar>
            <w:vAlign w:val="center"/>
          </w:tcPr>
          <w:p w14:paraId="573D470D" w14:textId="77777777" w:rsidR="00E32B13" w:rsidRDefault="00000000">
            <w:r>
              <w:rPr>
                <w:rFonts w:ascii="Aptos" w:hAnsi="Aptos"/>
                <w:color w:val="1F1F1F"/>
                <w:sz w:val="17"/>
              </w:rPr>
              <w:t>Delay exceeds 3 hours or customs pre-clearance data is incomplete</w:t>
            </w:r>
          </w:p>
        </w:tc>
      </w:tr>
      <w:tr w:rsidR="00E32B13" w14:paraId="7CFB94EB" w14:textId="77777777">
        <w:trPr>
          <w:jc w:val="center"/>
        </w:trPr>
        <w:tc>
          <w:tcPr>
            <w:tcW w:w="1368" w:type="dxa"/>
            <w:shd w:val="clear" w:color="auto" w:fill="EDF3F7"/>
            <w:tcMar>
              <w:top w:w="80" w:type="dxa"/>
              <w:left w:w="90" w:type="dxa"/>
              <w:bottom w:w="80" w:type="dxa"/>
              <w:right w:w="90" w:type="dxa"/>
            </w:tcMar>
            <w:vAlign w:val="center"/>
          </w:tcPr>
          <w:p w14:paraId="5749A15F" w14:textId="77777777" w:rsidR="00E32B13" w:rsidRDefault="00000000">
            <w:r>
              <w:rPr>
                <w:rFonts w:ascii="Aptos" w:hAnsi="Aptos"/>
                <w:color w:val="1F1F1F"/>
                <w:sz w:val="17"/>
              </w:rPr>
              <w:t>Europe</w:t>
            </w:r>
          </w:p>
        </w:tc>
        <w:tc>
          <w:tcPr>
            <w:tcW w:w="2232" w:type="dxa"/>
            <w:shd w:val="clear" w:color="auto" w:fill="EDF3F7"/>
            <w:tcMar>
              <w:top w:w="80" w:type="dxa"/>
              <w:left w:w="90" w:type="dxa"/>
              <w:bottom w:w="80" w:type="dxa"/>
              <w:right w:w="90" w:type="dxa"/>
            </w:tcMar>
            <w:vAlign w:val="center"/>
          </w:tcPr>
          <w:p w14:paraId="3EC09F44" w14:textId="77777777" w:rsidR="00E32B13" w:rsidRDefault="00000000">
            <w:r>
              <w:rPr>
                <w:rFonts w:ascii="Aptos" w:hAnsi="Aptos"/>
                <w:color w:val="1F1F1F"/>
                <w:sz w:val="17"/>
              </w:rPr>
              <w:t>Cross-border EU delivery</w:t>
            </w:r>
          </w:p>
        </w:tc>
        <w:tc>
          <w:tcPr>
            <w:tcW w:w="2232" w:type="dxa"/>
            <w:shd w:val="clear" w:color="auto" w:fill="EDF3F7"/>
            <w:tcMar>
              <w:top w:w="80" w:type="dxa"/>
              <w:left w:w="90" w:type="dxa"/>
              <w:bottom w:w="80" w:type="dxa"/>
              <w:right w:w="90" w:type="dxa"/>
            </w:tcMar>
            <w:vAlign w:val="center"/>
          </w:tcPr>
          <w:p w14:paraId="7EAAC0CD" w14:textId="77777777" w:rsidR="00E32B13" w:rsidRDefault="00000000">
            <w:r>
              <w:rPr>
                <w:rFonts w:ascii="Aptos" w:hAnsi="Aptos"/>
                <w:color w:val="1F1F1F"/>
                <w:sz w:val="17"/>
              </w:rPr>
              <w:t>2-3 business days</w:t>
            </w:r>
          </w:p>
        </w:tc>
        <w:tc>
          <w:tcPr>
            <w:tcW w:w="2520" w:type="dxa"/>
            <w:shd w:val="clear" w:color="auto" w:fill="EDF3F7"/>
            <w:tcMar>
              <w:top w:w="80" w:type="dxa"/>
              <w:left w:w="90" w:type="dxa"/>
              <w:bottom w:w="80" w:type="dxa"/>
              <w:right w:w="90" w:type="dxa"/>
            </w:tcMar>
            <w:vAlign w:val="center"/>
          </w:tcPr>
          <w:p w14:paraId="77B37526" w14:textId="77777777" w:rsidR="00E32B13" w:rsidRDefault="00000000">
            <w:r>
              <w:rPr>
                <w:rFonts w:ascii="Aptos" w:hAnsi="Aptos"/>
                <w:color w:val="1F1F1F"/>
                <w:sz w:val="17"/>
              </w:rPr>
              <w:t>2 business days when export docs are complete before 12:00 CET</w:t>
            </w:r>
          </w:p>
        </w:tc>
        <w:tc>
          <w:tcPr>
            <w:tcW w:w="1944" w:type="dxa"/>
            <w:shd w:val="clear" w:color="auto" w:fill="EDF3F7"/>
            <w:tcMar>
              <w:top w:w="80" w:type="dxa"/>
              <w:left w:w="90" w:type="dxa"/>
              <w:bottom w:w="80" w:type="dxa"/>
              <w:right w:w="90" w:type="dxa"/>
            </w:tcMar>
            <w:vAlign w:val="center"/>
          </w:tcPr>
          <w:p w14:paraId="3AA23C99" w14:textId="77777777" w:rsidR="00E32B13" w:rsidRDefault="00000000">
            <w:r>
              <w:rPr>
                <w:rFonts w:ascii="Aptos" w:hAnsi="Aptos"/>
                <w:color w:val="1F1F1F"/>
                <w:sz w:val="17"/>
              </w:rPr>
              <w:t>Border exception, incomplete EORI/VAT data, or two missed scans in sequence</w:t>
            </w:r>
          </w:p>
        </w:tc>
      </w:tr>
      <w:tr w:rsidR="00E32B13" w14:paraId="0CE730E3" w14:textId="77777777">
        <w:trPr>
          <w:jc w:val="center"/>
        </w:trPr>
        <w:tc>
          <w:tcPr>
            <w:tcW w:w="1368" w:type="dxa"/>
            <w:shd w:val="clear" w:color="auto" w:fill="F7FAFC"/>
            <w:tcMar>
              <w:top w:w="80" w:type="dxa"/>
              <w:left w:w="90" w:type="dxa"/>
              <w:bottom w:w="80" w:type="dxa"/>
              <w:right w:w="90" w:type="dxa"/>
            </w:tcMar>
            <w:vAlign w:val="center"/>
          </w:tcPr>
          <w:p w14:paraId="5A8CE552" w14:textId="77777777" w:rsidR="00E32B13" w:rsidRDefault="00000000">
            <w:r>
              <w:rPr>
                <w:rFonts w:ascii="Aptos" w:hAnsi="Aptos"/>
                <w:color w:val="1F1F1F"/>
                <w:sz w:val="17"/>
              </w:rPr>
              <w:t>Middle East</w:t>
            </w:r>
          </w:p>
        </w:tc>
        <w:tc>
          <w:tcPr>
            <w:tcW w:w="2232" w:type="dxa"/>
            <w:shd w:val="clear" w:color="auto" w:fill="F7FAFC"/>
            <w:tcMar>
              <w:top w:w="80" w:type="dxa"/>
              <w:left w:w="90" w:type="dxa"/>
              <w:bottom w:w="80" w:type="dxa"/>
              <w:right w:w="90" w:type="dxa"/>
            </w:tcMar>
            <w:vAlign w:val="center"/>
          </w:tcPr>
          <w:p w14:paraId="6A464E7B" w14:textId="77777777" w:rsidR="00E32B13" w:rsidRDefault="00000000">
            <w:r>
              <w:rPr>
                <w:rFonts w:ascii="Aptos" w:hAnsi="Aptos"/>
                <w:color w:val="1F1F1F"/>
                <w:sz w:val="17"/>
              </w:rPr>
              <w:t>Regional hub to metro customer site</w:t>
            </w:r>
          </w:p>
        </w:tc>
        <w:tc>
          <w:tcPr>
            <w:tcW w:w="2232" w:type="dxa"/>
            <w:shd w:val="clear" w:color="auto" w:fill="F7FAFC"/>
            <w:tcMar>
              <w:top w:w="80" w:type="dxa"/>
              <w:left w:w="90" w:type="dxa"/>
              <w:bottom w:w="80" w:type="dxa"/>
              <w:right w:w="90" w:type="dxa"/>
            </w:tcMar>
            <w:vAlign w:val="center"/>
          </w:tcPr>
          <w:p w14:paraId="263DC0C4" w14:textId="77777777" w:rsidR="00E32B13" w:rsidRDefault="00000000">
            <w:r>
              <w:rPr>
                <w:rFonts w:ascii="Aptos" w:hAnsi="Aptos"/>
                <w:color w:val="1F1F1F"/>
                <w:sz w:val="17"/>
              </w:rPr>
              <w:t>1-2 business days</w:t>
            </w:r>
          </w:p>
        </w:tc>
        <w:tc>
          <w:tcPr>
            <w:tcW w:w="2520" w:type="dxa"/>
            <w:shd w:val="clear" w:color="auto" w:fill="F7FAFC"/>
            <w:tcMar>
              <w:top w:w="80" w:type="dxa"/>
              <w:left w:w="90" w:type="dxa"/>
              <w:bottom w:w="80" w:type="dxa"/>
              <w:right w:w="90" w:type="dxa"/>
            </w:tcMar>
            <w:vAlign w:val="center"/>
          </w:tcPr>
          <w:p w14:paraId="2A18F140" w14:textId="77777777" w:rsidR="00E32B13" w:rsidRDefault="00000000">
            <w:r>
              <w:rPr>
                <w:rFonts w:ascii="Aptos" w:hAnsi="Aptos"/>
                <w:color w:val="1F1F1F"/>
                <w:sz w:val="17"/>
              </w:rPr>
              <w:t>Next business day for service-restoration shipments</w:t>
            </w:r>
          </w:p>
        </w:tc>
        <w:tc>
          <w:tcPr>
            <w:tcW w:w="1944" w:type="dxa"/>
            <w:shd w:val="clear" w:color="auto" w:fill="F7FAFC"/>
            <w:tcMar>
              <w:top w:w="80" w:type="dxa"/>
              <w:left w:w="90" w:type="dxa"/>
              <w:bottom w:w="80" w:type="dxa"/>
              <w:right w:w="90" w:type="dxa"/>
            </w:tcMar>
            <w:vAlign w:val="center"/>
          </w:tcPr>
          <w:p w14:paraId="19EBFA1F" w14:textId="77777777" w:rsidR="00E32B13" w:rsidRDefault="00000000">
            <w:r>
              <w:rPr>
                <w:rFonts w:ascii="Aptos" w:hAnsi="Aptos"/>
                <w:color w:val="1F1F1F"/>
                <w:sz w:val="17"/>
              </w:rPr>
              <w:t>Carrier reroute, airport handoff exception, or ETA slip above 4 hours</w:t>
            </w:r>
          </w:p>
        </w:tc>
      </w:tr>
      <w:tr w:rsidR="00E32B13" w14:paraId="7DF6515D" w14:textId="77777777">
        <w:trPr>
          <w:jc w:val="center"/>
        </w:trPr>
        <w:tc>
          <w:tcPr>
            <w:tcW w:w="1368" w:type="dxa"/>
            <w:shd w:val="clear" w:color="auto" w:fill="EDF3F7"/>
            <w:tcMar>
              <w:top w:w="80" w:type="dxa"/>
              <w:left w:w="90" w:type="dxa"/>
              <w:bottom w:w="80" w:type="dxa"/>
              <w:right w:w="90" w:type="dxa"/>
            </w:tcMar>
            <w:vAlign w:val="center"/>
          </w:tcPr>
          <w:p w14:paraId="1C4B1BBB" w14:textId="77777777" w:rsidR="00E32B13" w:rsidRDefault="00000000">
            <w:r>
              <w:rPr>
                <w:rFonts w:ascii="Aptos" w:hAnsi="Aptos"/>
                <w:color w:val="1F1F1F"/>
                <w:sz w:val="17"/>
              </w:rPr>
              <w:t>Middle East</w:t>
            </w:r>
          </w:p>
        </w:tc>
        <w:tc>
          <w:tcPr>
            <w:tcW w:w="2232" w:type="dxa"/>
            <w:shd w:val="clear" w:color="auto" w:fill="EDF3F7"/>
            <w:tcMar>
              <w:top w:w="80" w:type="dxa"/>
              <w:left w:w="90" w:type="dxa"/>
              <w:bottom w:w="80" w:type="dxa"/>
              <w:right w:w="90" w:type="dxa"/>
            </w:tcMar>
            <w:vAlign w:val="center"/>
          </w:tcPr>
          <w:p w14:paraId="08738F4E" w14:textId="77777777" w:rsidR="00E32B13" w:rsidRDefault="00000000">
            <w:r>
              <w:rPr>
                <w:rFonts w:ascii="Aptos" w:hAnsi="Aptos"/>
                <w:color w:val="1F1F1F"/>
                <w:sz w:val="17"/>
              </w:rPr>
              <w:t>Remote / project deployment site</w:t>
            </w:r>
          </w:p>
        </w:tc>
        <w:tc>
          <w:tcPr>
            <w:tcW w:w="2232" w:type="dxa"/>
            <w:shd w:val="clear" w:color="auto" w:fill="EDF3F7"/>
            <w:tcMar>
              <w:top w:w="80" w:type="dxa"/>
              <w:left w:w="90" w:type="dxa"/>
              <w:bottom w:w="80" w:type="dxa"/>
              <w:right w:w="90" w:type="dxa"/>
            </w:tcMar>
            <w:vAlign w:val="center"/>
          </w:tcPr>
          <w:p w14:paraId="544D69EB" w14:textId="77777777" w:rsidR="00E32B13" w:rsidRDefault="00000000">
            <w:r>
              <w:rPr>
                <w:rFonts w:ascii="Aptos" w:hAnsi="Aptos"/>
                <w:color w:val="1F1F1F"/>
                <w:sz w:val="17"/>
              </w:rPr>
              <w:t>3-5 business days</w:t>
            </w:r>
          </w:p>
        </w:tc>
        <w:tc>
          <w:tcPr>
            <w:tcW w:w="2520" w:type="dxa"/>
            <w:shd w:val="clear" w:color="auto" w:fill="EDF3F7"/>
            <w:tcMar>
              <w:top w:w="80" w:type="dxa"/>
              <w:left w:w="90" w:type="dxa"/>
              <w:bottom w:w="80" w:type="dxa"/>
              <w:right w:w="90" w:type="dxa"/>
            </w:tcMar>
            <w:vAlign w:val="center"/>
          </w:tcPr>
          <w:p w14:paraId="38E53A42" w14:textId="77777777" w:rsidR="00E32B13" w:rsidRDefault="00000000">
            <w:r>
              <w:rPr>
                <w:rFonts w:ascii="Aptos" w:hAnsi="Aptos"/>
                <w:color w:val="1F1F1F"/>
                <w:sz w:val="17"/>
              </w:rPr>
              <w:t>2-3 business days subject to site access readiness</w:t>
            </w:r>
          </w:p>
        </w:tc>
        <w:tc>
          <w:tcPr>
            <w:tcW w:w="1944" w:type="dxa"/>
            <w:shd w:val="clear" w:color="auto" w:fill="EDF3F7"/>
            <w:tcMar>
              <w:top w:w="80" w:type="dxa"/>
              <w:left w:w="90" w:type="dxa"/>
              <w:bottom w:w="80" w:type="dxa"/>
              <w:right w:w="90" w:type="dxa"/>
            </w:tcMar>
            <w:vAlign w:val="center"/>
          </w:tcPr>
          <w:p w14:paraId="4CF8C04E" w14:textId="77777777" w:rsidR="00E32B13" w:rsidRDefault="00000000">
            <w:r>
              <w:rPr>
                <w:rFonts w:ascii="Aptos" w:hAnsi="Aptos"/>
                <w:color w:val="1F1F1F"/>
                <w:sz w:val="17"/>
              </w:rPr>
              <w:t>Site access not confirmed 24 hours before arrival or escort requirement unresolved</w:t>
            </w:r>
          </w:p>
        </w:tc>
      </w:tr>
    </w:tbl>
    <w:p w14:paraId="6D9C659A" w14:textId="77777777" w:rsidR="00E32B13" w:rsidRDefault="00000000">
      <w:pPr>
        <w:spacing w:before="160" w:after="80" w:line="269" w:lineRule="auto"/>
      </w:pPr>
      <w:r>
        <w:rPr>
          <w:rFonts w:ascii="Aptos" w:hAnsi="Aptos"/>
          <w:b/>
          <w:color w:val="173F5F"/>
          <w:sz w:val="23"/>
        </w:rPr>
        <w:t>Interpretation notes</w:t>
      </w:r>
    </w:p>
    <w:p w14:paraId="23F2B8B6" w14:textId="77777777" w:rsidR="00E32B13" w:rsidRDefault="00000000">
      <w:pPr>
        <w:spacing w:after="40" w:line="259" w:lineRule="auto"/>
        <w:ind w:left="230"/>
      </w:pPr>
      <w:r>
        <w:rPr>
          <w:rFonts w:ascii="Aptos" w:hAnsi="Aptos"/>
          <w:color w:val="333333"/>
          <w:sz w:val="19"/>
        </w:rPr>
        <w:t>• Standard commitment starts only after the shipment record is marked Released to Carrier in HubFlow and all serial numbers are validated in the shipment pack list.</w:t>
      </w:r>
    </w:p>
    <w:p w14:paraId="31A4EA05" w14:textId="77777777" w:rsidR="00E32B13" w:rsidRDefault="00000000">
      <w:pPr>
        <w:spacing w:after="40" w:line="259" w:lineRule="auto"/>
        <w:ind w:left="230"/>
      </w:pPr>
      <w:r>
        <w:rPr>
          <w:rFonts w:ascii="Aptos" w:hAnsi="Aptos"/>
          <w:color w:val="333333"/>
          <w:sz w:val="19"/>
        </w:rPr>
        <w:t>• Priority service applies to outage recovery, contractual platinum support, approved launch events, and safety-related field replacements. Sales requests alone do not qualify a shipment as mission-critical.</w:t>
      </w:r>
    </w:p>
    <w:p w14:paraId="1EB29BBC" w14:textId="77777777" w:rsidR="00E32B13" w:rsidRDefault="00000000">
      <w:pPr>
        <w:spacing w:after="40" w:line="259" w:lineRule="auto"/>
        <w:ind w:left="230"/>
      </w:pPr>
      <w:r>
        <w:rPr>
          <w:rFonts w:ascii="Aptos" w:hAnsi="Aptos"/>
          <w:color w:val="333333"/>
          <w:sz w:val="19"/>
        </w:rPr>
        <w:t>• Delivery windows may be re-baselined when customer-side receiving hours, badge access, crane bookings, or dock appointments are missing from the order packet.</w:t>
      </w:r>
    </w:p>
    <w:p w14:paraId="450D2D93" w14:textId="77777777" w:rsidR="00E32B13" w:rsidRDefault="00000000">
      <w:pPr>
        <w:spacing w:after="40" w:line="259" w:lineRule="auto"/>
        <w:ind w:left="230"/>
      </w:pPr>
      <w:r>
        <w:rPr>
          <w:rFonts w:ascii="Aptos" w:hAnsi="Aptos"/>
          <w:color w:val="333333"/>
          <w:sz w:val="19"/>
        </w:rPr>
        <w:t>• For any shipment with temperature, shock, or tamper indicators, the receiving site must confirm package condition within 2 hours of arrival to preserve SLA exception rights.</w:t>
      </w:r>
    </w:p>
    <w:p w14:paraId="259A35AC" w14:textId="77777777" w:rsidR="00E32B13" w:rsidRDefault="00000000">
      <w:pPr>
        <w:spacing w:before="160" w:after="80" w:line="269" w:lineRule="auto"/>
      </w:pPr>
      <w:r>
        <w:rPr>
          <w:rFonts w:ascii="Aptos" w:hAnsi="Aptos"/>
          <w:b/>
          <w:color w:val="173F5F"/>
          <w:sz w:val="23"/>
        </w:rPr>
        <w:t>Customer communication standard</w:t>
      </w:r>
    </w:p>
    <w:tbl>
      <w:tblPr>
        <w:tblStyle w:val="TableGrid"/>
        <w:tblW w:w="0" w:type="auto"/>
        <w:jc w:val="center"/>
        <w:tblLayout w:type="fixed"/>
        <w:tblLook w:val="04A0" w:firstRow="1" w:lastRow="0" w:firstColumn="1" w:lastColumn="0" w:noHBand="0" w:noVBand="1"/>
      </w:tblPr>
      <w:tblGrid>
        <w:gridCol w:w="2880"/>
        <w:gridCol w:w="6552"/>
      </w:tblGrid>
      <w:tr w:rsidR="00E32B13" w14:paraId="2F9BB272" w14:textId="77777777">
        <w:trPr>
          <w:jc w:val="center"/>
        </w:trPr>
        <w:tc>
          <w:tcPr>
            <w:tcW w:w="2880" w:type="dxa"/>
            <w:shd w:val="clear" w:color="auto" w:fill="2D6A8A"/>
            <w:tcMar>
              <w:top w:w="80" w:type="dxa"/>
              <w:left w:w="90" w:type="dxa"/>
              <w:bottom w:w="80" w:type="dxa"/>
              <w:right w:w="90" w:type="dxa"/>
            </w:tcMar>
            <w:vAlign w:val="center"/>
          </w:tcPr>
          <w:p w14:paraId="2809D616" w14:textId="77777777" w:rsidR="00E32B13" w:rsidRDefault="00000000">
            <w:pPr>
              <w:jc w:val="center"/>
            </w:pPr>
            <w:r>
              <w:rPr>
                <w:rFonts w:ascii="Aptos" w:hAnsi="Aptos"/>
                <w:b/>
                <w:color w:val="FFFFFF"/>
                <w:sz w:val="18"/>
              </w:rPr>
              <w:lastRenderedPageBreak/>
              <w:t>Scenario</w:t>
            </w:r>
          </w:p>
        </w:tc>
        <w:tc>
          <w:tcPr>
            <w:tcW w:w="6552" w:type="dxa"/>
            <w:shd w:val="clear" w:color="auto" w:fill="2D6A8A"/>
            <w:tcMar>
              <w:top w:w="80" w:type="dxa"/>
              <w:left w:w="90" w:type="dxa"/>
              <w:bottom w:w="80" w:type="dxa"/>
              <w:right w:w="90" w:type="dxa"/>
            </w:tcMar>
            <w:vAlign w:val="center"/>
          </w:tcPr>
          <w:p w14:paraId="1C66D23A" w14:textId="77777777" w:rsidR="00E32B13" w:rsidRDefault="00000000">
            <w:pPr>
              <w:jc w:val="center"/>
            </w:pPr>
            <w:r>
              <w:rPr>
                <w:rFonts w:ascii="Aptos" w:hAnsi="Aptos"/>
                <w:b/>
                <w:color w:val="FFFFFF"/>
                <w:sz w:val="18"/>
              </w:rPr>
              <w:t>Required communication</w:t>
            </w:r>
          </w:p>
        </w:tc>
      </w:tr>
      <w:tr w:rsidR="00E32B13" w14:paraId="7D794EE1" w14:textId="77777777">
        <w:trPr>
          <w:jc w:val="center"/>
        </w:trPr>
        <w:tc>
          <w:tcPr>
            <w:tcW w:w="2880" w:type="dxa"/>
            <w:shd w:val="clear" w:color="auto" w:fill="F9FBFD"/>
            <w:tcMar>
              <w:top w:w="80" w:type="dxa"/>
              <w:left w:w="90" w:type="dxa"/>
              <w:bottom w:w="80" w:type="dxa"/>
              <w:right w:w="90" w:type="dxa"/>
            </w:tcMar>
            <w:vAlign w:val="center"/>
          </w:tcPr>
          <w:p w14:paraId="03197BCF" w14:textId="77777777" w:rsidR="00E32B13" w:rsidRDefault="00000000">
            <w:r>
              <w:rPr>
                <w:rFonts w:ascii="Aptos" w:hAnsi="Aptos"/>
                <w:color w:val="1F1F1F"/>
                <w:sz w:val="18"/>
              </w:rPr>
              <w:t>ETA slip below trigger threshold</w:t>
            </w:r>
          </w:p>
        </w:tc>
        <w:tc>
          <w:tcPr>
            <w:tcW w:w="6552" w:type="dxa"/>
            <w:shd w:val="clear" w:color="auto" w:fill="F9FBFD"/>
            <w:tcMar>
              <w:top w:w="80" w:type="dxa"/>
              <w:left w:w="90" w:type="dxa"/>
              <w:bottom w:w="80" w:type="dxa"/>
              <w:right w:w="90" w:type="dxa"/>
            </w:tcMar>
            <w:vAlign w:val="center"/>
          </w:tcPr>
          <w:p w14:paraId="03AF771D" w14:textId="77777777" w:rsidR="00E32B13" w:rsidRDefault="00000000">
            <w:r>
              <w:rPr>
                <w:rFonts w:ascii="Aptos" w:hAnsi="Aptos"/>
                <w:color w:val="1F1F1F"/>
                <w:sz w:val="18"/>
              </w:rPr>
              <w:t>Update CRM case and notify customer only if arrival window changes materially or receiving contact asks for status.</w:t>
            </w:r>
          </w:p>
        </w:tc>
      </w:tr>
      <w:tr w:rsidR="00E32B13" w14:paraId="4657E7CA" w14:textId="77777777">
        <w:trPr>
          <w:jc w:val="center"/>
        </w:trPr>
        <w:tc>
          <w:tcPr>
            <w:tcW w:w="2880" w:type="dxa"/>
            <w:shd w:val="clear" w:color="auto" w:fill="EEF4F8"/>
            <w:tcMar>
              <w:top w:w="80" w:type="dxa"/>
              <w:left w:w="90" w:type="dxa"/>
              <w:bottom w:w="80" w:type="dxa"/>
              <w:right w:w="90" w:type="dxa"/>
            </w:tcMar>
            <w:vAlign w:val="center"/>
          </w:tcPr>
          <w:p w14:paraId="31D3F92F" w14:textId="77777777" w:rsidR="00E32B13" w:rsidRDefault="00000000">
            <w:r>
              <w:rPr>
                <w:rFonts w:ascii="Aptos" w:hAnsi="Aptos"/>
                <w:color w:val="1F1F1F"/>
                <w:sz w:val="18"/>
              </w:rPr>
              <w:t>Escalation trigger met</w:t>
            </w:r>
          </w:p>
        </w:tc>
        <w:tc>
          <w:tcPr>
            <w:tcW w:w="6552" w:type="dxa"/>
            <w:shd w:val="clear" w:color="auto" w:fill="EEF4F8"/>
            <w:tcMar>
              <w:top w:w="80" w:type="dxa"/>
              <w:left w:w="90" w:type="dxa"/>
              <w:bottom w:w="80" w:type="dxa"/>
              <w:right w:w="90" w:type="dxa"/>
            </w:tcMar>
            <w:vAlign w:val="center"/>
          </w:tcPr>
          <w:p w14:paraId="2C0B3E0B" w14:textId="77777777" w:rsidR="00E32B13" w:rsidRDefault="00000000">
            <w:r>
              <w:rPr>
                <w:rFonts w:ascii="Aptos" w:hAnsi="Aptos"/>
                <w:color w:val="1F1F1F"/>
                <w:sz w:val="18"/>
              </w:rPr>
              <w:t>Notify Regional Control Tower immediately; customer-facing update must be sent within 30 minutes with revised ETA and action owner.</w:t>
            </w:r>
          </w:p>
        </w:tc>
      </w:tr>
      <w:tr w:rsidR="00E32B13" w14:paraId="274CE779" w14:textId="77777777">
        <w:trPr>
          <w:jc w:val="center"/>
        </w:trPr>
        <w:tc>
          <w:tcPr>
            <w:tcW w:w="2880" w:type="dxa"/>
            <w:shd w:val="clear" w:color="auto" w:fill="F9FBFD"/>
            <w:tcMar>
              <w:top w:w="80" w:type="dxa"/>
              <w:left w:w="90" w:type="dxa"/>
              <w:bottom w:w="80" w:type="dxa"/>
              <w:right w:w="90" w:type="dxa"/>
            </w:tcMar>
            <w:vAlign w:val="center"/>
          </w:tcPr>
          <w:p w14:paraId="35640846" w14:textId="77777777" w:rsidR="00E32B13" w:rsidRDefault="00000000">
            <w:r>
              <w:rPr>
                <w:rFonts w:ascii="Aptos" w:hAnsi="Aptos"/>
                <w:color w:val="1F1F1F"/>
                <w:sz w:val="18"/>
              </w:rPr>
              <w:t>Delivery blocked at site</w:t>
            </w:r>
          </w:p>
        </w:tc>
        <w:tc>
          <w:tcPr>
            <w:tcW w:w="6552" w:type="dxa"/>
            <w:shd w:val="clear" w:color="auto" w:fill="F9FBFD"/>
            <w:tcMar>
              <w:top w:w="80" w:type="dxa"/>
              <w:left w:w="90" w:type="dxa"/>
              <w:bottom w:w="80" w:type="dxa"/>
              <w:right w:w="90" w:type="dxa"/>
            </w:tcMar>
            <w:vAlign w:val="center"/>
          </w:tcPr>
          <w:p w14:paraId="599E41BD" w14:textId="77777777" w:rsidR="00E32B13" w:rsidRDefault="00000000">
            <w:r>
              <w:rPr>
                <w:rFonts w:ascii="Aptos" w:hAnsi="Aptos"/>
                <w:color w:val="1F1F1F"/>
                <w:sz w:val="18"/>
              </w:rPr>
              <w:t>Call site contact, update case record, and log access blocker in HubFlow. Escalate to project coordinator if not cleared within 45 minutes.</w:t>
            </w:r>
          </w:p>
        </w:tc>
      </w:tr>
    </w:tbl>
    <w:p w14:paraId="4C58D171" w14:textId="77777777" w:rsidR="00E32B13" w:rsidRDefault="00000000">
      <w:pPr>
        <w:spacing w:before="160" w:after="0" w:line="269" w:lineRule="auto"/>
      </w:pPr>
      <w:r>
        <w:rPr>
          <w:rFonts w:ascii="Aptos" w:hAnsi="Aptos"/>
          <w:color w:val="66707A"/>
          <w:sz w:val="17"/>
        </w:rPr>
        <w:t>Related systems: HubFlow, SitePass, CaseBridge, CarrierPulse. Related documents: TEAMQA-LOG-001 Logistics and Field Fulfillment Handbook; VAL-LOG-001 Carrier Delay Escalation Notice.</w:t>
      </w:r>
    </w:p>
    <w:sectPr w:rsidR="00E32B13"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A1"/>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879342">
    <w:abstractNumId w:val="8"/>
  </w:num>
  <w:num w:numId="2" w16cid:durableId="531189486">
    <w:abstractNumId w:val="6"/>
  </w:num>
  <w:num w:numId="3" w16cid:durableId="1951890131">
    <w:abstractNumId w:val="5"/>
  </w:num>
  <w:num w:numId="4" w16cid:durableId="2114588953">
    <w:abstractNumId w:val="4"/>
  </w:num>
  <w:num w:numId="5" w16cid:durableId="1428772050">
    <w:abstractNumId w:val="7"/>
  </w:num>
  <w:num w:numId="6" w16cid:durableId="2142382920">
    <w:abstractNumId w:val="3"/>
  </w:num>
  <w:num w:numId="7" w16cid:durableId="1533880036">
    <w:abstractNumId w:val="2"/>
  </w:num>
  <w:num w:numId="8" w16cid:durableId="1072658245">
    <w:abstractNumId w:val="1"/>
  </w:num>
  <w:num w:numId="9" w16cid:durableId="745880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5EB"/>
    <w:rsid w:val="0029639D"/>
    <w:rsid w:val="00326F90"/>
    <w:rsid w:val="007336B4"/>
    <w:rsid w:val="009800AA"/>
    <w:rsid w:val="00AA1D8D"/>
    <w:rsid w:val="00B47730"/>
    <w:rsid w:val="00CB0664"/>
    <w:rsid w:val="00E32B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350B15"/>
  <w14:defaultImageDpi w14:val="300"/>
  <w15:docId w15:val="{E15E092F-1572-B641-9A4F-0E08D097E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521</Words>
  <Characters>3147</Characters>
  <Application>Microsoft Office Word</Application>
  <DocSecurity>0</DocSecurity>
  <Lines>101</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Nikos Kalogirou</cp:lastModifiedBy>
  <cp:revision>3</cp:revision>
  <dcterms:created xsi:type="dcterms:W3CDTF">2013-12-23T23:15:00Z</dcterms:created>
  <dcterms:modified xsi:type="dcterms:W3CDTF">2026-03-24T12:40:00Z</dcterms:modified>
  <cp:category/>
</cp:coreProperties>
</file>