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color w:val="1F4E79"/>
          <w:sz w:val="19"/>
        </w:rPr>
        <w:t>OrchestrAI Team Knowledge Base</w:t>
      </w:r>
    </w:p>
    <w:p>
      <w:pPr>
        <w:spacing w:after="40"/>
      </w:pPr>
      <w:r>
        <w:rPr>
          <w:b/>
          <w:color w:val="222222"/>
          <w:sz w:val="38"/>
        </w:rPr>
        <w:t>Change Request Workflow</w:t>
      </w:r>
    </w:p>
    <w:p>
      <w:pPr>
        <w:spacing w:after="180"/>
      </w:pPr>
      <w:r>
        <w:rPr>
          <w:color w:val="666666"/>
          <w:sz w:val="20"/>
        </w:rPr>
        <w:t>Workflow standard for evaluating scope, date, and dependency changes affecting committed OrchestrAI roadmap items or release targets.</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tcMar>
              <w:top w:w="90" w:type="dxa"/>
              <w:start w:w="110" w:type="dxa"/>
              <w:bottom w:w="90" w:type="dxa"/>
              <w:end w:w="110" w:type="dxa"/>
            </w:tcMar>
            <w:vAlign w:val="center"/>
            <w:shd w:fill="EEF4F8"/>
          </w:tcPr>
          <w:p>
            <w:pPr>
              <w:spacing w:after="0"/>
            </w:pPr>
            <w:r>
              <w:rPr>
                <w:b/>
                <w:color w:val="1F4E79"/>
                <w:sz w:val="17"/>
              </w:rPr>
              <w:t>Document ID</w:t>
              <w:br/>
            </w:r>
            <w:r>
              <w:rPr>
                <w:color w:val="222222"/>
                <w:sz w:val="19"/>
              </w:rPr>
              <w:t>VAL-PROD-002</w:t>
            </w:r>
          </w:p>
        </w:tc>
        <w:tc>
          <w:tcPr>
            <w:tcW w:type="dxa" w:w="2498"/>
            <w:tcMar>
              <w:top w:w="90" w:type="dxa"/>
              <w:start w:w="110" w:type="dxa"/>
              <w:bottom w:w="90" w:type="dxa"/>
              <w:end w:w="110" w:type="dxa"/>
            </w:tcMar>
            <w:vAlign w:val="center"/>
            <w:shd w:fill="FFFFFF"/>
          </w:tcPr>
          <w:p>
            <w:pPr>
              <w:spacing w:after="0"/>
            </w:pPr>
            <w:r>
              <w:rPr>
                <w:b/>
                <w:color w:val="1F4E79"/>
                <w:sz w:val="17"/>
              </w:rPr>
              <w:t>Department</w:t>
              <w:br/>
            </w:r>
            <w:r>
              <w:rPr>
                <w:color w:val="222222"/>
                <w:sz w:val="19"/>
              </w:rPr>
              <w:t>Product &amp; Program Management</w:t>
            </w:r>
          </w:p>
        </w:tc>
        <w:tc>
          <w:tcPr>
            <w:tcW w:type="dxa" w:w="2498"/>
            <w:tcMar>
              <w:top w:w="90" w:type="dxa"/>
              <w:start w:w="110" w:type="dxa"/>
              <w:bottom w:w="90" w:type="dxa"/>
              <w:end w:w="110" w:type="dxa"/>
            </w:tcMar>
            <w:vAlign w:val="center"/>
            <w:shd w:fill="EEF4F8"/>
          </w:tcPr>
          <w:p>
            <w:pPr>
              <w:spacing w:after="0"/>
            </w:pPr>
            <w:r>
              <w:rPr>
                <w:b/>
                <w:color w:val="1F4E79"/>
                <w:sz w:val="17"/>
              </w:rPr>
              <w:t>Owner</w:t>
              <w:br/>
            </w:r>
            <w:r>
              <w:rPr>
                <w:color w:val="222222"/>
                <w:sz w:val="19"/>
              </w:rPr>
              <w:t>PMO Governance Lead</w:t>
            </w:r>
          </w:p>
        </w:tc>
        <w:tc>
          <w:tcPr>
            <w:tcW w:type="dxa" w:w="2498"/>
            <w:tcMar>
              <w:top w:w="90" w:type="dxa"/>
              <w:start w:w="110" w:type="dxa"/>
              <w:bottom w:w="90" w:type="dxa"/>
              <w:end w:w="110" w:type="dxa"/>
            </w:tcMar>
            <w:vAlign w:val="center"/>
            <w:shd w:fill="FFFFFF"/>
          </w:tcPr>
          <w:p>
            <w:pPr>
              <w:spacing w:after="0"/>
            </w:pPr>
            <w:r>
              <w:rPr>
                <w:b/>
                <w:color w:val="1F4E79"/>
                <w:sz w:val="17"/>
              </w:rPr>
              <w:t>Version</w:t>
              <w:br/>
            </w:r>
            <w:r>
              <w:rPr>
                <w:color w:val="222222"/>
                <w:sz w:val="19"/>
              </w:rPr>
              <w:t>1.0</w:t>
            </w:r>
          </w:p>
        </w:tc>
      </w:tr>
      <w:tr>
        <w:tc>
          <w:tcPr>
            <w:tcW w:type="dxa" w:w="2498"/>
            <w:tcMar>
              <w:top w:w="90" w:type="dxa"/>
              <w:start w:w="110" w:type="dxa"/>
              <w:bottom w:w="90" w:type="dxa"/>
              <w:end w:w="110" w:type="dxa"/>
            </w:tcMar>
            <w:vAlign w:val="center"/>
            <w:shd w:fill="EEF4F8"/>
          </w:tcPr>
          <w:p>
            <w:pPr>
              <w:spacing w:after="0"/>
            </w:pPr>
            <w:r>
              <w:rPr>
                <w:b/>
                <w:color w:val="1F4E79"/>
                <w:sz w:val="17"/>
              </w:rPr>
              <w:t>Effective Date</w:t>
              <w:br/>
            </w:r>
            <w:r>
              <w:rPr>
                <w:color w:val="222222"/>
                <w:sz w:val="19"/>
              </w:rPr>
              <w:t>2026-03-24</w:t>
            </w:r>
          </w:p>
        </w:tc>
        <w:tc>
          <w:tcPr>
            <w:tcW w:type="dxa" w:w="2498"/>
            <w:tcMar>
              <w:top w:w="90" w:type="dxa"/>
              <w:start w:w="110" w:type="dxa"/>
              <w:bottom w:w="90" w:type="dxa"/>
              <w:end w:w="110" w:type="dxa"/>
            </w:tcMar>
            <w:vAlign w:val="center"/>
            <w:shd w:fill="FFFFFF"/>
          </w:tcPr>
          <w:p>
            <w:pPr>
              <w:spacing w:after="0"/>
            </w:pPr>
            <w:r>
              <w:rPr>
                <w:b/>
                <w:color w:val="1F4E79"/>
                <w:sz w:val="17"/>
              </w:rPr>
              <w:t>Review Cycle</w:t>
              <w:br/>
            </w:r>
            <w:r>
              <w:rPr>
                <w:color w:val="222222"/>
                <w:sz w:val="19"/>
              </w:rPr>
              <w:t>Quarterly</w:t>
            </w:r>
          </w:p>
        </w:tc>
        <w:tc>
          <w:tcPr>
            <w:tcW w:type="dxa" w:w="2498"/>
            <w:tcMar>
              <w:top w:w="90" w:type="dxa"/>
              <w:start w:w="110" w:type="dxa"/>
              <w:bottom w:w="90" w:type="dxa"/>
              <w:end w:w="110" w:type="dxa"/>
            </w:tcMar>
            <w:vAlign w:val="center"/>
            <w:shd w:fill="EEF4F8"/>
          </w:tcPr>
          <w:p>
            <w:pPr>
              <w:spacing w:after="0"/>
            </w:pPr>
            <w:r>
              <w:rPr>
                <w:b/>
                <w:color w:val="1F4E79"/>
                <w:sz w:val="17"/>
              </w:rPr>
              <w:t>Audience</w:t>
              <w:br/>
            </w:r>
            <w:r>
              <w:rPr>
                <w:color w:val="222222"/>
                <w:sz w:val="19"/>
              </w:rPr>
              <w:t>PMO, Product, Engineering Managers, Security, Operations</w:t>
            </w:r>
          </w:p>
        </w:tc>
        <w:tc>
          <w:tcPr>
            <w:tcW w:type="dxa" w:w="2498"/>
            <w:tcMar>
              <w:top w:w="90" w:type="dxa"/>
              <w:start w:w="110" w:type="dxa"/>
              <w:bottom w:w="90" w:type="dxa"/>
              <w:end w:w="110" w:type="dxa"/>
            </w:tcMar>
            <w:vAlign w:val="center"/>
            <w:shd w:fill="FFFFFF"/>
          </w:tcPr>
          <w:p>
            <w:pPr>
              <w:spacing w:after="0"/>
            </w:pPr>
            <w:r>
              <w:rPr>
                <w:b/>
                <w:color w:val="1F4E79"/>
                <w:sz w:val="17"/>
              </w:rPr>
              <w:t>Classification</w:t>
              <w:br/>
            </w:r>
            <w:r>
              <w:rPr>
                <w:color w:val="222222"/>
                <w:sz w:val="19"/>
              </w:rPr>
              <w:t>Internal</w:t>
            </w:r>
          </w:p>
        </w:tc>
      </w:tr>
    </w:tbl>
    <w:p/>
    <w:tbl>
      <w:tblPr>
        <w:tblW w:type="auto" w:w="0"/>
        <w:jc w:val="center"/>
        <w:tblLook w:firstColumn="1" w:firstRow="1" w:lastColumn="0" w:lastRow="0" w:noHBand="0" w:noVBand="1" w:val="04A0"/>
      </w:tblPr>
      <w:tblGrid>
        <w:gridCol w:w="9994"/>
      </w:tblGrid>
      <w:tr>
        <w:tc>
          <w:tcPr>
            <w:tcW w:type="dxa" w:w="9994"/>
            <w:shd w:fill="D9E6F2"/>
            <w:tcMar>
              <w:top w:w="125" w:type="dxa"/>
              <w:start w:w="125" w:type="dxa"/>
              <w:bottom w:w="120" w:type="dxa"/>
              <w:end w:w="125" w:type="dxa"/>
            </w:tcMar>
          </w:tcPr>
          <w:p>
            <w:pPr>
              <w:spacing w:after="0" w:line="269" w:lineRule="auto"/>
            </w:pPr>
            <w:r>
              <w:rPr>
                <w:b/>
                <w:color w:val="222222"/>
                <w:sz w:val="20"/>
              </w:rPr>
              <w:t xml:space="preserve">Purpose. </w:t>
            </w:r>
            <w:r>
              <w:rPr>
                <w:color w:val="222222"/>
                <w:sz w:val="20"/>
              </w:rPr>
              <w:t>Use this workflow when a committed initiative changes in scope, target date, dependency path, launch sequence, or staffing assumptions after the planning baseline has been approved.</w:t>
            </w:r>
          </w:p>
        </w:tc>
      </w:tr>
    </w:tbl>
    <w:p/>
    <w:p>
      <w:pPr>
        <w:spacing w:before="100" w:after="80"/>
      </w:pPr>
      <w:r>
        <w:rPr>
          <w:rFonts w:ascii="Aptos" w:hAnsi="Aptos"/>
          <w:b/>
          <w:color w:val="1F4E79"/>
          <w:sz w:val="24"/>
        </w:rPr>
        <w:t>When a formal change request is required</w:t>
      </w:r>
    </w:p>
    <w:p>
      <w:pPr>
        <w:pStyle w:val="ListBullet"/>
        <w:spacing w:after="40" w:line="259" w:lineRule="auto"/>
      </w:pPr>
      <w:r>
        <w:rPr>
          <w:rFonts w:ascii="Aptos" w:hAnsi="Aptos"/>
          <w:color w:val="222222"/>
          <w:sz w:val="20"/>
        </w:rPr>
        <w:t>Launch date moves by more than five business days for a customer-facing release.</w:t>
      </w:r>
    </w:p>
    <w:p>
      <w:pPr>
        <w:pStyle w:val="ListBullet"/>
        <w:spacing w:after="40" w:line="259" w:lineRule="auto"/>
      </w:pPr>
      <w:r>
        <w:rPr>
          <w:rFonts w:ascii="Aptos" w:hAnsi="Aptos"/>
          <w:color w:val="222222"/>
          <w:sz w:val="20"/>
        </w:rPr>
        <w:t>A dependency team adds work that changes critical-path timing or funding assumptions.</w:t>
      </w:r>
    </w:p>
    <w:p>
      <w:pPr>
        <w:pStyle w:val="ListBullet"/>
        <w:spacing w:after="40" w:line="259" w:lineRule="auto"/>
      </w:pPr>
      <w:r>
        <w:rPr>
          <w:rFonts w:ascii="Aptos" w:hAnsi="Aptos"/>
          <w:color w:val="222222"/>
          <w:sz w:val="20"/>
        </w:rPr>
        <w:t>A scope change alters security posture, packaging, commercial commitments, or operational readiness requirements.</w:t>
      </w:r>
    </w:p>
    <w:p>
      <w:pPr>
        <w:spacing w:before="100" w:after="80"/>
      </w:pPr>
      <w:r>
        <w:rPr>
          <w:rFonts w:ascii="Aptos" w:hAnsi="Aptos"/>
          <w:b/>
          <w:color w:val="1F4E79"/>
          <w:sz w:val="24"/>
        </w:rPr>
        <w:t>Workflow stages</w:t>
      </w:r>
    </w:p>
    <w:tbl>
      <w:tblPr>
        <w:tblStyle w:val="TableGrid"/>
        <w:tblW w:type="auto" w:w="0"/>
        <w:jc w:val="center"/>
        <w:tblLook w:firstColumn="1" w:firstRow="1" w:lastColumn="0" w:lastRow="0" w:noHBand="0" w:noVBand="1" w:val="04A0"/>
      </w:tblPr>
      <w:tblGrid>
        <w:gridCol w:w="2498"/>
        <w:gridCol w:w="2498"/>
        <w:gridCol w:w="2498"/>
        <w:gridCol w:w="2498"/>
      </w:tblGrid>
      <w:tr>
        <w:trPr>
          <w:tblHeader w:val="true"/>
        </w:trPr>
        <w:tc>
          <w:tcPr>
            <w:tcW w:type="dxa" w:w="1584"/>
            <w:tcMar>
              <w:top w:w="94" w:type="dxa"/>
              <w:start w:w="86" w:type="dxa"/>
              <w:bottom w:w="94" w:type="dxa"/>
              <w:end w:w="86" w:type="dxa"/>
            </w:tcMar>
            <w:shd w:fill="D4E2F1"/>
            <w:vAlign w:val="center"/>
          </w:tcPr>
          <w:p>
            <w:pPr>
              <w:spacing w:after="0"/>
              <w:jc w:val="center"/>
            </w:pPr>
            <w:r>
              <w:rPr>
                <w:b/>
                <w:color w:val="222222"/>
                <w:sz w:val="17"/>
              </w:rPr>
              <w:t>Stage</w:t>
            </w:r>
          </w:p>
        </w:tc>
        <w:tc>
          <w:tcPr>
            <w:tcW w:type="dxa" w:w="4968"/>
            <w:tcMar>
              <w:top w:w="94" w:type="dxa"/>
              <w:start w:w="86" w:type="dxa"/>
              <w:bottom w:w="94" w:type="dxa"/>
              <w:end w:w="86" w:type="dxa"/>
            </w:tcMar>
            <w:shd w:fill="D4E2F1"/>
            <w:vAlign w:val="center"/>
          </w:tcPr>
          <w:p>
            <w:pPr>
              <w:spacing w:after="0"/>
              <w:jc w:val="center"/>
            </w:pPr>
            <w:r>
              <w:rPr>
                <w:b/>
                <w:color w:val="222222"/>
                <w:sz w:val="17"/>
              </w:rPr>
              <w:t>Required action</w:t>
            </w:r>
          </w:p>
        </w:tc>
        <w:tc>
          <w:tcPr>
            <w:tcW w:type="dxa" w:w="2015"/>
            <w:tcMar>
              <w:top w:w="94" w:type="dxa"/>
              <w:start w:w="86" w:type="dxa"/>
              <w:bottom w:w="94" w:type="dxa"/>
              <w:end w:w="86" w:type="dxa"/>
            </w:tcMar>
            <w:shd w:fill="D4E2F1"/>
            <w:vAlign w:val="center"/>
          </w:tcPr>
          <w:p>
            <w:pPr>
              <w:spacing w:after="0"/>
              <w:jc w:val="center"/>
            </w:pPr>
            <w:r>
              <w:rPr>
                <w:b/>
                <w:color w:val="222222"/>
                <w:sz w:val="17"/>
              </w:rPr>
              <w:t>Accountable owner</w:t>
            </w:r>
          </w:p>
        </w:tc>
        <w:tc>
          <w:tcPr>
            <w:tcW w:type="dxa" w:w="1655"/>
            <w:tcMar>
              <w:top w:w="94" w:type="dxa"/>
              <w:start w:w="86" w:type="dxa"/>
              <w:bottom w:w="94" w:type="dxa"/>
              <w:end w:w="86" w:type="dxa"/>
            </w:tcMar>
            <w:shd w:fill="D4E2F1"/>
            <w:vAlign w:val="center"/>
          </w:tcPr>
          <w:p>
            <w:pPr>
              <w:spacing w:after="0"/>
              <w:jc w:val="center"/>
            </w:pPr>
            <w:r>
              <w:rPr>
                <w:b/>
                <w:color w:val="222222"/>
                <w:sz w:val="17"/>
              </w:rPr>
              <w:t>Target timing</w:t>
            </w:r>
          </w:p>
        </w:tc>
      </w:tr>
      <w:tr>
        <w:tc>
          <w:tcPr>
            <w:tcW w:type="dxa" w:w="1584"/>
            <w:tcMar>
              <w:top w:w="88" w:type="dxa"/>
              <w:start w:w="84" w:type="dxa"/>
              <w:bottom w:w="88" w:type="dxa"/>
              <w:end w:w="84" w:type="dxa"/>
            </w:tcMar>
            <w:shd w:fill="F8FBFD"/>
            <w:vAlign w:val="center"/>
          </w:tcPr>
          <w:p>
            <w:pPr>
              <w:spacing w:after="0"/>
              <w:jc w:val="center"/>
            </w:pPr>
            <w:r>
              <w:rPr>
                <w:color w:val="222222"/>
                <w:sz w:val="17"/>
              </w:rPr>
              <w:t>1. Intake</w:t>
            </w:r>
          </w:p>
        </w:tc>
        <w:tc>
          <w:tcPr>
            <w:tcW w:type="dxa" w:w="4968"/>
            <w:tcMar>
              <w:top w:w="88" w:type="dxa"/>
              <w:start w:w="84" w:type="dxa"/>
              <w:bottom w:w="88" w:type="dxa"/>
              <w:end w:w="84" w:type="dxa"/>
            </w:tcMar>
            <w:shd w:fill="F8FBFD"/>
            <w:vAlign w:val="center"/>
          </w:tcPr>
          <w:p>
            <w:pPr>
              <w:spacing w:after="0"/>
              <w:jc w:val="left"/>
            </w:pPr>
            <w:r>
              <w:rPr>
                <w:color w:val="222222"/>
                <w:sz w:val="17"/>
              </w:rPr>
              <w:t>Submit CR form in LaunchHub with change summary, reason, affected milestone, and requested decision date.</w:t>
            </w:r>
          </w:p>
        </w:tc>
        <w:tc>
          <w:tcPr>
            <w:tcW w:type="dxa" w:w="2015"/>
            <w:tcMar>
              <w:top w:w="88" w:type="dxa"/>
              <w:start w:w="84" w:type="dxa"/>
              <w:bottom w:w="88" w:type="dxa"/>
              <w:end w:w="84" w:type="dxa"/>
            </w:tcMar>
            <w:shd w:fill="F8FBFD"/>
            <w:vAlign w:val="center"/>
          </w:tcPr>
          <w:p>
            <w:pPr>
              <w:spacing w:after="0"/>
              <w:jc w:val="center"/>
            </w:pPr>
            <w:r>
              <w:rPr>
                <w:color w:val="222222"/>
                <w:sz w:val="17"/>
              </w:rPr>
              <w:t>Requester</w:t>
            </w:r>
          </w:p>
        </w:tc>
        <w:tc>
          <w:tcPr>
            <w:tcW w:type="dxa" w:w="1655"/>
            <w:tcMar>
              <w:top w:w="88" w:type="dxa"/>
              <w:start w:w="84" w:type="dxa"/>
              <w:bottom w:w="88" w:type="dxa"/>
              <w:end w:w="84" w:type="dxa"/>
            </w:tcMar>
            <w:shd w:fill="F8FBFD"/>
            <w:vAlign w:val="center"/>
          </w:tcPr>
          <w:p>
            <w:pPr>
              <w:spacing w:after="0"/>
              <w:jc w:val="center"/>
            </w:pPr>
            <w:r>
              <w:rPr>
                <w:color w:val="222222"/>
                <w:sz w:val="17"/>
              </w:rPr>
              <w:t>Same business day</w:t>
            </w:r>
          </w:p>
        </w:tc>
      </w:tr>
      <w:tr>
        <w:tc>
          <w:tcPr>
            <w:tcW w:type="dxa" w:w="1584"/>
            <w:tcMar>
              <w:top w:w="88" w:type="dxa"/>
              <w:start w:w="84" w:type="dxa"/>
              <w:bottom w:w="88" w:type="dxa"/>
              <w:end w:w="84" w:type="dxa"/>
            </w:tcMar>
            <w:shd w:fill="FFFFFF"/>
            <w:vAlign w:val="center"/>
          </w:tcPr>
          <w:p>
            <w:pPr>
              <w:spacing w:after="0"/>
              <w:jc w:val="center"/>
            </w:pPr>
            <w:r>
              <w:rPr>
                <w:color w:val="222222"/>
                <w:sz w:val="17"/>
              </w:rPr>
              <w:t>2. Impact review</w:t>
            </w:r>
          </w:p>
        </w:tc>
        <w:tc>
          <w:tcPr>
            <w:tcW w:type="dxa" w:w="4968"/>
            <w:tcMar>
              <w:top w:w="88" w:type="dxa"/>
              <w:start w:w="84" w:type="dxa"/>
              <w:bottom w:w="88" w:type="dxa"/>
              <w:end w:w="84" w:type="dxa"/>
            </w:tcMar>
            <w:shd w:fill="FFFFFF"/>
            <w:vAlign w:val="center"/>
          </w:tcPr>
          <w:p>
            <w:pPr>
              <w:spacing w:after="0"/>
              <w:jc w:val="left"/>
            </w:pPr>
            <w:r>
              <w:rPr>
                <w:color w:val="222222"/>
                <w:sz w:val="17"/>
              </w:rPr>
              <w:t>Assess engineering effort, downstream risks, security effects, enablement impact, and customer-commitment exposure.</w:t>
            </w:r>
          </w:p>
        </w:tc>
        <w:tc>
          <w:tcPr>
            <w:tcW w:type="dxa" w:w="2015"/>
            <w:tcMar>
              <w:top w:w="88" w:type="dxa"/>
              <w:start w:w="84" w:type="dxa"/>
              <w:bottom w:w="88" w:type="dxa"/>
              <w:end w:w="84" w:type="dxa"/>
            </w:tcMar>
            <w:shd w:fill="FFFFFF"/>
            <w:vAlign w:val="center"/>
          </w:tcPr>
          <w:p>
            <w:pPr>
              <w:spacing w:after="0"/>
              <w:jc w:val="center"/>
            </w:pPr>
            <w:r>
              <w:rPr>
                <w:color w:val="222222"/>
                <w:sz w:val="17"/>
              </w:rPr>
              <w:t>PMO + functional leads</w:t>
            </w:r>
          </w:p>
        </w:tc>
        <w:tc>
          <w:tcPr>
            <w:tcW w:type="dxa" w:w="1655"/>
            <w:tcMar>
              <w:top w:w="88" w:type="dxa"/>
              <w:start w:w="84" w:type="dxa"/>
              <w:bottom w:w="88" w:type="dxa"/>
              <w:end w:w="84" w:type="dxa"/>
            </w:tcMar>
            <w:shd w:fill="FFFFFF"/>
            <w:vAlign w:val="center"/>
          </w:tcPr>
          <w:p>
            <w:pPr>
              <w:spacing w:after="0"/>
              <w:jc w:val="center"/>
            </w:pPr>
            <w:r>
              <w:rPr>
                <w:color w:val="222222"/>
                <w:sz w:val="17"/>
              </w:rPr>
              <w:t>2 business days</w:t>
            </w:r>
          </w:p>
        </w:tc>
      </w:tr>
      <w:tr>
        <w:tc>
          <w:tcPr>
            <w:tcW w:type="dxa" w:w="1584"/>
            <w:tcMar>
              <w:top w:w="88" w:type="dxa"/>
              <w:start w:w="84" w:type="dxa"/>
              <w:bottom w:w="88" w:type="dxa"/>
              <w:end w:w="84" w:type="dxa"/>
            </w:tcMar>
            <w:shd w:fill="F8FBFD"/>
            <w:vAlign w:val="center"/>
          </w:tcPr>
          <w:p>
            <w:pPr>
              <w:spacing w:after="0"/>
              <w:jc w:val="center"/>
            </w:pPr>
            <w:r>
              <w:rPr>
                <w:color w:val="222222"/>
                <w:sz w:val="17"/>
              </w:rPr>
              <w:t>3. Decision forum</w:t>
            </w:r>
          </w:p>
        </w:tc>
        <w:tc>
          <w:tcPr>
            <w:tcW w:type="dxa" w:w="4968"/>
            <w:tcMar>
              <w:top w:w="88" w:type="dxa"/>
              <w:start w:w="84" w:type="dxa"/>
              <w:bottom w:w="88" w:type="dxa"/>
              <w:end w:w="84" w:type="dxa"/>
            </w:tcMar>
            <w:shd w:fill="F8FBFD"/>
            <w:vAlign w:val="center"/>
          </w:tcPr>
          <w:p>
            <w:pPr>
              <w:spacing w:after="0"/>
              <w:jc w:val="left"/>
            </w:pPr>
            <w:r>
              <w:rPr>
                <w:color w:val="222222"/>
                <w:sz w:val="17"/>
              </w:rPr>
              <w:t>Review recommendation in change board or weekly portfolio review and approve, reject, or defer.</w:t>
            </w:r>
          </w:p>
        </w:tc>
        <w:tc>
          <w:tcPr>
            <w:tcW w:type="dxa" w:w="2015"/>
            <w:tcMar>
              <w:top w:w="88" w:type="dxa"/>
              <w:start w:w="84" w:type="dxa"/>
              <w:bottom w:w="88" w:type="dxa"/>
              <w:end w:w="84" w:type="dxa"/>
            </w:tcMar>
            <w:shd w:fill="F8FBFD"/>
            <w:vAlign w:val="center"/>
          </w:tcPr>
          <w:p>
            <w:pPr>
              <w:spacing w:after="0"/>
              <w:jc w:val="center"/>
            </w:pPr>
            <w:r>
              <w:rPr>
                <w:color w:val="222222"/>
                <w:sz w:val="17"/>
              </w:rPr>
              <w:t>PMO governance chair</w:t>
            </w:r>
          </w:p>
        </w:tc>
        <w:tc>
          <w:tcPr>
            <w:tcW w:type="dxa" w:w="1655"/>
            <w:tcMar>
              <w:top w:w="88" w:type="dxa"/>
              <w:start w:w="84" w:type="dxa"/>
              <w:bottom w:w="88" w:type="dxa"/>
              <w:end w:w="84" w:type="dxa"/>
            </w:tcMar>
            <w:shd w:fill="F8FBFD"/>
            <w:vAlign w:val="center"/>
          </w:tcPr>
          <w:p>
            <w:pPr>
              <w:spacing w:after="0"/>
              <w:jc w:val="center"/>
            </w:pPr>
            <w:r>
              <w:rPr>
                <w:color w:val="222222"/>
                <w:sz w:val="17"/>
              </w:rPr>
              <w:t>Next governance meeting</w:t>
            </w:r>
          </w:p>
        </w:tc>
      </w:tr>
      <w:tr>
        <w:tc>
          <w:tcPr>
            <w:tcW w:type="dxa" w:w="1584"/>
            <w:tcMar>
              <w:top w:w="88" w:type="dxa"/>
              <w:start w:w="84" w:type="dxa"/>
              <w:bottom w:w="88" w:type="dxa"/>
              <w:end w:w="84" w:type="dxa"/>
            </w:tcMar>
            <w:shd w:fill="FFFFFF"/>
            <w:vAlign w:val="center"/>
          </w:tcPr>
          <w:p>
            <w:pPr>
              <w:spacing w:after="0"/>
              <w:jc w:val="center"/>
            </w:pPr>
            <w:r>
              <w:rPr>
                <w:color w:val="222222"/>
                <w:sz w:val="17"/>
              </w:rPr>
              <w:t>4. Baseline update</w:t>
            </w:r>
          </w:p>
        </w:tc>
        <w:tc>
          <w:tcPr>
            <w:tcW w:type="dxa" w:w="4968"/>
            <w:tcMar>
              <w:top w:w="88" w:type="dxa"/>
              <w:start w:w="84" w:type="dxa"/>
              <w:bottom w:w="88" w:type="dxa"/>
              <w:end w:w="84" w:type="dxa"/>
            </w:tcMar>
            <w:shd w:fill="FFFFFF"/>
            <w:vAlign w:val="center"/>
          </w:tcPr>
          <w:p>
            <w:pPr>
              <w:spacing w:after="0"/>
              <w:jc w:val="left"/>
            </w:pPr>
            <w:r>
              <w:rPr>
                <w:color w:val="222222"/>
                <w:sz w:val="17"/>
              </w:rPr>
              <w:t>Update roadmap board, release calendar, launch plan, risk register, and owner list.</w:t>
            </w:r>
          </w:p>
        </w:tc>
        <w:tc>
          <w:tcPr>
            <w:tcW w:type="dxa" w:w="2015"/>
            <w:tcMar>
              <w:top w:w="88" w:type="dxa"/>
              <w:start w:w="84" w:type="dxa"/>
              <w:bottom w:w="88" w:type="dxa"/>
              <w:end w:w="84" w:type="dxa"/>
            </w:tcMar>
            <w:shd w:fill="FFFFFF"/>
            <w:vAlign w:val="center"/>
          </w:tcPr>
          <w:p>
            <w:pPr>
              <w:spacing w:after="0"/>
              <w:jc w:val="center"/>
            </w:pPr>
            <w:r>
              <w:rPr>
                <w:color w:val="222222"/>
                <w:sz w:val="17"/>
              </w:rPr>
              <w:t>PMO</w:t>
            </w:r>
          </w:p>
        </w:tc>
        <w:tc>
          <w:tcPr>
            <w:tcW w:type="dxa" w:w="1655"/>
            <w:tcMar>
              <w:top w:w="88" w:type="dxa"/>
              <w:start w:w="84" w:type="dxa"/>
              <w:bottom w:w="88" w:type="dxa"/>
              <w:end w:w="84" w:type="dxa"/>
            </w:tcMar>
            <w:shd w:fill="FFFFFF"/>
            <w:vAlign w:val="center"/>
          </w:tcPr>
          <w:p>
            <w:pPr>
              <w:spacing w:after="0"/>
              <w:jc w:val="center"/>
            </w:pPr>
            <w:r>
              <w:rPr>
                <w:color w:val="222222"/>
                <w:sz w:val="17"/>
              </w:rPr>
              <w:t>Within 1 business day</w:t>
            </w:r>
          </w:p>
        </w:tc>
      </w:tr>
      <w:tr>
        <w:tc>
          <w:tcPr>
            <w:tcW w:type="dxa" w:w="1584"/>
            <w:tcMar>
              <w:top w:w="88" w:type="dxa"/>
              <w:start w:w="84" w:type="dxa"/>
              <w:bottom w:w="88" w:type="dxa"/>
              <w:end w:w="84" w:type="dxa"/>
            </w:tcMar>
            <w:shd w:fill="F8FBFD"/>
            <w:vAlign w:val="center"/>
          </w:tcPr>
          <w:p>
            <w:pPr>
              <w:spacing w:after="0"/>
              <w:jc w:val="center"/>
            </w:pPr>
            <w:r>
              <w:rPr>
                <w:color w:val="222222"/>
                <w:sz w:val="17"/>
              </w:rPr>
              <w:t>5. Communication</w:t>
            </w:r>
          </w:p>
        </w:tc>
        <w:tc>
          <w:tcPr>
            <w:tcW w:type="dxa" w:w="4968"/>
            <w:tcMar>
              <w:top w:w="88" w:type="dxa"/>
              <w:start w:w="84" w:type="dxa"/>
              <w:bottom w:w="88" w:type="dxa"/>
              <w:end w:w="84" w:type="dxa"/>
            </w:tcMar>
            <w:shd w:fill="F8FBFD"/>
            <w:vAlign w:val="center"/>
          </w:tcPr>
          <w:p>
            <w:pPr>
              <w:spacing w:after="0"/>
              <w:jc w:val="left"/>
            </w:pPr>
            <w:r>
              <w:rPr>
                <w:color w:val="222222"/>
                <w:sz w:val="17"/>
              </w:rPr>
              <w:t>Notify impacted teams and account owners when customer dates, enablement, or service windows shift.</w:t>
            </w:r>
          </w:p>
        </w:tc>
        <w:tc>
          <w:tcPr>
            <w:tcW w:type="dxa" w:w="2015"/>
            <w:tcMar>
              <w:top w:w="88" w:type="dxa"/>
              <w:start w:w="84" w:type="dxa"/>
              <w:bottom w:w="88" w:type="dxa"/>
              <w:end w:w="84" w:type="dxa"/>
            </w:tcMar>
            <w:shd w:fill="F8FBFD"/>
            <w:vAlign w:val="center"/>
          </w:tcPr>
          <w:p>
            <w:pPr>
              <w:spacing w:after="0"/>
              <w:jc w:val="center"/>
            </w:pPr>
            <w:r>
              <w:rPr>
                <w:color w:val="222222"/>
                <w:sz w:val="17"/>
              </w:rPr>
              <w:t>Product + PMO</w:t>
            </w:r>
          </w:p>
        </w:tc>
        <w:tc>
          <w:tcPr>
            <w:tcW w:type="dxa" w:w="1655"/>
            <w:tcMar>
              <w:top w:w="88" w:type="dxa"/>
              <w:start w:w="84" w:type="dxa"/>
              <w:bottom w:w="88" w:type="dxa"/>
              <w:end w:w="84" w:type="dxa"/>
            </w:tcMar>
            <w:shd w:fill="F8FBFD"/>
            <w:vAlign w:val="center"/>
          </w:tcPr>
          <w:p>
            <w:pPr>
              <w:spacing w:after="0"/>
              <w:jc w:val="center"/>
            </w:pPr>
            <w:r>
              <w:rPr>
                <w:color w:val="222222"/>
                <w:sz w:val="17"/>
              </w:rPr>
              <w:t>Within 1 business day</w:t>
            </w:r>
          </w:p>
        </w:tc>
      </w:tr>
    </w:tbl>
    <w:p/>
    <w:p>
      <w:pPr>
        <w:spacing w:before="100" w:after="80"/>
      </w:pPr>
      <w:r>
        <w:rPr>
          <w:rFonts w:ascii="Aptos" w:hAnsi="Aptos"/>
          <w:b/>
          <w:color w:val="1F4E79"/>
          <w:sz w:val="24"/>
        </w:rPr>
        <w:t>Decision criteria</w:t>
      </w:r>
    </w:p>
    <w:p>
      <w:pPr>
        <w:spacing w:after="80" w:line="269" w:lineRule="auto"/>
      </w:pPr>
      <w:r>
        <w:rPr>
          <w:rFonts w:ascii="Aptos" w:hAnsi="Aptos"/>
          <w:color w:val="222222"/>
          <w:sz w:val="20"/>
        </w:rPr>
        <w:t>Decision-makers should weigh customer and revenue commitments, implementation risk, operational readiness, security obligations, and whether the proposed change reduces or increases overall portfolio risk. Requests that only transfer hidden work into later milestones without reducing delivery risk should normally be rejected.</w:t>
      </w:r>
    </w:p>
    <w:p>
      <w:pPr>
        <w:spacing w:before="100" w:after="80"/>
      </w:pPr>
      <w:r>
        <w:rPr>
          <w:rFonts w:ascii="Aptos" w:hAnsi="Aptos"/>
          <w:b/>
          <w:color w:val="1F4E79"/>
          <w:sz w:val="24"/>
        </w:rPr>
        <w:t>Required evidence package</w:t>
      </w:r>
    </w:p>
    <w:p>
      <w:pPr>
        <w:pStyle w:val="ListBullet"/>
        <w:spacing w:after="40" w:line="259" w:lineRule="auto"/>
      </w:pPr>
      <w:r>
        <w:rPr>
          <w:rFonts w:ascii="Aptos" w:hAnsi="Aptos"/>
          <w:color w:val="222222"/>
          <w:sz w:val="20"/>
        </w:rPr>
        <w:t>Short change summary with reason code: defect, dependency, capacity, compliance, market need, or external partner change.</w:t>
      </w:r>
    </w:p>
    <w:p>
      <w:pPr>
        <w:pStyle w:val="ListBullet"/>
        <w:spacing w:after="40" w:line="259" w:lineRule="auto"/>
      </w:pPr>
      <w:r>
        <w:rPr>
          <w:rFonts w:ascii="Aptos" w:hAnsi="Aptos"/>
          <w:color w:val="222222"/>
          <w:sz w:val="20"/>
        </w:rPr>
        <w:t>Impact statement covering customer commitments, support readiness, and risk if the request is denied.</w:t>
      </w:r>
    </w:p>
    <w:p>
      <w:pPr>
        <w:pStyle w:val="ListBullet"/>
        <w:spacing w:after="40" w:line="259" w:lineRule="auto"/>
      </w:pPr>
      <w:r>
        <w:rPr>
          <w:rFonts w:ascii="Aptos" w:hAnsi="Aptos"/>
          <w:color w:val="222222"/>
          <w:sz w:val="20"/>
        </w:rPr>
        <w:t>Revised milestone plan with named owners for every downstream action.</w:t>
      </w:r>
    </w:p>
    <w:p>
      <w:pPr>
        <w:spacing w:before="100" w:after="80"/>
      </w:pPr>
      <w:r>
        <w:rPr>
          <w:rFonts w:ascii="Aptos" w:hAnsi="Aptos"/>
          <w:b/>
          <w:color w:val="1F4E79"/>
          <w:sz w:val="24"/>
        </w:rPr>
        <w:t>Common retrieval phrases</w:t>
      </w:r>
    </w:p>
    <w:p>
      <w:pPr>
        <w:spacing w:after="80" w:line="269" w:lineRule="auto"/>
      </w:pPr>
      <w:r>
        <w:rPr>
          <w:rFonts w:ascii="Aptos" w:hAnsi="Aptos"/>
          <w:color w:val="222222"/>
          <w:sz w:val="20"/>
        </w:rPr>
        <w:t>Useful search cues include change request, scope change, target date shift, baseline update, dependency impact, portfolio review, and governance board approval.</w:t>
      </w:r>
    </w:p>
    <w:sectPr w:rsidR="00FC693F" w:rsidRPr="0006063C" w:rsidSect="00034616">
      <w:pgSz w:w="12240" w:h="15840"/>
      <w:pgMar w:top="893" w:right="1123" w:bottom="893"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