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5B6B7A"/>
          <w:sz w:val="17"/>
        </w:rPr>
        <w:t>ORCHESTRAI INTERNAL KNOWLEDGE BASE</w:t>
      </w:r>
    </w:p>
    <w:p>
      <w:pPr>
        <w:pStyle w:val="Title"/>
        <w:spacing w:after="80"/>
      </w:pPr>
      <w:r>
        <w:t>Customer Success and Support Handbook</w:t>
      </w:r>
    </w:p>
    <w:p>
      <w:pPr>
        <w:spacing w:after="160"/>
      </w:pPr>
      <w:r>
        <w:rPr>
          <w:b/>
        </w:rPr>
        <w:t xml:space="preserve">Document ID: </w:t>
      </w:r>
      <w:r>
        <w:t xml:space="preserve">TEAMQA-CS-001   </w:t>
      </w:r>
      <w:r>
        <w:rPr>
          <w:b/>
        </w:rPr>
        <w:t xml:space="preserve">Department: </w:t>
      </w:r>
      <w:r>
        <w:t xml:space="preserve">Customer Success &amp; Support   </w:t>
      </w:r>
      <w:r>
        <w:rPr>
          <w:b/>
        </w:rPr>
        <w:t xml:space="preserve">Confidentiality: </w:t>
      </w:r>
      <w:r>
        <w:t xml:space="preserve">Internal Use Only   </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tcMar>
              <w:top w:w="100" w:type="dxa"/>
              <w:start w:w="120" w:type="dxa"/>
              <w:bottom w:w="100" w:type="dxa"/>
              <w:end w:w="120" w:type="dxa"/>
            </w:tcMar>
            <w:vAlign w:val="center"/>
            <w:shd w:fill="DCE6F1"/>
          </w:tcPr>
          <w:p>
            <w:r>
              <w:rPr>
                <w:b/>
              </w:rPr>
              <w:t>Owner</w:t>
            </w:r>
          </w:p>
        </w:tc>
        <w:tc>
          <w:tcPr>
            <w:tcW w:type="dxa" w:w="2808"/>
            <w:tcMar>
              <w:top w:w="100" w:type="dxa"/>
              <w:start w:w="120" w:type="dxa"/>
              <w:bottom w:w="100" w:type="dxa"/>
              <w:end w:w="120" w:type="dxa"/>
            </w:tcMar>
            <w:vAlign w:val="center"/>
          </w:tcPr>
          <w:p>
            <w:r>
              <w:t>Director, Customer Success Operations</w:t>
            </w:r>
          </w:p>
        </w:tc>
        <w:tc>
          <w:tcPr>
            <w:tcW w:type="dxa" w:w="1872"/>
            <w:tcMar>
              <w:top w:w="100" w:type="dxa"/>
              <w:start w:w="120" w:type="dxa"/>
              <w:bottom w:w="100" w:type="dxa"/>
              <w:end w:w="120" w:type="dxa"/>
            </w:tcMar>
            <w:vAlign w:val="center"/>
            <w:shd w:fill="DCE6F1"/>
          </w:tcPr>
          <w:p>
            <w:r>
              <w:rPr>
                <w:b/>
              </w:rPr>
              <w:t>Version</w:t>
            </w:r>
          </w:p>
        </w:tc>
        <w:tc>
          <w:tcPr>
            <w:tcW w:type="dxa" w:w="2808"/>
            <w:tcMar>
              <w:top w:w="100" w:type="dxa"/>
              <w:start w:w="120" w:type="dxa"/>
              <w:bottom w:w="100" w:type="dxa"/>
              <w:end w:w="120" w:type="dxa"/>
            </w:tcMar>
            <w:vAlign w:val="center"/>
          </w:tcPr>
          <w:p>
            <w:r>
              <w:t>1.0</w:t>
            </w:r>
          </w:p>
        </w:tc>
      </w:tr>
      <w:tr>
        <w:tc>
          <w:tcPr>
            <w:tcW w:type="dxa" w:w="1872"/>
            <w:tcMar>
              <w:top w:w="100" w:type="dxa"/>
              <w:start w:w="120" w:type="dxa"/>
              <w:bottom w:w="100" w:type="dxa"/>
              <w:end w:w="120" w:type="dxa"/>
            </w:tcMar>
            <w:vAlign w:val="center"/>
            <w:shd w:fill="DCE6F1"/>
          </w:tcPr>
          <w:p>
            <w:r>
              <w:rPr>
                <w:b/>
              </w:rPr>
              <w:t>Effective date</w:t>
            </w:r>
          </w:p>
        </w:tc>
        <w:tc>
          <w:tcPr>
            <w:tcW w:type="dxa" w:w="2808"/>
            <w:tcMar>
              <w:top w:w="100" w:type="dxa"/>
              <w:start w:w="120" w:type="dxa"/>
              <w:bottom w:w="100" w:type="dxa"/>
              <w:end w:w="120" w:type="dxa"/>
            </w:tcMar>
            <w:vAlign w:val="center"/>
          </w:tcPr>
          <w:p>
            <w:r>
              <w:t>2026-02-10</w:t>
            </w:r>
          </w:p>
        </w:tc>
        <w:tc>
          <w:tcPr>
            <w:tcW w:type="dxa" w:w="1872"/>
            <w:tcMar>
              <w:top w:w="100" w:type="dxa"/>
              <w:start w:w="120" w:type="dxa"/>
              <w:bottom w:w="100" w:type="dxa"/>
              <w:end w:w="120" w:type="dxa"/>
            </w:tcMar>
            <w:vAlign w:val="center"/>
            <w:shd w:fill="DCE6F1"/>
          </w:tcPr>
          <w:p>
            <w:r>
              <w:rPr>
                <w:b/>
              </w:rPr>
              <w:t>Review date</w:t>
            </w:r>
          </w:p>
        </w:tc>
        <w:tc>
          <w:tcPr>
            <w:tcW w:type="dxa" w:w="2808"/>
            <w:tcMar>
              <w:top w:w="100" w:type="dxa"/>
              <w:start w:w="120" w:type="dxa"/>
              <w:bottom w:w="100" w:type="dxa"/>
              <w:end w:w="120" w:type="dxa"/>
            </w:tcMar>
            <w:vAlign w:val="center"/>
          </w:tcPr>
          <w:p>
            <w:r>
              <w:t>2026-08-10</w:t>
            </w:r>
          </w:p>
        </w:tc>
      </w:tr>
      <w:tr>
        <w:tc>
          <w:tcPr>
            <w:tcW w:type="dxa" w:w="1872"/>
            <w:tcMar>
              <w:top w:w="100" w:type="dxa"/>
              <w:start w:w="120" w:type="dxa"/>
              <w:bottom w:w="100" w:type="dxa"/>
              <w:end w:w="120" w:type="dxa"/>
            </w:tcMar>
            <w:vAlign w:val="center"/>
            <w:shd w:fill="DCE6F1"/>
          </w:tcPr>
          <w:p>
            <w:r>
              <w:rPr>
                <w:b/>
              </w:rPr>
              <w:t>Primary systems</w:t>
            </w:r>
          </w:p>
        </w:tc>
        <w:tc>
          <w:tcPr>
            <w:tcW w:type="dxa" w:w="2808"/>
            <w:tcMar>
              <w:top w:w="100" w:type="dxa"/>
              <w:start w:w="120" w:type="dxa"/>
              <w:bottom w:w="100" w:type="dxa"/>
              <w:end w:w="120" w:type="dxa"/>
            </w:tcMar>
            <w:vAlign w:val="center"/>
          </w:tcPr>
          <w:p>
            <w:r>
              <w:t>PulseDesk, AtlasCRM, BeaconOps</w:t>
            </w:r>
          </w:p>
        </w:tc>
        <w:tc>
          <w:tcPr>
            <w:tcW w:type="dxa" w:w="1872"/>
            <w:tcMar>
              <w:top w:w="100" w:type="dxa"/>
              <w:start w:w="120" w:type="dxa"/>
              <w:bottom w:w="100" w:type="dxa"/>
              <w:end w:w="120" w:type="dxa"/>
            </w:tcMar>
            <w:vAlign w:val="center"/>
            <w:shd w:fill="DCE6F1"/>
          </w:tcPr>
          <w:p>
            <w:r>
              <w:rPr>
                <w:b/>
              </w:rPr>
              <w:t>Related teams</w:t>
            </w:r>
          </w:p>
        </w:tc>
        <w:tc>
          <w:tcPr>
            <w:tcW w:type="dxa" w:w="2808"/>
            <w:tcMar>
              <w:top w:w="100" w:type="dxa"/>
              <w:start w:w="120" w:type="dxa"/>
              <w:bottom w:w="100" w:type="dxa"/>
              <w:end w:w="120" w:type="dxa"/>
            </w:tcMar>
            <w:vAlign w:val="center"/>
          </w:tcPr>
          <w:p>
            <w:r>
              <w:t>Product, Logistics, Engineering</w:t>
            </w:r>
          </w:p>
        </w:tc>
      </w:tr>
    </w:tbl>
    <w:p>
      <w:r>
        <w:rPr>
          <w:b/>
        </w:rPr>
        <w:t xml:space="preserve">Purpose: </w:t>
      </w:r>
      <w:r>
        <w:t>This handbook describes how OrchestrAI manages customer onboarding, operational support, adoption, and renewal readiness for warehouse-control deployments. It is designed to answer common working questions from Success Managers, support leads, and cross-functional partners.</w:t>
      </w:r>
    </w:p>
    <w:p>
      <w:pPr>
        <w:pStyle w:val="Heading1"/>
      </w:pPr>
      <w:r>
        <w:t>Operating workflow</w:t>
      </w:r>
    </w:p>
    <w:p>
      <w:pPr>
        <w:spacing w:after="140"/>
      </w:pPr>
      <w:r>
        <w:t>The team follows a shared lifecycle from implementation handoff through steady-state service. The workflow below is intentionally retrieval-friendly and includes terms such as onboarding, severity, escalation, health score, recovery plan, and renewal risk.</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584"/>
            <w:shd w:fill="D9EAF7"/>
            <w:tcMar>
              <w:top w:w="110" w:type="dxa"/>
              <w:start w:w="100" w:type="dxa"/>
              <w:bottom w:w="110" w:type="dxa"/>
              <w:end w:w="100" w:type="dxa"/>
            </w:tcMar>
            <w:vAlign w:val="center"/>
          </w:tcPr>
          <w:p>
            <w:pPr>
              <w:jc w:val="center"/>
            </w:pPr>
            <w:r>
              <w:rPr>
                <w:b/>
              </w:rPr>
              <w:t>Stage</w:t>
            </w:r>
          </w:p>
        </w:tc>
        <w:tc>
          <w:tcPr>
            <w:tcW w:type="dxa" w:w="2088"/>
            <w:shd w:fill="D9EAF7"/>
            <w:tcMar>
              <w:top w:w="110" w:type="dxa"/>
              <w:start w:w="100" w:type="dxa"/>
              <w:bottom w:w="110" w:type="dxa"/>
              <w:end w:w="100" w:type="dxa"/>
            </w:tcMar>
            <w:vAlign w:val="center"/>
          </w:tcPr>
          <w:p>
            <w:pPr>
              <w:jc w:val="center"/>
            </w:pPr>
            <w:r>
              <w:rPr>
                <w:b/>
              </w:rPr>
              <w:t>Trigger</w:t>
            </w:r>
          </w:p>
        </w:tc>
        <w:tc>
          <w:tcPr>
            <w:tcW w:type="dxa" w:w="1728"/>
            <w:shd w:fill="D9EAF7"/>
            <w:tcMar>
              <w:top w:w="110" w:type="dxa"/>
              <w:start w:w="100" w:type="dxa"/>
              <w:bottom w:w="110" w:type="dxa"/>
              <w:end w:w="100" w:type="dxa"/>
            </w:tcMar>
            <w:vAlign w:val="center"/>
          </w:tcPr>
          <w:p>
            <w:pPr>
              <w:jc w:val="center"/>
            </w:pPr>
            <w:r>
              <w:rPr>
                <w:b/>
              </w:rPr>
              <w:t>Primary owner</w:t>
            </w:r>
          </w:p>
        </w:tc>
        <w:tc>
          <w:tcPr>
            <w:tcW w:type="dxa" w:w="2808"/>
            <w:shd w:fill="D9EAF7"/>
            <w:tcMar>
              <w:top w:w="110" w:type="dxa"/>
              <w:start w:w="100" w:type="dxa"/>
              <w:bottom w:w="110" w:type="dxa"/>
              <w:end w:w="100" w:type="dxa"/>
            </w:tcMar>
            <w:vAlign w:val="center"/>
          </w:tcPr>
          <w:p>
            <w:pPr>
              <w:jc w:val="center"/>
            </w:pPr>
            <w:r>
              <w:rPr>
                <w:b/>
              </w:rPr>
              <w:t>Outputs</w:t>
            </w:r>
          </w:p>
        </w:tc>
        <w:tc>
          <w:tcPr>
            <w:tcW w:type="dxa" w:w="2232"/>
            <w:shd w:fill="D9EAF7"/>
            <w:tcMar>
              <w:top w:w="110" w:type="dxa"/>
              <w:start w:w="100" w:type="dxa"/>
              <w:bottom w:w="110" w:type="dxa"/>
              <w:end w:w="100" w:type="dxa"/>
            </w:tcMar>
            <w:vAlign w:val="center"/>
          </w:tcPr>
          <w:p>
            <w:pPr>
              <w:jc w:val="center"/>
            </w:pPr>
            <w:r>
              <w:rPr>
                <w:b/>
              </w:rPr>
              <w:t>Escalate when</w:t>
            </w:r>
          </w:p>
        </w:tc>
      </w:tr>
      <w:tr>
        <w:tc>
          <w:tcPr>
            <w:tcW w:type="dxa" w:w="1987"/>
            <w:tcMar>
              <w:top w:w="105" w:type="dxa"/>
              <w:start w:w="95" w:type="dxa"/>
              <w:bottom w:w="105" w:type="dxa"/>
              <w:end w:w="95" w:type="dxa"/>
            </w:tcMar>
            <w:vAlign w:val="center"/>
          </w:tcPr>
          <w:p>
            <w:pPr>
              <w:jc w:val="center"/>
            </w:pPr>
            <w:r>
              <w:t>Implementation handoff</w:t>
            </w:r>
          </w:p>
        </w:tc>
        <w:tc>
          <w:tcPr>
            <w:tcW w:type="dxa" w:w="1987"/>
            <w:tcMar>
              <w:top w:w="105" w:type="dxa"/>
              <w:start w:w="95" w:type="dxa"/>
              <w:bottom w:w="105" w:type="dxa"/>
              <w:end w:w="95" w:type="dxa"/>
            </w:tcMar>
            <w:vAlign w:val="center"/>
          </w:tcPr>
          <w:p>
            <w:r>
              <w:t>Signed deployment plan and stakeholder list received</w:t>
            </w:r>
          </w:p>
        </w:tc>
        <w:tc>
          <w:tcPr>
            <w:tcW w:type="dxa" w:w="1987"/>
            <w:tcMar>
              <w:top w:w="105" w:type="dxa"/>
              <w:start w:w="95" w:type="dxa"/>
              <w:bottom w:w="105" w:type="dxa"/>
              <w:end w:w="95" w:type="dxa"/>
            </w:tcMar>
            <w:vAlign w:val="center"/>
          </w:tcPr>
          <w:p>
            <w:pPr>
              <w:jc w:val="center"/>
            </w:pPr>
            <w:r>
              <w:t>Onboarding manager</w:t>
            </w:r>
          </w:p>
        </w:tc>
        <w:tc>
          <w:tcPr>
            <w:tcW w:type="dxa" w:w="1987"/>
            <w:tcMar>
              <w:top w:w="105" w:type="dxa"/>
              <w:start w:w="95" w:type="dxa"/>
              <w:bottom w:w="105" w:type="dxa"/>
              <w:end w:w="95" w:type="dxa"/>
            </w:tcMar>
            <w:vAlign w:val="center"/>
          </w:tcPr>
          <w:p>
            <w:r>
              <w:t>Success plan, milestone tracker, kickoff agenda</w:t>
            </w:r>
          </w:p>
        </w:tc>
        <w:tc>
          <w:tcPr>
            <w:tcW w:type="dxa" w:w="1987"/>
            <w:tcMar>
              <w:top w:w="105" w:type="dxa"/>
              <w:start w:w="95" w:type="dxa"/>
              <w:bottom w:w="105" w:type="dxa"/>
              <w:end w:w="95" w:type="dxa"/>
            </w:tcMar>
            <w:vAlign w:val="center"/>
          </w:tcPr>
          <w:p>
            <w:r>
              <w:t>Site timeline slips more than 5 business days</w:t>
            </w:r>
          </w:p>
        </w:tc>
      </w:tr>
      <w:tr>
        <w:tc>
          <w:tcPr>
            <w:tcW w:type="dxa" w:w="1987"/>
            <w:tcMar>
              <w:top w:w="105" w:type="dxa"/>
              <w:start w:w="95" w:type="dxa"/>
              <w:bottom w:w="105" w:type="dxa"/>
              <w:end w:w="95" w:type="dxa"/>
            </w:tcMar>
            <w:vAlign w:val="center"/>
          </w:tcPr>
          <w:p>
            <w:pPr>
              <w:jc w:val="center"/>
            </w:pPr>
            <w:r>
              <w:t>Go-live support</w:t>
            </w:r>
          </w:p>
        </w:tc>
        <w:tc>
          <w:tcPr>
            <w:tcW w:type="dxa" w:w="1987"/>
            <w:tcMar>
              <w:top w:w="105" w:type="dxa"/>
              <w:start w:w="95" w:type="dxa"/>
              <w:bottom w:w="105" w:type="dxa"/>
              <w:end w:w="95" w:type="dxa"/>
            </w:tcMar>
            <w:vAlign w:val="center"/>
          </w:tcPr>
          <w:p>
            <w:r>
              <w:t>Warehouse cutover or gateway activation window</w:t>
            </w:r>
          </w:p>
        </w:tc>
        <w:tc>
          <w:tcPr>
            <w:tcW w:type="dxa" w:w="1987"/>
            <w:tcMar>
              <w:top w:w="105" w:type="dxa"/>
              <w:start w:w="95" w:type="dxa"/>
              <w:bottom w:w="105" w:type="dxa"/>
              <w:end w:w="95" w:type="dxa"/>
            </w:tcMar>
            <w:vAlign w:val="center"/>
          </w:tcPr>
          <w:p>
            <w:pPr>
              <w:jc w:val="center"/>
            </w:pPr>
            <w:r>
              <w:t>Support lead</w:t>
            </w:r>
          </w:p>
        </w:tc>
        <w:tc>
          <w:tcPr>
            <w:tcW w:type="dxa" w:w="1987"/>
            <w:tcMar>
              <w:top w:w="105" w:type="dxa"/>
              <w:start w:w="95" w:type="dxa"/>
              <w:bottom w:w="105" w:type="dxa"/>
              <w:end w:w="95" w:type="dxa"/>
            </w:tcMar>
            <w:vAlign w:val="center"/>
          </w:tcPr>
          <w:p>
            <w:r>
              <w:t>Bridge ownership, status updates, incident routing</w:t>
            </w:r>
          </w:p>
        </w:tc>
        <w:tc>
          <w:tcPr>
            <w:tcW w:type="dxa" w:w="1987"/>
            <w:tcMar>
              <w:top w:w="105" w:type="dxa"/>
              <w:start w:w="95" w:type="dxa"/>
              <w:bottom w:w="105" w:type="dxa"/>
              <w:end w:w="95" w:type="dxa"/>
            </w:tcMar>
            <w:vAlign w:val="center"/>
          </w:tcPr>
          <w:p>
            <w:r>
              <w:t>Sev-1 or Sev-2 impacts production operations</w:t>
            </w:r>
          </w:p>
        </w:tc>
      </w:tr>
      <w:tr>
        <w:tc>
          <w:tcPr>
            <w:tcW w:type="dxa" w:w="1987"/>
            <w:tcMar>
              <w:top w:w="105" w:type="dxa"/>
              <w:start w:w="95" w:type="dxa"/>
              <w:bottom w:w="105" w:type="dxa"/>
              <w:end w:w="95" w:type="dxa"/>
            </w:tcMar>
            <w:vAlign w:val="center"/>
          </w:tcPr>
          <w:p>
            <w:pPr>
              <w:jc w:val="center"/>
            </w:pPr>
            <w:r>
              <w:t>Steady-state service</w:t>
            </w:r>
          </w:p>
        </w:tc>
        <w:tc>
          <w:tcPr>
            <w:tcW w:type="dxa" w:w="1987"/>
            <w:tcMar>
              <w:top w:w="105" w:type="dxa"/>
              <w:start w:w="95" w:type="dxa"/>
              <w:bottom w:w="105" w:type="dxa"/>
              <w:end w:w="95" w:type="dxa"/>
            </w:tcMar>
            <w:vAlign w:val="center"/>
          </w:tcPr>
          <w:p>
            <w:r>
              <w:t>Routine tickets, product questions, adoption coaching</w:t>
            </w:r>
          </w:p>
        </w:tc>
        <w:tc>
          <w:tcPr>
            <w:tcW w:type="dxa" w:w="1987"/>
            <w:tcMar>
              <w:top w:w="105" w:type="dxa"/>
              <w:start w:w="95" w:type="dxa"/>
              <w:bottom w:w="105" w:type="dxa"/>
              <w:end w:w="95" w:type="dxa"/>
            </w:tcMar>
            <w:vAlign w:val="center"/>
          </w:tcPr>
          <w:p>
            <w:pPr>
              <w:jc w:val="center"/>
            </w:pPr>
            <w:r>
              <w:t>Support engineer / CSM</w:t>
            </w:r>
          </w:p>
        </w:tc>
        <w:tc>
          <w:tcPr>
            <w:tcW w:type="dxa" w:w="1987"/>
            <w:tcMar>
              <w:top w:w="105" w:type="dxa"/>
              <w:start w:w="95" w:type="dxa"/>
              <w:bottom w:w="105" w:type="dxa"/>
              <w:end w:w="95" w:type="dxa"/>
            </w:tcMar>
            <w:vAlign w:val="center"/>
          </w:tcPr>
          <w:p>
            <w:r>
              <w:t>Case resolution, adoption actions, usage review</w:t>
            </w:r>
          </w:p>
        </w:tc>
        <w:tc>
          <w:tcPr>
            <w:tcW w:type="dxa" w:w="1987"/>
            <w:tcMar>
              <w:top w:w="105" w:type="dxa"/>
              <w:start w:w="95" w:type="dxa"/>
              <w:bottom w:w="105" w:type="dxa"/>
              <w:end w:w="95" w:type="dxa"/>
            </w:tcMar>
            <w:vAlign w:val="center"/>
          </w:tcPr>
          <w:p>
            <w:r>
              <w:t>Response SLA missed or recurring defect pattern appears</w:t>
            </w:r>
          </w:p>
        </w:tc>
      </w:tr>
      <w:tr>
        <w:tc>
          <w:tcPr>
            <w:tcW w:type="dxa" w:w="1987"/>
            <w:tcMar>
              <w:top w:w="105" w:type="dxa"/>
              <w:start w:w="95" w:type="dxa"/>
              <w:bottom w:w="105" w:type="dxa"/>
              <w:end w:w="95" w:type="dxa"/>
            </w:tcMar>
            <w:vAlign w:val="center"/>
          </w:tcPr>
          <w:p>
            <w:pPr>
              <w:jc w:val="center"/>
            </w:pPr>
            <w:r>
              <w:t>Risk intervention</w:t>
            </w:r>
          </w:p>
        </w:tc>
        <w:tc>
          <w:tcPr>
            <w:tcW w:type="dxa" w:w="1987"/>
            <w:tcMar>
              <w:top w:w="105" w:type="dxa"/>
              <w:start w:w="95" w:type="dxa"/>
              <w:bottom w:w="105" w:type="dxa"/>
              <w:end w:w="95" w:type="dxa"/>
            </w:tcMar>
            <w:vAlign w:val="center"/>
          </w:tcPr>
          <w:p>
            <w:r>
              <w:t>Health score drops or executive complaint received</w:t>
            </w:r>
          </w:p>
        </w:tc>
        <w:tc>
          <w:tcPr>
            <w:tcW w:type="dxa" w:w="1987"/>
            <w:tcMar>
              <w:top w:w="105" w:type="dxa"/>
              <w:start w:w="95" w:type="dxa"/>
              <w:bottom w:w="105" w:type="dxa"/>
              <w:end w:w="95" w:type="dxa"/>
            </w:tcMar>
            <w:vAlign w:val="center"/>
          </w:tcPr>
          <w:p>
            <w:pPr>
              <w:jc w:val="center"/>
            </w:pPr>
            <w:r>
              <w:t>CS manager</w:t>
            </w:r>
          </w:p>
        </w:tc>
        <w:tc>
          <w:tcPr>
            <w:tcW w:type="dxa" w:w="1987"/>
            <w:tcMar>
              <w:top w:w="105" w:type="dxa"/>
              <w:start w:w="95" w:type="dxa"/>
              <w:bottom w:w="105" w:type="dxa"/>
              <w:end w:w="95" w:type="dxa"/>
            </w:tcMar>
            <w:vAlign w:val="center"/>
          </w:tcPr>
          <w:p>
            <w:r>
              <w:t>Recovery plan, named owners, exec cadence</w:t>
            </w:r>
          </w:p>
        </w:tc>
        <w:tc>
          <w:tcPr>
            <w:tcW w:type="dxa" w:w="1987"/>
            <w:tcMar>
              <w:top w:w="105" w:type="dxa"/>
              <w:start w:w="95" w:type="dxa"/>
              <w:bottom w:w="105" w:type="dxa"/>
              <w:end w:w="95" w:type="dxa"/>
            </w:tcMar>
            <w:vAlign w:val="center"/>
          </w:tcPr>
          <w:p>
            <w:r>
              <w:t>Renewal risk becomes material or rollback is threatened</w:t>
            </w:r>
          </w:p>
        </w:tc>
      </w:tr>
      <w:tr>
        <w:tc>
          <w:tcPr>
            <w:tcW w:type="dxa" w:w="1987"/>
            <w:tcMar>
              <w:top w:w="105" w:type="dxa"/>
              <w:start w:w="95" w:type="dxa"/>
              <w:bottom w:w="105" w:type="dxa"/>
              <w:end w:w="95" w:type="dxa"/>
            </w:tcMar>
            <w:vAlign w:val="center"/>
          </w:tcPr>
          <w:p>
            <w:pPr>
              <w:jc w:val="center"/>
            </w:pPr>
            <w:r>
              <w:t>Renewal and growth</w:t>
            </w:r>
          </w:p>
        </w:tc>
        <w:tc>
          <w:tcPr>
            <w:tcW w:type="dxa" w:w="1987"/>
            <w:tcMar>
              <w:top w:w="105" w:type="dxa"/>
              <w:start w:w="95" w:type="dxa"/>
              <w:bottom w:w="105" w:type="dxa"/>
              <w:end w:w="95" w:type="dxa"/>
            </w:tcMar>
            <w:vAlign w:val="center"/>
          </w:tcPr>
          <w:p>
            <w:r>
              <w:t>Renewal window opens 120 days before contract end</w:t>
            </w:r>
          </w:p>
        </w:tc>
        <w:tc>
          <w:tcPr>
            <w:tcW w:type="dxa" w:w="1987"/>
            <w:tcMar>
              <w:top w:w="105" w:type="dxa"/>
              <w:start w:w="95" w:type="dxa"/>
              <w:bottom w:w="105" w:type="dxa"/>
              <w:end w:w="95" w:type="dxa"/>
            </w:tcMar>
            <w:vAlign w:val="center"/>
          </w:tcPr>
          <w:p>
            <w:pPr>
              <w:jc w:val="center"/>
            </w:pPr>
            <w:r>
              <w:t>CSM with account team</w:t>
            </w:r>
          </w:p>
        </w:tc>
        <w:tc>
          <w:tcPr>
            <w:tcW w:type="dxa" w:w="1987"/>
            <w:tcMar>
              <w:top w:w="105" w:type="dxa"/>
              <w:start w:w="95" w:type="dxa"/>
              <w:bottom w:w="105" w:type="dxa"/>
              <w:end w:w="95" w:type="dxa"/>
            </w:tcMar>
            <w:vAlign w:val="center"/>
          </w:tcPr>
          <w:p>
            <w:r>
              <w:t>Value summary, dependency list, renewal package</w:t>
            </w:r>
          </w:p>
        </w:tc>
        <w:tc>
          <w:tcPr>
            <w:tcW w:type="dxa" w:w="1987"/>
            <w:tcMar>
              <w:top w:w="105" w:type="dxa"/>
              <w:start w:w="95" w:type="dxa"/>
              <w:bottom w:w="105" w:type="dxa"/>
              <w:end w:w="95" w:type="dxa"/>
            </w:tcMar>
            <w:vAlign w:val="center"/>
          </w:tcPr>
          <w:p>
            <w:r>
              <w:t>Critical blockers threaten renewal or expansion</w:t>
            </w:r>
          </w:p>
        </w:tc>
      </w:tr>
    </w:tbl>
    <w:p>
      <w:pPr>
        <w:pStyle w:val="Heading1"/>
      </w:pPr>
      <w:r>
        <w:t>Key systems and artifacts</w:t>
      </w:r>
    </w:p>
    <w:p>
      <w:pPr>
        <w:ind w:left="317" w:hanging="230"/>
      </w:pPr>
      <w:r>
        <w:rPr>
          <w:b/>
        </w:rPr>
        <w:t xml:space="preserve">- </w:t>
      </w:r>
      <w:r>
        <w:t>PulseDesk is the system of record for support tickets, severity, response timers, and closure notes.</w:t>
      </w:r>
    </w:p>
    <w:p>
      <w:pPr>
        <w:ind w:left="317" w:hanging="230"/>
      </w:pPr>
      <w:r>
        <w:rPr>
          <w:b/>
        </w:rPr>
        <w:t xml:space="preserve">- </w:t>
      </w:r>
      <w:r>
        <w:t>AtlasCRM stores account plans, stakeholder maps, renewal dates, and commercial context needed by Customer Success.</w:t>
      </w:r>
    </w:p>
    <w:p>
      <w:pPr>
        <w:ind w:left="317" w:hanging="230"/>
      </w:pPr>
      <w:r>
        <w:rPr>
          <w:b/>
        </w:rPr>
        <w:t xml:space="preserve">- </w:t>
      </w:r>
      <w:r>
        <w:t>BeaconOps aggregates deployment telemetry, warehouse gateway status, and device heartbeat trends used during onboarding and service reviews.</w:t>
      </w:r>
    </w:p>
    <w:p>
      <w:pPr>
        <w:ind w:left="317" w:hanging="230"/>
      </w:pPr>
      <w:r>
        <w:rPr>
          <w:b/>
        </w:rPr>
        <w:t xml:space="preserve">- </w:t>
      </w:r>
      <w:r>
        <w:t>Customer health reviews combine adoption, case aging, training completion, executive engagement, and unresolved product blockers into a visible risk score.</w:t>
      </w:r>
    </w:p>
    <w:p>
      <w:pPr>
        <w:pStyle w:val="Heading1"/>
      </w:pPr>
      <w:r>
        <w:t>Specialised Q&amp;A</w:t>
      </w:r>
    </w:p>
    <w:p>
      <w:pPr>
        <w:spacing w:after="40"/>
      </w:pPr>
      <w:r>
        <w:rPr>
          <w:b/>
        </w:rPr>
        <w:t xml:space="preserve">Q: </w:t>
      </w:r>
      <w:r>
        <w:rPr>
          <w:b/>
        </w:rPr>
        <w:t>What is the difference between Customer Success and Support at OrchestrAI?</w:t>
      </w:r>
    </w:p>
    <w:p>
      <w:pPr>
        <w:spacing w:after="100"/>
        <w:ind w:left="259"/>
      </w:pPr>
      <w:r>
        <w:rPr>
          <w:b/>
        </w:rPr>
        <w:t xml:space="preserve">A: </w:t>
      </w:r>
      <w:r>
        <w:t>Customer Success owns adoption, stakeholder alignment, value realization, and renewal readiness. Support owns incident handling, case triage, troubleshooting, and documented resolution. The two functions operate together during go-live, major incidents, and account recovery plans.</w:t>
      </w:r>
    </w:p>
    <w:p>
      <w:pPr>
        <w:spacing w:after="40"/>
      </w:pPr>
      <w:r>
        <w:rPr>
          <w:b/>
        </w:rPr>
        <w:t xml:space="preserve">Q: </w:t>
      </w:r>
      <w:r>
        <w:rPr>
          <w:b/>
        </w:rPr>
        <w:t>When is a customer considered fully onboarded?</w:t>
      </w:r>
    </w:p>
    <w:p>
      <w:pPr>
        <w:spacing w:after="100"/>
        <w:ind w:left="259"/>
      </w:pPr>
      <w:r>
        <w:rPr>
          <w:b/>
        </w:rPr>
        <w:t xml:space="preserve">A: </w:t>
      </w:r>
      <w:r>
        <w:t>A customer is considered fully onboarded after the implementation checklist is complete, warehouse users have validated core workflows, monitoring is active in BeaconOps, and the account has formally transferred into steady-state service.</w:t>
      </w:r>
    </w:p>
    <w:p>
      <w:pPr>
        <w:spacing w:after="40"/>
      </w:pPr>
      <w:r>
        <w:rPr>
          <w:b/>
        </w:rPr>
        <w:t xml:space="preserve">Q: </w:t>
      </w:r>
      <w:r>
        <w:rPr>
          <w:b/>
        </w:rPr>
        <w:t>What information must exist before an onboarding kickoff can be scheduled?</w:t>
      </w:r>
    </w:p>
    <w:p>
      <w:pPr>
        <w:spacing w:after="100"/>
        <w:ind w:left="259"/>
      </w:pPr>
      <w:r>
        <w:rPr>
          <w:b/>
        </w:rPr>
        <w:t xml:space="preserve">A: </w:t>
      </w:r>
      <w:r>
        <w:t>The onboarding manager needs a signed statement of work, named stakeholders, target warehouse sites, network readiness status, target go-live dates, and confirmation that hardware shipment dates are realistic.</w:t>
      </w:r>
    </w:p>
    <w:p>
      <w:pPr>
        <w:spacing w:after="40"/>
      </w:pPr>
      <w:r>
        <w:rPr>
          <w:b/>
        </w:rPr>
        <w:t xml:space="preserve">Q: </w:t>
      </w:r>
      <w:r>
        <w:rPr>
          <w:b/>
        </w:rPr>
        <w:t>How are support severities defined?</w:t>
      </w:r>
    </w:p>
    <w:p>
      <w:pPr>
        <w:spacing w:after="100"/>
        <w:ind w:left="259"/>
      </w:pPr>
      <w:r>
        <w:rPr>
          <w:b/>
        </w:rPr>
        <w:t xml:space="preserve">A: </w:t>
      </w:r>
      <w:r>
        <w:t>Severity is tied to operational impact. Sev-1 means a critical warehouse process cannot run in production. Sev-2 means a major function is degraded with no acceptable workaround. Sev-3 covers localized defects or time-sensitive questions. Sev-4 is low-impact guidance or enhancement clarification.</w:t>
      </w:r>
    </w:p>
    <w:p>
      <w:pPr>
        <w:spacing w:after="40"/>
      </w:pPr>
      <w:r>
        <w:rPr>
          <w:b/>
        </w:rPr>
        <w:t xml:space="preserve">Q: </w:t>
      </w:r>
      <w:r>
        <w:rPr>
          <w:b/>
        </w:rPr>
        <w:t>Who owns customer communication during a Sev-1 incident?</w:t>
      </w:r>
    </w:p>
    <w:p>
      <w:pPr>
        <w:spacing w:after="100"/>
        <w:ind w:left="259"/>
      </w:pPr>
      <w:r>
        <w:rPr>
          <w:b/>
        </w:rPr>
        <w:t xml:space="preserve">A: </w:t>
      </w:r>
      <w:r>
        <w:t>The assigned support lead owns the operational updates, but the Customer Success Manager owns stakeholder alignment and executive communication. If the issue touches release risk or hardware failure, Engineering or Logistics may join the bridge.</w:t>
      </w:r>
    </w:p>
    <w:p>
      <w:pPr>
        <w:spacing w:after="40"/>
      </w:pPr>
      <w:r>
        <w:rPr>
          <w:b/>
        </w:rPr>
        <w:t xml:space="preserve">Q: </w:t>
      </w:r>
      <w:r>
        <w:rPr>
          <w:b/>
        </w:rPr>
        <w:t>What is the target first-response SLA for priority cases?</w:t>
      </w:r>
    </w:p>
    <w:p>
      <w:pPr>
        <w:spacing w:after="100"/>
        <w:ind w:left="259"/>
      </w:pPr>
      <w:r>
        <w:rPr>
          <w:b/>
        </w:rPr>
        <w:t xml:space="preserve">A: </w:t>
      </w:r>
      <w:r>
        <w:t>Baseline targets are 15 minutes for Sev-1, 1 hour for Sev-2, 4 business hours for Sev-3, and 1 business day for Sev-4. PulseDesk measures the timer from correct classification, and leadership reviews misses weekly.</w:t>
      </w:r>
    </w:p>
    <w:p>
      <w:pPr>
        <w:spacing w:after="40"/>
      </w:pPr>
      <w:r>
        <w:rPr>
          <w:b/>
        </w:rPr>
        <w:t xml:space="preserve">Q: </w:t>
      </w:r>
      <w:r>
        <w:rPr>
          <w:b/>
        </w:rPr>
        <w:t>When should a ticket become a problem record?</w:t>
      </w:r>
    </w:p>
    <w:p>
      <w:pPr>
        <w:spacing w:after="100"/>
        <w:ind w:left="259"/>
      </w:pPr>
      <w:r>
        <w:rPr>
          <w:b/>
        </w:rPr>
        <w:t xml:space="preserve">A: </w:t>
      </w:r>
      <w:r>
        <w:t>A ticket becomes a problem record when the same root cause affects multiple customers, when the issue recurs after temporary mitigation, or when Support needs Engineering to correct a systemic defect rather than a one-off case.</w:t>
      </w:r>
    </w:p>
    <w:p>
      <w:pPr>
        <w:spacing w:after="40"/>
      </w:pPr>
      <w:r>
        <w:rPr>
          <w:b/>
        </w:rPr>
        <w:t xml:space="preserve">Q: </w:t>
      </w:r>
      <w:r>
        <w:rPr>
          <w:b/>
        </w:rPr>
        <w:t>What metrics drive the customer health score?</w:t>
      </w:r>
    </w:p>
    <w:p>
      <w:pPr>
        <w:spacing w:after="100"/>
        <w:ind w:left="259"/>
      </w:pPr>
      <w:r>
        <w:rPr>
          <w:b/>
        </w:rPr>
        <w:t xml:space="preserve">A: </w:t>
      </w:r>
      <w:r>
        <w:t>The health score weighs recent case volume, case aging, training completion, adoption of core workflows, executive engagement, unresolved blockers, and renewal-risk signals captured by the CSM.</w:t>
      </w:r>
    </w:p>
    <w:p>
      <w:pPr>
        <w:spacing w:after="40"/>
      </w:pPr>
      <w:r>
        <w:rPr>
          <w:b/>
        </w:rPr>
        <w:t xml:space="preserve">Q: </w:t>
      </w:r>
      <w:r>
        <w:rPr>
          <w:b/>
        </w:rPr>
        <w:t>How are training obligations tracked?</w:t>
      </w:r>
    </w:p>
    <w:p>
      <w:pPr>
        <w:spacing w:after="100"/>
        <w:ind w:left="259"/>
      </w:pPr>
      <w:r>
        <w:rPr>
          <w:b/>
        </w:rPr>
        <w:t xml:space="preserve">A: </w:t>
      </w:r>
      <w:r>
        <w:t>Training commitments are documented in the success plan and tracked by site, persona, and completion status. Missed milestones are surfaced in weekly implementation reviews because they often predict delayed adoption.</w:t>
      </w:r>
    </w:p>
    <w:p>
      <w:pPr>
        <w:spacing w:after="40"/>
      </w:pPr>
      <w:r>
        <w:rPr>
          <w:b/>
        </w:rPr>
        <w:t xml:space="preserve">Q: </w:t>
      </w:r>
      <w:r>
        <w:rPr>
          <w:b/>
        </w:rPr>
        <w:t>What is the standard cadence for business reviews?</w:t>
      </w:r>
    </w:p>
    <w:p>
      <w:pPr>
        <w:spacing w:after="100"/>
        <w:ind w:left="259"/>
      </w:pPr>
      <w:r>
        <w:rPr>
          <w:b/>
        </w:rPr>
        <w:t xml:space="preserve">A: </w:t>
      </w:r>
      <w:r>
        <w:t>New customers typically receive a 30-day stabilization review after go-live, then monthly value reviews during the first quarter, and quarterly business reviews once the account is operating steadily.</w:t>
      </w:r>
    </w:p>
    <w:p>
      <w:pPr>
        <w:spacing w:after="40"/>
      </w:pPr>
      <w:r>
        <w:rPr>
          <w:b/>
        </w:rPr>
        <w:t xml:space="preserve">Q: </w:t>
      </w:r>
      <w:r>
        <w:rPr>
          <w:b/>
        </w:rPr>
        <w:t>When should Support involve Logistics?</w:t>
      </w:r>
    </w:p>
    <w:p>
      <w:pPr>
        <w:spacing w:after="100"/>
        <w:ind w:left="259"/>
      </w:pPr>
      <w:r>
        <w:rPr>
          <w:b/>
        </w:rPr>
        <w:t xml:space="preserve">A: </w:t>
      </w:r>
      <w:r>
        <w:t>Support involves Logistics when resolution depends on replacement hardware, missing kits, serial-number mismatches, damaged equipment, or reverse-logistics routing decisions.</w:t>
      </w:r>
    </w:p>
    <w:p>
      <w:pPr>
        <w:spacing w:after="40"/>
      </w:pPr>
      <w:r>
        <w:rPr>
          <w:b/>
        </w:rPr>
        <w:t xml:space="preserve">Q: </w:t>
      </w:r>
      <w:r>
        <w:rPr>
          <w:b/>
        </w:rPr>
        <w:t>When should Support involve Engineering?</w:t>
      </w:r>
    </w:p>
    <w:p>
      <w:pPr>
        <w:spacing w:after="100"/>
        <w:ind w:left="259"/>
      </w:pPr>
      <w:r>
        <w:rPr>
          <w:b/>
        </w:rPr>
        <w:t xml:space="preserve">A: </w:t>
      </w:r>
      <w:r>
        <w:t>Support involves Engineering when logs indicate a product defect, a recurring incident pattern, an undocumented behavior change after release, or a required fix exceeds configuration workarounds.</w:t>
      </w:r>
    </w:p>
    <w:p>
      <w:pPr>
        <w:spacing w:after="40"/>
      </w:pPr>
      <w:r>
        <w:rPr>
          <w:b/>
        </w:rPr>
        <w:t xml:space="preserve">Q: </w:t>
      </w:r>
      <w:r>
        <w:rPr>
          <w:b/>
        </w:rPr>
        <w:t>How are feature requests handled?</w:t>
      </w:r>
    </w:p>
    <w:p>
      <w:pPr>
        <w:spacing w:after="100"/>
        <w:ind w:left="259"/>
      </w:pPr>
      <w:r>
        <w:rPr>
          <w:b/>
        </w:rPr>
        <w:t xml:space="preserve">A: </w:t>
      </w:r>
      <w:r>
        <w:t>Feature requests are documented in AtlasCRM with account context, business impact, and urgency. Customer Success may promote them into Product discovery, but they are not treated as support incidents unless they block an existing contracted workflow.</w:t>
      </w:r>
    </w:p>
    <w:p>
      <w:pPr>
        <w:spacing w:after="40"/>
      </w:pPr>
      <w:r>
        <w:rPr>
          <w:b/>
        </w:rPr>
        <w:t xml:space="preserve">Q: </w:t>
      </w:r>
      <w:r>
        <w:rPr>
          <w:b/>
        </w:rPr>
        <w:t>What is required before closing a case?</w:t>
      </w:r>
    </w:p>
    <w:p>
      <w:pPr>
        <w:spacing w:after="100"/>
        <w:ind w:left="259"/>
      </w:pPr>
      <w:r>
        <w:rPr>
          <w:b/>
        </w:rPr>
        <w:t xml:space="preserve">A: </w:t>
      </w:r>
      <w:r>
        <w:t>The resolver must document the cause, resolution steps, evidence of customer confirmation or silent-close policy, any workaround applied, and whether follow-up actions remain open in another system.</w:t>
      </w:r>
    </w:p>
    <w:p>
      <w:pPr>
        <w:spacing w:after="40"/>
      </w:pPr>
      <w:r>
        <w:rPr>
          <w:b/>
        </w:rPr>
        <w:t xml:space="preserve">Q: </w:t>
      </w:r>
      <w:r>
        <w:rPr>
          <w:b/>
        </w:rPr>
        <w:t>How are escalations classified?</w:t>
      </w:r>
    </w:p>
    <w:p>
      <w:pPr>
        <w:spacing w:after="100"/>
        <w:ind w:left="259"/>
      </w:pPr>
      <w:r>
        <w:rPr>
          <w:b/>
        </w:rPr>
        <w:t xml:space="preserve">A: </w:t>
      </w:r>
      <w:r>
        <w:t>Escalations are classified as operational, technical, commercial, or executive. This helps route the issue to the function that can remove the blocker instead of defaulting every escalation to Engineering.</w:t>
      </w:r>
    </w:p>
    <w:p>
      <w:pPr>
        <w:spacing w:after="40"/>
      </w:pPr>
      <w:r>
        <w:rPr>
          <w:b/>
        </w:rPr>
        <w:t xml:space="preserve">Q: </w:t>
      </w:r>
      <w:r>
        <w:rPr>
          <w:b/>
        </w:rPr>
        <w:t>What creates renewal risk?</w:t>
      </w:r>
    </w:p>
    <w:p>
      <w:pPr>
        <w:spacing w:after="100"/>
        <w:ind w:left="259"/>
      </w:pPr>
      <w:r>
        <w:rPr>
          <w:b/>
        </w:rPr>
        <w:t xml:space="preserve">A: </w:t>
      </w:r>
      <w:r>
        <w:t>Common risk indicators include unresolved critical defects, repeated SLA misses, poor adoption of core workflows, stakeholder turnover, delayed site expansion, and negative executive sentiment.</w:t>
      </w:r>
    </w:p>
    <w:p>
      <w:pPr>
        <w:spacing w:after="40"/>
      </w:pPr>
      <w:r>
        <w:rPr>
          <w:b/>
        </w:rPr>
        <w:t xml:space="preserve">Q: </w:t>
      </w:r>
      <w:r>
        <w:rPr>
          <w:b/>
        </w:rPr>
        <w:t>How are recovery plans structured?</w:t>
      </w:r>
    </w:p>
    <w:p>
      <w:pPr>
        <w:spacing w:after="100"/>
        <w:ind w:left="259"/>
      </w:pPr>
      <w:r>
        <w:rPr>
          <w:b/>
        </w:rPr>
        <w:t xml:space="preserve">A: </w:t>
      </w:r>
      <w:r>
        <w:t>Recovery plans include the problem statement, impact summary, named owners, short-term mitigation, long-term corrective actions, customer-facing milestones, and the executive update cadence.</w:t>
      </w:r>
    </w:p>
    <w:p>
      <w:pPr>
        <w:spacing w:after="40"/>
      </w:pPr>
      <w:r>
        <w:rPr>
          <w:b/>
        </w:rPr>
        <w:t xml:space="preserve">Q: </w:t>
      </w:r>
      <w:r>
        <w:rPr>
          <w:b/>
        </w:rPr>
        <w:t>What is included in the handoff from onboarding to steady-state support?</w:t>
      </w:r>
    </w:p>
    <w:p>
      <w:pPr>
        <w:spacing w:after="100"/>
        <w:ind w:left="259"/>
      </w:pPr>
      <w:r>
        <w:rPr>
          <w:b/>
        </w:rPr>
        <w:t xml:space="preserve">A: </w:t>
      </w:r>
      <w:r>
        <w:t>The handoff includes the final implementation summary, open risks, known product gaps, trained user list, escalation contacts, and confirmation that monitoring plus documentation are complete.</w:t>
      </w:r>
    </w:p>
    <w:p>
      <w:pPr>
        <w:spacing w:after="40"/>
      </w:pPr>
      <w:r>
        <w:rPr>
          <w:b/>
        </w:rPr>
        <w:t xml:space="preserve">Q: </w:t>
      </w:r>
      <w:r>
        <w:rPr>
          <w:b/>
        </w:rPr>
        <w:t>Which documents should a CSM reference during a difficult renewal?</w:t>
      </w:r>
    </w:p>
    <w:p>
      <w:pPr>
        <w:spacing w:after="100"/>
        <w:ind w:left="259"/>
      </w:pPr>
      <w:r>
        <w:rPr>
          <w:b/>
        </w:rPr>
        <w:t xml:space="preserve">A: </w:t>
      </w:r>
      <w:r>
        <w:t>The CSM should use the success plan, quarterly review summaries, incident history, adoption metrics, open-risk register, executive stakeholder map, and any formal recovery-plan status notes.</w:t>
      </w:r>
    </w:p>
    <w:p>
      <w:pPr>
        <w:spacing w:after="40"/>
      </w:pPr>
      <w:r>
        <w:rPr>
          <w:b/>
        </w:rPr>
        <w:t xml:space="preserve">Q: </w:t>
      </w:r>
      <w:r>
        <w:rPr>
          <w:b/>
        </w:rPr>
        <w:t>How is customer feedback turned into internal action?</w:t>
      </w:r>
    </w:p>
    <w:p>
      <w:pPr>
        <w:spacing w:after="100"/>
        <w:ind w:left="259"/>
      </w:pPr>
      <w:r>
        <w:rPr>
          <w:b/>
        </w:rPr>
        <w:t xml:space="preserve">A: </w:t>
      </w:r>
      <w:r>
        <w:t>Meaningful feedback is tagged by theme, linked to account value, and routed to Product, Engineering, Logistics, or IT depending on the source of friction. Trends are reviewed monthly rather than as isolated comments.</w:t>
      </w:r>
    </w:p>
    <w:p>
      <w:pPr>
        <w:pStyle w:val="Heading1"/>
      </w:pPr>
      <w:r>
        <w:t>Service targets and escalation guide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520"/>
            <w:shd w:fill="D9EAF7"/>
            <w:tcMar>
              <w:top w:w="100" w:type="dxa"/>
              <w:start w:w="120" w:type="dxa"/>
              <w:bottom w:w="100" w:type="dxa"/>
              <w:end w:w="120" w:type="dxa"/>
            </w:tcMar>
          </w:tcPr>
          <w:p>
            <w:pPr>
              <w:jc w:val="center"/>
            </w:pPr>
            <w:r>
              <w:rPr>
                <w:b/>
              </w:rPr>
              <w:t>Measure</w:t>
            </w:r>
          </w:p>
        </w:tc>
        <w:tc>
          <w:tcPr>
            <w:tcW w:type="dxa" w:w="1584"/>
            <w:shd w:fill="D9EAF7"/>
            <w:tcMar>
              <w:top w:w="100" w:type="dxa"/>
              <w:start w:w="120" w:type="dxa"/>
              <w:bottom w:w="100" w:type="dxa"/>
              <w:end w:w="120" w:type="dxa"/>
            </w:tcMar>
          </w:tcPr>
          <w:p>
            <w:pPr>
              <w:jc w:val="center"/>
            </w:pPr>
            <w:r>
              <w:rPr>
                <w:b/>
              </w:rPr>
              <w:t>Target</w:t>
            </w:r>
          </w:p>
        </w:tc>
        <w:tc>
          <w:tcPr>
            <w:tcW w:type="dxa" w:w="1944"/>
            <w:shd w:fill="D9EAF7"/>
            <w:tcMar>
              <w:top w:w="100" w:type="dxa"/>
              <w:start w:w="120" w:type="dxa"/>
              <w:bottom w:w="100" w:type="dxa"/>
              <w:end w:w="120" w:type="dxa"/>
            </w:tcMar>
          </w:tcPr>
          <w:p>
            <w:pPr>
              <w:jc w:val="center"/>
            </w:pPr>
            <w:r>
              <w:rPr>
                <w:b/>
              </w:rPr>
              <w:t>Reviewed by</w:t>
            </w:r>
          </w:p>
        </w:tc>
        <w:tc>
          <w:tcPr>
            <w:tcW w:type="dxa" w:w="3600"/>
            <w:shd w:fill="D9EAF7"/>
            <w:tcMar>
              <w:top w:w="100" w:type="dxa"/>
              <w:start w:w="120" w:type="dxa"/>
              <w:bottom w:w="100" w:type="dxa"/>
              <w:end w:w="120" w:type="dxa"/>
            </w:tcMar>
          </w:tcPr>
          <w:p>
            <w:pPr>
              <w:jc w:val="center"/>
            </w:pPr>
            <w:r>
              <w:rPr>
                <w:b/>
              </w:rPr>
              <w:t>Notes</w:t>
            </w:r>
          </w:p>
        </w:tc>
      </w:tr>
      <w:tr>
        <w:tc>
          <w:tcPr>
            <w:tcW w:type="dxa" w:w="2484"/>
            <w:tcMar>
              <w:top w:w="100" w:type="dxa"/>
              <w:start w:w="120" w:type="dxa"/>
              <w:bottom w:w="100" w:type="dxa"/>
              <w:end w:w="120" w:type="dxa"/>
            </w:tcMar>
            <w:vAlign w:val="center"/>
          </w:tcPr>
          <w:p>
            <w:r>
              <w:t>Sev-1 first response</w:t>
            </w:r>
          </w:p>
        </w:tc>
        <w:tc>
          <w:tcPr>
            <w:tcW w:type="dxa" w:w="2484"/>
            <w:tcMar>
              <w:top w:w="100" w:type="dxa"/>
              <w:start w:w="120" w:type="dxa"/>
              <w:bottom w:w="100" w:type="dxa"/>
              <w:end w:w="120" w:type="dxa"/>
            </w:tcMar>
            <w:vAlign w:val="center"/>
          </w:tcPr>
          <w:p>
            <w:pPr>
              <w:jc w:val="center"/>
            </w:pPr>
            <w:r>
              <w:t>15 min</w:t>
            </w:r>
          </w:p>
        </w:tc>
        <w:tc>
          <w:tcPr>
            <w:tcW w:type="dxa" w:w="2484"/>
            <w:tcMar>
              <w:top w:w="100" w:type="dxa"/>
              <w:start w:w="120" w:type="dxa"/>
              <w:bottom w:w="100" w:type="dxa"/>
              <w:end w:w="120" w:type="dxa"/>
            </w:tcMar>
            <w:vAlign w:val="center"/>
          </w:tcPr>
          <w:p>
            <w:pPr>
              <w:jc w:val="center"/>
            </w:pPr>
            <w:r>
              <w:t>Support manager</w:t>
            </w:r>
          </w:p>
        </w:tc>
        <w:tc>
          <w:tcPr>
            <w:tcW w:type="dxa" w:w="2484"/>
            <w:tcMar>
              <w:top w:w="100" w:type="dxa"/>
              <w:start w:w="120" w:type="dxa"/>
              <w:bottom w:w="100" w:type="dxa"/>
              <w:end w:w="120" w:type="dxa"/>
            </w:tcMar>
            <w:vAlign w:val="center"/>
          </w:tcPr>
          <w:p>
            <w:r>
              <w:t>Clock starts when the case is correctly classified</w:t>
            </w:r>
          </w:p>
        </w:tc>
      </w:tr>
      <w:tr>
        <w:tc>
          <w:tcPr>
            <w:tcW w:type="dxa" w:w="2484"/>
            <w:tcMar>
              <w:top w:w="100" w:type="dxa"/>
              <w:start w:w="120" w:type="dxa"/>
              <w:bottom w:w="100" w:type="dxa"/>
              <w:end w:w="120" w:type="dxa"/>
            </w:tcMar>
            <w:vAlign w:val="center"/>
          </w:tcPr>
          <w:p>
            <w:r>
              <w:t>Sev-2 first response</w:t>
            </w:r>
          </w:p>
        </w:tc>
        <w:tc>
          <w:tcPr>
            <w:tcW w:type="dxa" w:w="2484"/>
            <w:tcMar>
              <w:top w:w="100" w:type="dxa"/>
              <w:start w:w="120" w:type="dxa"/>
              <w:bottom w:w="100" w:type="dxa"/>
              <w:end w:w="120" w:type="dxa"/>
            </w:tcMar>
            <w:vAlign w:val="center"/>
          </w:tcPr>
          <w:p>
            <w:pPr>
              <w:jc w:val="center"/>
            </w:pPr>
            <w:r>
              <w:t>1 hour</w:t>
            </w:r>
          </w:p>
        </w:tc>
        <w:tc>
          <w:tcPr>
            <w:tcW w:type="dxa" w:w="2484"/>
            <w:tcMar>
              <w:top w:w="100" w:type="dxa"/>
              <w:start w:w="120" w:type="dxa"/>
              <w:bottom w:w="100" w:type="dxa"/>
              <w:end w:w="120" w:type="dxa"/>
            </w:tcMar>
            <w:vAlign w:val="center"/>
          </w:tcPr>
          <w:p>
            <w:pPr>
              <w:jc w:val="center"/>
            </w:pPr>
            <w:r>
              <w:t>Support manager</w:t>
            </w:r>
          </w:p>
        </w:tc>
        <w:tc>
          <w:tcPr>
            <w:tcW w:type="dxa" w:w="2484"/>
            <w:tcMar>
              <w:top w:w="100" w:type="dxa"/>
              <w:start w:w="120" w:type="dxa"/>
              <w:bottom w:w="100" w:type="dxa"/>
              <w:end w:w="120" w:type="dxa"/>
            </w:tcMar>
            <w:vAlign w:val="center"/>
          </w:tcPr>
          <w:p>
            <w:r>
              <w:t>Includes confirmed major degradation</w:t>
            </w:r>
          </w:p>
        </w:tc>
      </w:tr>
      <w:tr>
        <w:tc>
          <w:tcPr>
            <w:tcW w:type="dxa" w:w="2484"/>
            <w:tcMar>
              <w:top w:w="100" w:type="dxa"/>
              <w:start w:w="120" w:type="dxa"/>
              <w:bottom w:w="100" w:type="dxa"/>
              <w:end w:w="120" w:type="dxa"/>
            </w:tcMar>
            <w:vAlign w:val="center"/>
          </w:tcPr>
          <w:p>
            <w:r>
              <w:t>Onboarding milestone adherence</w:t>
            </w:r>
          </w:p>
        </w:tc>
        <w:tc>
          <w:tcPr>
            <w:tcW w:type="dxa" w:w="2484"/>
            <w:tcMar>
              <w:top w:w="100" w:type="dxa"/>
              <w:start w:w="120" w:type="dxa"/>
              <w:bottom w:w="100" w:type="dxa"/>
              <w:end w:w="120" w:type="dxa"/>
            </w:tcMar>
            <w:vAlign w:val="center"/>
          </w:tcPr>
          <w:p>
            <w:pPr>
              <w:jc w:val="center"/>
            </w:pPr>
            <w:r>
              <w:t>95% on plan</w:t>
            </w:r>
          </w:p>
        </w:tc>
        <w:tc>
          <w:tcPr>
            <w:tcW w:type="dxa" w:w="2484"/>
            <w:tcMar>
              <w:top w:w="100" w:type="dxa"/>
              <w:start w:w="120" w:type="dxa"/>
              <w:bottom w:w="100" w:type="dxa"/>
              <w:end w:w="120" w:type="dxa"/>
            </w:tcMar>
            <w:vAlign w:val="center"/>
          </w:tcPr>
          <w:p>
            <w:pPr>
              <w:jc w:val="center"/>
            </w:pPr>
            <w:r>
              <w:t>CS operations</w:t>
            </w:r>
          </w:p>
        </w:tc>
        <w:tc>
          <w:tcPr>
            <w:tcW w:type="dxa" w:w="2484"/>
            <w:tcMar>
              <w:top w:w="100" w:type="dxa"/>
              <w:start w:w="120" w:type="dxa"/>
              <w:bottom w:w="100" w:type="dxa"/>
              <w:end w:w="120" w:type="dxa"/>
            </w:tcMar>
            <w:vAlign w:val="center"/>
          </w:tcPr>
          <w:p>
            <w:r>
              <w:t>Measured against the approved implementation schedule</w:t>
            </w:r>
          </w:p>
        </w:tc>
      </w:tr>
      <w:tr>
        <w:tc>
          <w:tcPr>
            <w:tcW w:type="dxa" w:w="2484"/>
            <w:tcMar>
              <w:top w:w="100" w:type="dxa"/>
              <w:start w:w="120" w:type="dxa"/>
              <w:bottom w:w="100" w:type="dxa"/>
              <w:end w:w="120" w:type="dxa"/>
            </w:tcMar>
            <w:vAlign w:val="center"/>
          </w:tcPr>
          <w:p>
            <w:r>
              <w:t>Quarterly business review completion</w:t>
            </w:r>
          </w:p>
        </w:tc>
        <w:tc>
          <w:tcPr>
            <w:tcW w:type="dxa" w:w="2484"/>
            <w:tcMar>
              <w:top w:w="100" w:type="dxa"/>
              <w:start w:w="120" w:type="dxa"/>
              <w:bottom w:w="100" w:type="dxa"/>
              <w:end w:w="120" w:type="dxa"/>
            </w:tcMar>
            <w:vAlign w:val="center"/>
          </w:tcPr>
          <w:p>
            <w:pPr>
              <w:jc w:val="center"/>
            </w:pPr>
            <w:r>
              <w:t>100%</w:t>
            </w:r>
          </w:p>
        </w:tc>
        <w:tc>
          <w:tcPr>
            <w:tcW w:type="dxa" w:w="2484"/>
            <w:tcMar>
              <w:top w:w="100" w:type="dxa"/>
              <w:start w:w="120" w:type="dxa"/>
              <w:bottom w:w="100" w:type="dxa"/>
              <w:end w:w="120" w:type="dxa"/>
            </w:tcMar>
            <w:vAlign w:val="center"/>
          </w:tcPr>
          <w:p>
            <w:pPr>
              <w:jc w:val="center"/>
            </w:pPr>
            <w:r>
              <w:t>CS leadership</w:t>
            </w:r>
          </w:p>
        </w:tc>
        <w:tc>
          <w:tcPr>
            <w:tcW w:type="dxa" w:w="2484"/>
            <w:tcMar>
              <w:top w:w="100" w:type="dxa"/>
              <w:start w:w="120" w:type="dxa"/>
              <w:bottom w:w="100" w:type="dxa"/>
              <w:end w:w="120" w:type="dxa"/>
            </w:tcMar>
            <w:vAlign w:val="center"/>
          </w:tcPr>
          <w:p>
            <w:r>
              <w:t>Tracked in AtlasCRM for managed accounts</w:t>
            </w:r>
          </w:p>
        </w:tc>
      </w:tr>
      <w:tr>
        <w:tc>
          <w:tcPr>
            <w:tcW w:type="dxa" w:w="2484"/>
            <w:tcMar>
              <w:top w:w="100" w:type="dxa"/>
              <w:start w:w="120" w:type="dxa"/>
              <w:bottom w:w="100" w:type="dxa"/>
              <w:end w:w="120" w:type="dxa"/>
            </w:tcMar>
            <w:vAlign w:val="center"/>
          </w:tcPr>
          <w:p>
            <w:r>
              <w:t>Recovery plans on red accounts</w:t>
            </w:r>
          </w:p>
        </w:tc>
        <w:tc>
          <w:tcPr>
            <w:tcW w:type="dxa" w:w="2484"/>
            <w:tcMar>
              <w:top w:w="100" w:type="dxa"/>
              <w:start w:w="120" w:type="dxa"/>
              <w:bottom w:w="100" w:type="dxa"/>
              <w:end w:w="120" w:type="dxa"/>
            </w:tcMar>
            <w:vAlign w:val="center"/>
          </w:tcPr>
          <w:p>
            <w:pPr>
              <w:jc w:val="center"/>
            </w:pPr>
            <w:r>
              <w:t>100%</w:t>
            </w:r>
          </w:p>
        </w:tc>
        <w:tc>
          <w:tcPr>
            <w:tcW w:type="dxa" w:w="2484"/>
            <w:tcMar>
              <w:top w:w="100" w:type="dxa"/>
              <w:start w:w="120" w:type="dxa"/>
              <w:bottom w:w="100" w:type="dxa"/>
              <w:end w:w="120" w:type="dxa"/>
            </w:tcMar>
            <w:vAlign w:val="center"/>
          </w:tcPr>
          <w:p>
            <w:pPr>
              <w:jc w:val="center"/>
            </w:pPr>
            <w:r>
              <w:t>Regional CS manager</w:t>
            </w:r>
          </w:p>
        </w:tc>
        <w:tc>
          <w:tcPr>
            <w:tcW w:type="dxa" w:w="2484"/>
            <w:tcMar>
              <w:top w:w="100" w:type="dxa"/>
              <w:start w:w="120" w:type="dxa"/>
              <w:bottom w:w="100" w:type="dxa"/>
              <w:end w:w="120" w:type="dxa"/>
            </w:tcMar>
            <w:vAlign w:val="center"/>
          </w:tcPr>
          <w:p>
            <w:r>
              <w:t>Every plan must show owners and due dates</w:t>
            </w:r>
          </w:p>
        </w:tc>
      </w:tr>
    </w:tbl>
    <w:p>
      <w:r>
        <w:rPr>
          <w:b/>
        </w:rPr>
        <w:t xml:space="preserve">Escalation rule of thumb: </w:t>
      </w:r>
      <w:r>
        <w:t>Move first to the function that can remove the blocker. Escalate to Engineering for product defects, Logistics for physical-device blockers, Product for roadmap or policy decisions, and Sales leadership for contract or commercial exposure.</w:t>
      </w:r>
    </w:p>
    <w:p>
      <w:pPr>
        <w:pStyle w:val="Heading1"/>
      </w:pPr>
      <w:r>
        <w:t>Glossary and related references</w:t>
      </w:r>
    </w:p>
    <w:p>
      <w:pPr>
        <w:ind w:left="317" w:hanging="230"/>
      </w:pPr>
      <w:r>
        <w:rPr>
          <w:b/>
        </w:rPr>
        <w:t xml:space="preserve">- </w:t>
      </w:r>
      <w:r>
        <w:t>CSM: Customer Success Manager responsible for health, adoption, and renewal readiness.</w:t>
      </w:r>
    </w:p>
    <w:p>
      <w:pPr>
        <w:ind w:left="317" w:hanging="230"/>
      </w:pPr>
      <w:r>
        <w:rPr>
          <w:b/>
        </w:rPr>
        <w:t xml:space="preserve">- </w:t>
      </w:r>
      <w:r>
        <w:t>PulseDesk: OrchestrAI service desk and case-management platform.</w:t>
      </w:r>
    </w:p>
    <w:p>
      <w:pPr>
        <w:ind w:left="317" w:hanging="230"/>
      </w:pPr>
      <w:r>
        <w:rPr>
          <w:b/>
        </w:rPr>
        <w:t xml:space="preserve">- </w:t>
      </w:r>
      <w:r>
        <w:t>Stabilization review: Formal review held after go-live to confirm the account can move out of implementation mode.</w:t>
      </w:r>
    </w:p>
    <w:p>
      <w:pPr>
        <w:ind w:left="317" w:hanging="230"/>
      </w:pPr>
      <w:r>
        <w:rPr>
          <w:b/>
        </w:rPr>
        <w:t xml:space="preserve">- </w:t>
      </w:r>
      <w:r>
        <w:t>Recovery plan: Cross-functional corrective-action plan created when risk or dissatisfaction becomes material.</w:t>
      </w:r>
    </w:p>
    <w:p>
      <w:pPr>
        <w:ind w:left="317" w:hanging="230"/>
      </w:pPr>
      <w:r>
        <w:rPr>
          <w:b/>
        </w:rPr>
        <w:t xml:space="preserve">- </w:t>
      </w:r>
      <w:r>
        <w:t>Related documents: severity matrix, onboarding timeline, escalation handoff note, renewal risk signals brief, and knowledge base update memo.</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55C7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