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936"/>
      </w:tblGrid>
      <w:tr w:rsidR="00FC6DC4" w14:paraId="11D0257F" w14:textId="77777777">
        <w:trPr>
          <w:jc w:val="center"/>
        </w:trPr>
        <w:tc>
          <w:tcPr>
            <w:tcW w:w="9936" w:type="dxa"/>
            <w:shd w:val="clear" w:color="auto" w:fill="1B4D72"/>
            <w:tcMar>
              <w:top w:w="120" w:type="dxa"/>
              <w:left w:w="150" w:type="dxa"/>
              <w:bottom w:w="120" w:type="dxa"/>
              <w:right w:w="150" w:type="dxa"/>
            </w:tcMar>
          </w:tcPr>
          <w:p w14:paraId="1A43D95F" w14:textId="77777777" w:rsidR="00FC6DC4" w:rsidRDefault="00000000">
            <w:r>
              <w:rPr>
                <w:rFonts w:ascii="Aptos" w:hAnsi="Aptos" w:cs="Aptos"/>
                <w:b/>
                <w:color w:val="FFFFFF"/>
                <w:sz w:val="32"/>
              </w:rPr>
              <w:t>ORCHESTRAI ENGINEERING KNOWLEDGE HANDBOOK</w:t>
            </w:r>
          </w:p>
          <w:p w14:paraId="37F6CAD5" w14:textId="77777777" w:rsidR="00FC6DC4" w:rsidRDefault="00000000">
            <w:r>
              <w:rPr>
                <w:rFonts w:ascii="Aptos" w:hAnsi="Aptos" w:cs="Aptos"/>
                <w:color w:val="FFFFFF"/>
                <w:sz w:val="21"/>
              </w:rPr>
              <w:t>Platform Services, Edge Systems, Release Operations, and Incident Coordination</w:t>
            </w:r>
          </w:p>
        </w:tc>
      </w:tr>
    </w:tbl>
    <w:p w14:paraId="793B43FD" w14:textId="77777777" w:rsidR="00FC6DC4" w:rsidRDefault="00FC6DC4">
      <w:pPr>
        <w:spacing w:after="60"/>
      </w:pPr>
    </w:p>
    <w:p w14:paraId="71AC2C5B" w14:textId="77777777" w:rsidR="00FC6DC4" w:rsidRDefault="00000000">
      <w:pPr>
        <w:spacing w:after="40" w:line="269" w:lineRule="auto"/>
      </w:pPr>
      <w:r>
        <w:rPr>
          <w:rFonts w:ascii="Aptos" w:hAnsi="Aptos" w:cs="Aptos"/>
          <w:b/>
          <w:color w:val="1B4D72"/>
          <w:sz w:val="25"/>
        </w:rPr>
        <w:t>TEAMQA-ENG-001  |  Engineering Platform and Edge Systems Handbook</w:t>
      </w:r>
    </w:p>
    <w:p w14:paraId="752E8B07" w14:textId="77777777" w:rsidR="00FC6DC4" w:rsidRDefault="00000000">
      <w:pPr>
        <w:spacing w:after="120" w:line="269" w:lineRule="auto"/>
      </w:pPr>
      <w:r>
        <w:rPr>
          <w:rFonts w:ascii="Aptos" w:hAnsi="Aptos" w:cs="Aptos"/>
          <w:color w:val="222222"/>
          <w:sz w:val="20"/>
        </w:rPr>
        <w:t>This handbook is designed as a retrieval-friendly internal reference for engineering staff, release coordinators, support leads, and cross-functional partners who need quick answers on how OrchestrAI designs, deploys, and operates its platform and warehouse-edge software estate.</w:t>
      </w:r>
    </w:p>
    <w:tbl>
      <w:tblPr>
        <w:tblW w:w="0" w:type="auto"/>
        <w:jc w:val="center"/>
        <w:tblLayout w:type="fixed"/>
        <w:tblLook w:val="04A0" w:firstRow="1" w:lastRow="0" w:firstColumn="1" w:lastColumn="0" w:noHBand="0" w:noVBand="1"/>
      </w:tblPr>
      <w:tblGrid>
        <w:gridCol w:w="2592"/>
        <w:gridCol w:w="6768"/>
      </w:tblGrid>
      <w:tr w:rsidR="00FC6DC4" w14:paraId="688862EC" w14:textId="77777777">
        <w:trPr>
          <w:jc w:val="center"/>
        </w:trPr>
        <w:tc>
          <w:tcPr>
            <w:tcW w:w="2592" w:type="dxa"/>
            <w:shd w:val="clear" w:color="auto" w:fill="EAF2F8"/>
            <w:tcMar>
              <w:top w:w="90" w:type="dxa"/>
              <w:left w:w="110" w:type="dxa"/>
              <w:bottom w:w="90" w:type="dxa"/>
              <w:right w:w="110" w:type="dxa"/>
            </w:tcMar>
            <w:vAlign w:val="center"/>
          </w:tcPr>
          <w:p w14:paraId="15988202" w14:textId="77777777" w:rsidR="00FC6DC4" w:rsidRDefault="00000000">
            <w:pPr>
              <w:spacing w:after="0"/>
            </w:pPr>
            <w:r>
              <w:rPr>
                <w:rFonts w:ascii="Aptos" w:hAnsi="Aptos" w:cs="Aptos"/>
                <w:b/>
                <w:color w:val="1B4D72"/>
                <w:sz w:val="20"/>
              </w:rPr>
              <w:t>Department</w:t>
            </w:r>
          </w:p>
        </w:tc>
        <w:tc>
          <w:tcPr>
            <w:tcW w:w="6768" w:type="dxa"/>
            <w:shd w:val="clear" w:color="auto" w:fill="FFFFFF"/>
            <w:tcMar>
              <w:top w:w="90" w:type="dxa"/>
              <w:left w:w="110" w:type="dxa"/>
              <w:bottom w:w="90" w:type="dxa"/>
              <w:right w:w="110" w:type="dxa"/>
            </w:tcMar>
            <w:vAlign w:val="center"/>
          </w:tcPr>
          <w:p w14:paraId="16C040F3" w14:textId="77777777" w:rsidR="00FC6DC4" w:rsidRDefault="00000000">
            <w:pPr>
              <w:spacing w:after="0"/>
            </w:pPr>
            <w:r>
              <w:rPr>
                <w:rFonts w:ascii="Aptos" w:hAnsi="Aptos" w:cs="Aptos"/>
                <w:color w:val="222222"/>
                <w:sz w:val="20"/>
              </w:rPr>
              <w:t>Engineering</w:t>
            </w:r>
          </w:p>
        </w:tc>
      </w:tr>
      <w:tr w:rsidR="00FC6DC4" w14:paraId="1FBA765D" w14:textId="77777777">
        <w:trPr>
          <w:jc w:val="center"/>
        </w:trPr>
        <w:tc>
          <w:tcPr>
            <w:tcW w:w="2592" w:type="dxa"/>
            <w:shd w:val="clear" w:color="auto" w:fill="EAF2F8"/>
            <w:tcMar>
              <w:top w:w="90" w:type="dxa"/>
              <w:left w:w="110" w:type="dxa"/>
              <w:bottom w:w="90" w:type="dxa"/>
              <w:right w:w="110" w:type="dxa"/>
            </w:tcMar>
            <w:vAlign w:val="center"/>
          </w:tcPr>
          <w:p w14:paraId="5347DDDC" w14:textId="77777777" w:rsidR="00FC6DC4" w:rsidRDefault="00000000">
            <w:pPr>
              <w:spacing w:after="0"/>
            </w:pPr>
            <w:r>
              <w:rPr>
                <w:rFonts w:ascii="Aptos" w:hAnsi="Aptos" w:cs="Aptos"/>
                <w:b/>
                <w:color w:val="1B4D72"/>
                <w:sz w:val="20"/>
              </w:rPr>
              <w:t>Primary owner</w:t>
            </w:r>
          </w:p>
        </w:tc>
        <w:tc>
          <w:tcPr>
            <w:tcW w:w="6768" w:type="dxa"/>
            <w:shd w:val="clear" w:color="auto" w:fill="FFFFFF"/>
            <w:tcMar>
              <w:top w:w="90" w:type="dxa"/>
              <w:left w:w="110" w:type="dxa"/>
              <w:bottom w:w="90" w:type="dxa"/>
              <w:right w:w="110" w:type="dxa"/>
            </w:tcMar>
            <w:vAlign w:val="center"/>
          </w:tcPr>
          <w:p w14:paraId="071730DE" w14:textId="77777777" w:rsidR="00FC6DC4" w:rsidRDefault="00000000">
            <w:pPr>
              <w:spacing w:after="0"/>
            </w:pPr>
            <w:r>
              <w:rPr>
                <w:rFonts w:ascii="Aptos" w:hAnsi="Aptos" w:cs="Aptos"/>
                <w:color w:val="222222"/>
                <w:sz w:val="20"/>
              </w:rPr>
              <w:t>Director of Platform Engineering</w:t>
            </w:r>
          </w:p>
        </w:tc>
      </w:tr>
      <w:tr w:rsidR="00FC6DC4" w14:paraId="5B2DCAC0" w14:textId="77777777">
        <w:trPr>
          <w:jc w:val="center"/>
        </w:trPr>
        <w:tc>
          <w:tcPr>
            <w:tcW w:w="2592" w:type="dxa"/>
            <w:shd w:val="clear" w:color="auto" w:fill="EAF2F8"/>
            <w:tcMar>
              <w:top w:w="90" w:type="dxa"/>
              <w:left w:w="110" w:type="dxa"/>
              <w:bottom w:w="90" w:type="dxa"/>
              <w:right w:w="110" w:type="dxa"/>
            </w:tcMar>
            <w:vAlign w:val="center"/>
          </w:tcPr>
          <w:p w14:paraId="4F5B8CB9" w14:textId="77777777" w:rsidR="00FC6DC4" w:rsidRDefault="00000000">
            <w:pPr>
              <w:spacing w:after="0"/>
            </w:pPr>
            <w:r>
              <w:rPr>
                <w:rFonts w:ascii="Aptos" w:hAnsi="Aptos" w:cs="Aptos"/>
                <w:b/>
                <w:color w:val="1B4D72"/>
                <w:sz w:val="20"/>
              </w:rPr>
              <w:t>Version</w:t>
            </w:r>
          </w:p>
        </w:tc>
        <w:tc>
          <w:tcPr>
            <w:tcW w:w="6768" w:type="dxa"/>
            <w:shd w:val="clear" w:color="auto" w:fill="FFFFFF"/>
            <w:tcMar>
              <w:top w:w="90" w:type="dxa"/>
              <w:left w:w="110" w:type="dxa"/>
              <w:bottom w:w="90" w:type="dxa"/>
              <w:right w:w="110" w:type="dxa"/>
            </w:tcMar>
            <w:vAlign w:val="center"/>
          </w:tcPr>
          <w:p w14:paraId="0632853B" w14:textId="77777777" w:rsidR="00FC6DC4" w:rsidRDefault="00000000">
            <w:pPr>
              <w:spacing w:after="0"/>
            </w:pPr>
            <w:r>
              <w:rPr>
                <w:rFonts w:ascii="Aptos" w:hAnsi="Aptos" w:cs="Aptos"/>
                <w:color w:val="222222"/>
                <w:sz w:val="20"/>
              </w:rPr>
              <w:t>1.0</w:t>
            </w:r>
          </w:p>
        </w:tc>
      </w:tr>
      <w:tr w:rsidR="00FC6DC4" w14:paraId="2BA7D0B8" w14:textId="77777777">
        <w:trPr>
          <w:jc w:val="center"/>
        </w:trPr>
        <w:tc>
          <w:tcPr>
            <w:tcW w:w="2592" w:type="dxa"/>
            <w:shd w:val="clear" w:color="auto" w:fill="EAF2F8"/>
            <w:tcMar>
              <w:top w:w="90" w:type="dxa"/>
              <w:left w:w="110" w:type="dxa"/>
              <w:bottom w:w="90" w:type="dxa"/>
              <w:right w:w="110" w:type="dxa"/>
            </w:tcMar>
            <w:vAlign w:val="center"/>
          </w:tcPr>
          <w:p w14:paraId="06C808F0" w14:textId="77777777" w:rsidR="00FC6DC4" w:rsidRDefault="00000000">
            <w:pPr>
              <w:spacing w:after="0"/>
            </w:pPr>
            <w:r>
              <w:rPr>
                <w:rFonts w:ascii="Aptos" w:hAnsi="Aptos" w:cs="Aptos"/>
                <w:b/>
                <w:color w:val="1B4D72"/>
                <w:sz w:val="20"/>
              </w:rPr>
              <w:t>Effective date</w:t>
            </w:r>
          </w:p>
        </w:tc>
        <w:tc>
          <w:tcPr>
            <w:tcW w:w="6768" w:type="dxa"/>
            <w:shd w:val="clear" w:color="auto" w:fill="FFFFFF"/>
            <w:tcMar>
              <w:top w:w="90" w:type="dxa"/>
              <w:left w:w="110" w:type="dxa"/>
              <w:bottom w:w="90" w:type="dxa"/>
              <w:right w:w="110" w:type="dxa"/>
            </w:tcMar>
            <w:vAlign w:val="center"/>
          </w:tcPr>
          <w:p w14:paraId="430B82DA" w14:textId="77777777" w:rsidR="00FC6DC4" w:rsidRDefault="00000000">
            <w:pPr>
              <w:spacing w:after="0"/>
            </w:pPr>
            <w:r>
              <w:rPr>
                <w:rFonts w:ascii="Aptos" w:hAnsi="Aptos" w:cs="Aptos"/>
                <w:color w:val="222222"/>
                <w:sz w:val="20"/>
              </w:rPr>
              <w:t>14 January 2026</w:t>
            </w:r>
          </w:p>
        </w:tc>
      </w:tr>
      <w:tr w:rsidR="00FC6DC4" w14:paraId="2877EEA1" w14:textId="77777777">
        <w:trPr>
          <w:jc w:val="center"/>
        </w:trPr>
        <w:tc>
          <w:tcPr>
            <w:tcW w:w="2592" w:type="dxa"/>
            <w:shd w:val="clear" w:color="auto" w:fill="EAF2F8"/>
            <w:tcMar>
              <w:top w:w="90" w:type="dxa"/>
              <w:left w:w="110" w:type="dxa"/>
              <w:bottom w:w="90" w:type="dxa"/>
              <w:right w:w="110" w:type="dxa"/>
            </w:tcMar>
            <w:vAlign w:val="center"/>
          </w:tcPr>
          <w:p w14:paraId="5FFEEF6B" w14:textId="77777777" w:rsidR="00FC6DC4" w:rsidRDefault="00000000">
            <w:pPr>
              <w:spacing w:after="0"/>
            </w:pPr>
            <w:r>
              <w:rPr>
                <w:rFonts w:ascii="Aptos" w:hAnsi="Aptos" w:cs="Aptos"/>
                <w:b/>
                <w:color w:val="1B4D72"/>
                <w:sz w:val="20"/>
              </w:rPr>
              <w:t>Review date</w:t>
            </w:r>
          </w:p>
        </w:tc>
        <w:tc>
          <w:tcPr>
            <w:tcW w:w="6768" w:type="dxa"/>
            <w:shd w:val="clear" w:color="auto" w:fill="FFFFFF"/>
            <w:tcMar>
              <w:top w:w="90" w:type="dxa"/>
              <w:left w:w="110" w:type="dxa"/>
              <w:bottom w:w="90" w:type="dxa"/>
              <w:right w:w="110" w:type="dxa"/>
            </w:tcMar>
            <w:vAlign w:val="center"/>
          </w:tcPr>
          <w:p w14:paraId="5233CE23" w14:textId="77777777" w:rsidR="00FC6DC4" w:rsidRDefault="00000000">
            <w:pPr>
              <w:spacing w:after="0"/>
            </w:pPr>
            <w:r>
              <w:rPr>
                <w:rFonts w:ascii="Aptos" w:hAnsi="Aptos" w:cs="Aptos"/>
                <w:color w:val="222222"/>
                <w:sz w:val="20"/>
              </w:rPr>
              <w:t>14 July 2026</w:t>
            </w:r>
          </w:p>
        </w:tc>
      </w:tr>
      <w:tr w:rsidR="00FC6DC4" w14:paraId="1D3A2494" w14:textId="77777777">
        <w:trPr>
          <w:jc w:val="center"/>
        </w:trPr>
        <w:tc>
          <w:tcPr>
            <w:tcW w:w="2592" w:type="dxa"/>
            <w:shd w:val="clear" w:color="auto" w:fill="EAF2F8"/>
            <w:tcMar>
              <w:top w:w="90" w:type="dxa"/>
              <w:left w:w="110" w:type="dxa"/>
              <w:bottom w:w="90" w:type="dxa"/>
              <w:right w:w="110" w:type="dxa"/>
            </w:tcMar>
            <w:vAlign w:val="center"/>
          </w:tcPr>
          <w:p w14:paraId="1C0A6F22" w14:textId="77777777" w:rsidR="00FC6DC4" w:rsidRDefault="00000000">
            <w:pPr>
              <w:spacing w:after="0"/>
            </w:pPr>
            <w:r>
              <w:rPr>
                <w:rFonts w:ascii="Aptos" w:hAnsi="Aptos" w:cs="Aptos"/>
                <w:b/>
                <w:color w:val="1B4D72"/>
                <w:sz w:val="20"/>
              </w:rPr>
              <w:t>Confidentiality</w:t>
            </w:r>
          </w:p>
        </w:tc>
        <w:tc>
          <w:tcPr>
            <w:tcW w:w="6768" w:type="dxa"/>
            <w:shd w:val="clear" w:color="auto" w:fill="FFFFFF"/>
            <w:tcMar>
              <w:top w:w="90" w:type="dxa"/>
              <w:left w:w="110" w:type="dxa"/>
              <w:bottom w:w="90" w:type="dxa"/>
              <w:right w:w="110" w:type="dxa"/>
            </w:tcMar>
            <w:vAlign w:val="center"/>
          </w:tcPr>
          <w:p w14:paraId="57561A41" w14:textId="77777777" w:rsidR="00FC6DC4" w:rsidRDefault="00000000">
            <w:pPr>
              <w:spacing w:after="0"/>
            </w:pPr>
            <w:r>
              <w:rPr>
                <w:rFonts w:ascii="Aptos" w:hAnsi="Aptos" w:cs="Aptos"/>
                <w:color w:val="222222"/>
                <w:sz w:val="20"/>
              </w:rPr>
              <w:t>Internal - Operational and Technical Reference</w:t>
            </w:r>
          </w:p>
        </w:tc>
      </w:tr>
      <w:tr w:rsidR="00FC6DC4" w14:paraId="24377445" w14:textId="77777777">
        <w:trPr>
          <w:jc w:val="center"/>
        </w:trPr>
        <w:tc>
          <w:tcPr>
            <w:tcW w:w="2592" w:type="dxa"/>
            <w:shd w:val="clear" w:color="auto" w:fill="EAF2F8"/>
            <w:tcMar>
              <w:top w:w="90" w:type="dxa"/>
              <w:left w:w="110" w:type="dxa"/>
              <w:bottom w:w="90" w:type="dxa"/>
              <w:right w:w="110" w:type="dxa"/>
            </w:tcMar>
            <w:vAlign w:val="center"/>
          </w:tcPr>
          <w:p w14:paraId="5A9A09FF" w14:textId="77777777" w:rsidR="00FC6DC4" w:rsidRDefault="00000000">
            <w:pPr>
              <w:spacing w:after="0"/>
            </w:pPr>
            <w:r>
              <w:rPr>
                <w:rFonts w:ascii="Aptos" w:hAnsi="Aptos" w:cs="Aptos"/>
                <w:b/>
                <w:color w:val="1B4D72"/>
                <w:sz w:val="20"/>
              </w:rPr>
              <w:t>Related systems</w:t>
            </w:r>
          </w:p>
        </w:tc>
        <w:tc>
          <w:tcPr>
            <w:tcW w:w="6768" w:type="dxa"/>
            <w:shd w:val="clear" w:color="auto" w:fill="FFFFFF"/>
            <w:tcMar>
              <w:top w:w="90" w:type="dxa"/>
              <w:left w:w="110" w:type="dxa"/>
              <w:bottom w:w="90" w:type="dxa"/>
              <w:right w:w="110" w:type="dxa"/>
            </w:tcMar>
            <w:vAlign w:val="center"/>
          </w:tcPr>
          <w:p w14:paraId="627E595F" w14:textId="77777777" w:rsidR="00FC6DC4" w:rsidRDefault="00000000">
            <w:pPr>
              <w:spacing w:after="0"/>
            </w:pPr>
            <w:r>
              <w:rPr>
                <w:rFonts w:ascii="Aptos" w:hAnsi="Aptos" w:cs="Aptos"/>
                <w:color w:val="222222"/>
                <w:sz w:val="20"/>
              </w:rPr>
              <w:t>Control Plane, Edge Gateway, Device Agent, Event Router, Update Channel, Observability Hub</w:t>
            </w:r>
          </w:p>
        </w:tc>
      </w:tr>
    </w:tbl>
    <w:p w14:paraId="7E743DF9" w14:textId="77777777" w:rsidR="00FC6DC4" w:rsidRDefault="00FC6DC4">
      <w:pPr>
        <w:spacing w:after="40"/>
      </w:pPr>
    </w:p>
    <w:tbl>
      <w:tblPr>
        <w:tblW w:w="0" w:type="auto"/>
        <w:jc w:val="center"/>
        <w:tblLook w:val="04A0" w:firstRow="1" w:lastRow="0" w:firstColumn="1" w:lastColumn="0" w:noHBand="0" w:noVBand="1"/>
      </w:tblPr>
      <w:tblGrid>
        <w:gridCol w:w="9936"/>
      </w:tblGrid>
      <w:tr w:rsidR="00FC6DC4" w14:paraId="1AC84616" w14:textId="77777777">
        <w:trPr>
          <w:jc w:val="center"/>
        </w:trPr>
        <w:tc>
          <w:tcPr>
            <w:tcW w:w="9936" w:type="dxa"/>
            <w:shd w:val="clear" w:color="auto" w:fill="EFF5F9"/>
            <w:tcMar>
              <w:top w:w="110" w:type="dxa"/>
              <w:left w:w="140" w:type="dxa"/>
              <w:bottom w:w="110" w:type="dxa"/>
              <w:right w:w="140" w:type="dxa"/>
            </w:tcMar>
          </w:tcPr>
          <w:p w14:paraId="4C7A8187" w14:textId="77777777" w:rsidR="00FC6DC4" w:rsidRDefault="00000000">
            <w:pPr>
              <w:spacing w:after="40"/>
            </w:pPr>
            <w:r>
              <w:rPr>
                <w:rFonts w:ascii="Aptos" w:hAnsi="Aptos" w:cs="Aptos"/>
                <w:b/>
                <w:color w:val="1B4D72"/>
                <w:sz w:val="21"/>
              </w:rPr>
              <w:t>Document purpose</w:t>
            </w:r>
          </w:p>
          <w:p w14:paraId="12C7EC7E" w14:textId="77777777" w:rsidR="00FC6DC4" w:rsidRDefault="00000000">
            <w:pPr>
              <w:spacing w:after="0" w:line="259" w:lineRule="auto"/>
            </w:pPr>
            <w:r>
              <w:rPr>
                <w:rFonts w:ascii="Aptos" w:hAnsi="Aptos" w:cs="Aptos"/>
                <w:color w:val="222222"/>
                <w:sz w:val="20"/>
              </w:rPr>
              <w:t>This document explains team scope, system ownership, release expectations, incident routing, development standards, and frequently asked operational questions. It is intentionally written in a concise handbook style so it can be chunked effectively inside a RAG workflow.</w:t>
            </w:r>
          </w:p>
        </w:tc>
      </w:tr>
    </w:tbl>
    <w:p w14:paraId="10358932" w14:textId="77777777" w:rsidR="00FC6DC4" w:rsidRDefault="00FC6DC4">
      <w:pPr>
        <w:spacing w:after="20"/>
      </w:pPr>
    </w:p>
    <w:p w14:paraId="70DCF66A" w14:textId="77777777" w:rsidR="00FC6DC4" w:rsidRDefault="00000000">
      <w:pPr>
        <w:keepNext/>
        <w:spacing w:before="200" w:after="80"/>
      </w:pPr>
      <w:r>
        <w:rPr>
          <w:rFonts w:ascii="Aptos" w:hAnsi="Aptos" w:cs="Aptos"/>
          <w:b/>
          <w:color w:val="1B4D72"/>
          <w:sz w:val="30"/>
        </w:rPr>
        <w:t>1. Engineering mission and operating context</w:t>
      </w:r>
    </w:p>
    <w:p w14:paraId="67E623A3" w14:textId="77777777" w:rsidR="00FC6DC4" w:rsidRDefault="00000000">
      <w:pPr>
        <w:spacing w:after="80" w:line="269" w:lineRule="auto"/>
      </w:pPr>
      <w:r>
        <w:rPr>
          <w:rFonts w:ascii="Aptos" w:hAnsi="Aptos" w:cs="Aptos"/>
          <w:color w:val="222222"/>
          <w:sz w:val="20"/>
        </w:rPr>
        <w:t>OrchestrAI Engineering is responsible for the software services and edge components that coordinate warehouse execution, device communications, task scheduling, telemetry collection, and operator-facing controls. The team supports both cloud-hosted services and warehouse-deployed edge gateways, which means engineering decisions must account for release safety, device compatibility, intermittent connectivity, and customer uptime commitments.</w:t>
      </w:r>
    </w:p>
    <w:p w14:paraId="02F20A0C" w14:textId="77777777" w:rsidR="00FC6DC4" w:rsidRDefault="00000000">
      <w:pPr>
        <w:pStyle w:val="ListBullet"/>
        <w:spacing w:after="40" w:line="259" w:lineRule="auto"/>
        <w:ind w:left="317"/>
      </w:pPr>
      <w:r>
        <w:rPr>
          <w:rFonts w:ascii="Aptos" w:hAnsi="Aptos" w:cs="Aptos"/>
          <w:color w:val="222222"/>
          <w:sz w:val="20"/>
        </w:rPr>
        <w:t>Platform Services develops APIs, orchestration logic, scheduler services, event routing, and core data pipelines.</w:t>
      </w:r>
    </w:p>
    <w:p w14:paraId="1A781C11" w14:textId="77777777" w:rsidR="00FC6DC4" w:rsidRDefault="00000000">
      <w:pPr>
        <w:pStyle w:val="ListBullet"/>
        <w:spacing w:after="40" w:line="259" w:lineRule="auto"/>
        <w:ind w:left="317"/>
      </w:pPr>
      <w:r>
        <w:rPr>
          <w:rFonts w:ascii="Aptos" w:hAnsi="Aptos" w:cs="Aptos"/>
          <w:color w:val="222222"/>
          <w:sz w:val="20"/>
        </w:rPr>
        <w:t>Edge Systems maintains the Edge Gateway, Device Agent, local failover logic, and site deployment packages used in fulfillment centers.</w:t>
      </w:r>
    </w:p>
    <w:p w14:paraId="0CD98A61" w14:textId="77777777" w:rsidR="00FC6DC4" w:rsidRDefault="00000000">
      <w:pPr>
        <w:pStyle w:val="ListBullet"/>
        <w:spacing w:after="40" w:line="259" w:lineRule="auto"/>
        <w:ind w:left="317"/>
      </w:pPr>
      <w:r>
        <w:rPr>
          <w:rFonts w:ascii="Aptos" w:hAnsi="Aptos" w:cs="Aptos"/>
          <w:color w:val="222222"/>
          <w:sz w:val="20"/>
        </w:rPr>
        <w:t>Developer Enablement supports build pipelines, environment hygiene, test tooling, and release automation.</w:t>
      </w:r>
    </w:p>
    <w:p w14:paraId="109E5953" w14:textId="77777777" w:rsidR="00FC6DC4" w:rsidRDefault="00000000">
      <w:pPr>
        <w:pStyle w:val="ListBullet"/>
        <w:spacing w:after="40" w:line="259" w:lineRule="auto"/>
        <w:ind w:left="317"/>
      </w:pPr>
      <w:r>
        <w:rPr>
          <w:rFonts w:ascii="Aptos" w:hAnsi="Aptos" w:cs="Aptos"/>
          <w:color w:val="222222"/>
          <w:sz w:val="20"/>
        </w:rPr>
        <w:t>Site Reliability partners with Engineering on observability, on-call response, release risk control, and service restoration.</w:t>
      </w:r>
    </w:p>
    <w:p w14:paraId="25D56D77" w14:textId="77777777" w:rsidR="00FC6DC4" w:rsidRDefault="00000000">
      <w:pPr>
        <w:keepNext/>
        <w:spacing w:before="200" w:after="80"/>
      </w:pPr>
      <w:r>
        <w:rPr>
          <w:rFonts w:ascii="Aptos" w:hAnsi="Aptos" w:cs="Aptos"/>
          <w:b/>
          <w:color w:val="1B4D72"/>
          <w:sz w:val="30"/>
        </w:rPr>
        <w:t>2. Core systems and ownership map</w:t>
      </w:r>
    </w:p>
    <w:tbl>
      <w:tblPr>
        <w:tblW w:w="0" w:type="auto"/>
        <w:jc w:val="center"/>
        <w:tblLayout w:type="fixed"/>
        <w:tblLook w:val="04A0" w:firstRow="1" w:lastRow="0" w:firstColumn="1" w:lastColumn="0" w:noHBand="0" w:noVBand="1"/>
      </w:tblPr>
      <w:tblGrid>
        <w:gridCol w:w="1728"/>
        <w:gridCol w:w="3528"/>
        <w:gridCol w:w="1440"/>
        <w:gridCol w:w="2520"/>
      </w:tblGrid>
      <w:tr w:rsidR="00FC6DC4" w14:paraId="637BECFE" w14:textId="77777777">
        <w:trPr>
          <w:jc w:val="center"/>
        </w:trPr>
        <w:tc>
          <w:tcPr>
            <w:tcW w:w="1728" w:type="dxa"/>
            <w:shd w:val="clear" w:color="auto" w:fill="D9E8F2"/>
            <w:tcMar>
              <w:top w:w="110" w:type="dxa"/>
              <w:left w:w="120" w:type="dxa"/>
              <w:bottom w:w="110" w:type="dxa"/>
              <w:right w:w="120" w:type="dxa"/>
            </w:tcMar>
            <w:vAlign w:val="center"/>
          </w:tcPr>
          <w:p w14:paraId="07D53D6F" w14:textId="77777777" w:rsidR="00FC6DC4" w:rsidRDefault="00000000">
            <w:pPr>
              <w:jc w:val="center"/>
            </w:pPr>
            <w:r>
              <w:rPr>
                <w:rFonts w:ascii="Aptos" w:hAnsi="Aptos" w:cs="Aptos"/>
                <w:b/>
                <w:color w:val="1B4D72"/>
                <w:sz w:val="20"/>
              </w:rPr>
              <w:t>System</w:t>
            </w:r>
          </w:p>
        </w:tc>
        <w:tc>
          <w:tcPr>
            <w:tcW w:w="3528" w:type="dxa"/>
            <w:shd w:val="clear" w:color="auto" w:fill="D9E8F2"/>
            <w:tcMar>
              <w:top w:w="110" w:type="dxa"/>
              <w:left w:w="120" w:type="dxa"/>
              <w:bottom w:w="110" w:type="dxa"/>
              <w:right w:w="120" w:type="dxa"/>
            </w:tcMar>
            <w:vAlign w:val="center"/>
          </w:tcPr>
          <w:p w14:paraId="1AA27E94" w14:textId="77777777" w:rsidR="00FC6DC4" w:rsidRDefault="00000000">
            <w:pPr>
              <w:jc w:val="center"/>
            </w:pPr>
            <w:r>
              <w:rPr>
                <w:rFonts w:ascii="Aptos" w:hAnsi="Aptos" w:cs="Aptos"/>
                <w:b/>
                <w:color w:val="1B4D72"/>
                <w:sz w:val="20"/>
              </w:rPr>
              <w:t>Purpose</w:t>
            </w:r>
          </w:p>
        </w:tc>
        <w:tc>
          <w:tcPr>
            <w:tcW w:w="1440" w:type="dxa"/>
            <w:shd w:val="clear" w:color="auto" w:fill="D9E8F2"/>
            <w:tcMar>
              <w:top w:w="110" w:type="dxa"/>
              <w:left w:w="120" w:type="dxa"/>
              <w:bottom w:w="110" w:type="dxa"/>
              <w:right w:w="120" w:type="dxa"/>
            </w:tcMar>
            <w:vAlign w:val="center"/>
          </w:tcPr>
          <w:p w14:paraId="66DEB088" w14:textId="77777777" w:rsidR="00FC6DC4" w:rsidRDefault="00000000">
            <w:pPr>
              <w:jc w:val="center"/>
            </w:pPr>
            <w:r>
              <w:rPr>
                <w:rFonts w:ascii="Aptos" w:hAnsi="Aptos" w:cs="Aptos"/>
                <w:b/>
                <w:color w:val="1B4D72"/>
                <w:sz w:val="20"/>
              </w:rPr>
              <w:t xml:space="preserve">Primary </w:t>
            </w:r>
            <w:r>
              <w:rPr>
                <w:rFonts w:ascii="Aptos" w:hAnsi="Aptos" w:cs="Aptos"/>
                <w:b/>
                <w:color w:val="1B4D72"/>
                <w:sz w:val="20"/>
              </w:rPr>
              <w:lastRenderedPageBreak/>
              <w:t>owner</w:t>
            </w:r>
          </w:p>
        </w:tc>
        <w:tc>
          <w:tcPr>
            <w:tcW w:w="2520" w:type="dxa"/>
            <w:shd w:val="clear" w:color="auto" w:fill="D9E8F2"/>
            <w:tcMar>
              <w:top w:w="110" w:type="dxa"/>
              <w:left w:w="120" w:type="dxa"/>
              <w:bottom w:w="110" w:type="dxa"/>
              <w:right w:w="120" w:type="dxa"/>
            </w:tcMar>
            <w:vAlign w:val="center"/>
          </w:tcPr>
          <w:p w14:paraId="0827372A" w14:textId="77777777" w:rsidR="00FC6DC4" w:rsidRDefault="00000000">
            <w:pPr>
              <w:jc w:val="center"/>
            </w:pPr>
            <w:r>
              <w:rPr>
                <w:rFonts w:ascii="Aptos" w:hAnsi="Aptos" w:cs="Aptos"/>
                <w:b/>
                <w:color w:val="1B4D72"/>
                <w:sz w:val="20"/>
              </w:rPr>
              <w:lastRenderedPageBreak/>
              <w:t>Operational note</w:t>
            </w:r>
          </w:p>
        </w:tc>
      </w:tr>
      <w:tr w:rsidR="00FC6DC4" w14:paraId="6867C9F4" w14:textId="77777777">
        <w:trPr>
          <w:jc w:val="center"/>
        </w:trPr>
        <w:tc>
          <w:tcPr>
            <w:tcW w:w="1728" w:type="dxa"/>
            <w:tcMar>
              <w:top w:w="90" w:type="dxa"/>
              <w:left w:w="110" w:type="dxa"/>
              <w:bottom w:w="90" w:type="dxa"/>
              <w:right w:w="110" w:type="dxa"/>
            </w:tcMar>
            <w:vAlign w:val="center"/>
          </w:tcPr>
          <w:p w14:paraId="243FC8F5" w14:textId="77777777" w:rsidR="00FC6DC4" w:rsidRDefault="00000000">
            <w:pPr>
              <w:spacing w:after="0"/>
              <w:jc w:val="center"/>
            </w:pPr>
            <w:r>
              <w:rPr>
                <w:rFonts w:ascii="Aptos" w:hAnsi="Aptos" w:cs="Aptos"/>
                <w:color w:val="222222"/>
                <w:sz w:val="19"/>
              </w:rPr>
              <w:t>Control Plane</w:t>
            </w:r>
          </w:p>
        </w:tc>
        <w:tc>
          <w:tcPr>
            <w:tcW w:w="3528" w:type="dxa"/>
            <w:tcMar>
              <w:top w:w="90" w:type="dxa"/>
              <w:left w:w="110" w:type="dxa"/>
              <w:bottom w:w="90" w:type="dxa"/>
              <w:right w:w="110" w:type="dxa"/>
            </w:tcMar>
            <w:vAlign w:val="center"/>
          </w:tcPr>
          <w:p w14:paraId="3E0D1C12" w14:textId="77777777" w:rsidR="00FC6DC4" w:rsidRDefault="00000000">
            <w:pPr>
              <w:spacing w:after="0"/>
            </w:pPr>
            <w:r>
              <w:rPr>
                <w:rFonts w:ascii="Aptos" w:hAnsi="Aptos" w:cs="Aptos"/>
                <w:color w:val="222222"/>
                <w:sz w:val="19"/>
              </w:rPr>
              <w:t>Cloud console and admin layer for fleet configuration, workflow controls, and account-level policy.</w:t>
            </w:r>
          </w:p>
        </w:tc>
        <w:tc>
          <w:tcPr>
            <w:tcW w:w="1440" w:type="dxa"/>
            <w:tcMar>
              <w:top w:w="90" w:type="dxa"/>
              <w:left w:w="110" w:type="dxa"/>
              <w:bottom w:w="90" w:type="dxa"/>
              <w:right w:w="110" w:type="dxa"/>
            </w:tcMar>
            <w:vAlign w:val="center"/>
          </w:tcPr>
          <w:p w14:paraId="17FAB9CE" w14:textId="77777777" w:rsidR="00FC6DC4" w:rsidRDefault="00000000">
            <w:pPr>
              <w:spacing w:after="0"/>
              <w:jc w:val="center"/>
            </w:pPr>
            <w:r>
              <w:rPr>
                <w:rFonts w:ascii="Aptos" w:hAnsi="Aptos" w:cs="Aptos"/>
                <w:color w:val="222222"/>
                <w:sz w:val="19"/>
              </w:rPr>
              <w:t>Platform</w:t>
            </w:r>
          </w:p>
        </w:tc>
        <w:tc>
          <w:tcPr>
            <w:tcW w:w="2520" w:type="dxa"/>
            <w:tcMar>
              <w:top w:w="90" w:type="dxa"/>
              <w:left w:w="110" w:type="dxa"/>
              <w:bottom w:w="90" w:type="dxa"/>
              <w:right w:w="110" w:type="dxa"/>
            </w:tcMar>
            <w:vAlign w:val="center"/>
          </w:tcPr>
          <w:p w14:paraId="08B6D075" w14:textId="77777777" w:rsidR="00FC6DC4" w:rsidRDefault="00000000">
            <w:pPr>
              <w:spacing w:after="0"/>
            </w:pPr>
            <w:r>
              <w:rPr>
                <w:rFonts w:ascii="Aptos" w:hAnsi="Aptos" w:cs="Aptos"/>
                <w:color w:val="222222"/>
                <w:sz w:val="19"/>
              </w:rPr>
              <w:t>Changes must be backward compatible with two prior gateway versions.</w:t>
            </w:r>
          </w:p>
        </w:tc>
      </w:tr>
      <w:tr w:rsidR="00FC6DC4" w14:paraId="7C1111E7" w14:textId="77777777">
        <w:trPr>
          <w:jc w:val="center"/>
        </w:trPr>
        <w:tc>
          <w:tcPr>
            <w:tcW w:w="1728" w:type="dxa"/>
            <w:tcMar>
              <w:top w:w="90" w:type="dxa"/>
              <w:left w:w="110" w:type="dxa"/>
              <w:bottom w:w="90" w:type="dxa"/>
              <w:right w:w="110" w:type="dxa"/>
            </w:tcMar>
            <w:vAlign w:val="center"/>
          </w:tcPr>
          <w:p w14:paraId="70BB9158" w14:textId="77777777" w:rsidR="00FC6DC4" w:rsidRDefault="00000000">
            <w:pPr>
              <w:spacing w:after="0"/>
              <w:jc w:val="center"/>
            </w:pPr>
            <w:r>
              <w:rPr>
                <w:rFonts w:ascii="Aptos" w:hAnsi="Aptos" w:cs="Aptos"/>
                <w:color w:val="222222"/>
                <w:sz w:val="19"/>
              </w:rPr>
              <w:t>Event Router</w:t>
            </w:r>
          </w:p>
        </w:tc>
        <w:tc>
          <w:tcPr>
            <w:tcW w:w="3528" w:type="dxa"/>
            <w:tcMar>
              <w:top w:w="90" w:type="dxa"/>
              <w:left w:w="110" w:type="dxa"/>
              <w:bottom w:w="90" w:type="dxa"/>
              <w:right w:w="110" w:type="dxa"/>
            </w:tcMar>
            <w:vAlign w:val="center"/>
          </w:tcPr>
          <w:p w14:paraId="66C3D8E6" w14:textId="77777777" w:rsidR="00FC6DC4" w:rsidRDefault="00000000">
            <w:pPr>
              <w:spacing w:after="0"/>
            </w:pPr>
            <w:r>
              <w:rPr>
                <w:rFonts w:ascii="Aptos" w:hAnsi="Aptos" w:cs="Aptos"/>
                <w:color w:val="222222"/>
                <w:sz w:val="19"/>
              </w:rPr>
              <w:t>Processes workflow events from scanners, conveyors, sorters, and task engines.</w:t>
            </w:r>
          </w:p>
        </w:tc>
        <w:tc>
          <w:tcPr>
            <w:tcW w:w="1440" w:type="dxa"/>
            <w:tcMar>
              <w:top w:w="90" w:type="dxa"/>
              <w:left w:w="110" w:type="dxa"/>
              <w:bottom w:w="90" w:type="dxa"/>
              <w:right w:w="110" w:type="dxa"/>
            </w:tcMar>
            <w:vAlign w:val="center"/>
          </w:tcPr>
          <w:p w14:paraId="0264DA08" w14:textId="77777777" w:rsidR="00FC6DC4" w:rsidRDefault="00000000">
            <w:pPr>
              <w:spacing w:after="0"/>
              <w:jc w:val="center"/>
            </w:pPr>
            <w:r>
              <w:rPr>
                <w:rFonts w:ascii="Aptos" w:hAnsi="Aptos" w:cs="Aptos"/>
                <w:color w:val="222222"/>
                <w:sz w:val="19"/>
              </w:rPr>
              <w:t>Platform</w:t>
            </w:r>
          </w:p>
        </w:tc>
        <w:tc>
          <w:tcPr>
            <w:tcW w:w="2520" w:type="dxa"/>
            <w:tcMar>
              <w:top w:w="90" w:type="dxa"/>
              <w:left w:w="110" w:type="dxa"/>
              <w:bottom w:w="90" w:type="dxa"/>
              <w:right w:w="110" w:type="dxa"/>
            </w:tcMar>
            <w:vAlign w:val="center"/>
          </w:tcPr>
          <w:p w14:paraId="720D1CA6" w14:textId="77777777" w:rsidR="00FC6DC4" w:rsidRDefault="00000000">
            <w:pPr>
              <w:spacing w:after="0"/>
            </w:pPr>
            <w:r>
              <w:rPr>
                <w:rFonts w:ascii="Aptos" w:hAnsi="Aptos" w:cs="Aptos"/>
                <w:color w:val="222222"/>
                <w:sz w:val="19"/>
              </w:rPr>
              <w:t>Latency spikes above threshold require SRE and Support notification.</w:t>
            </w:r>
          </w:p>
        </w:tc>
      </w:tr>
      <w:tr w:rsidR="00FC6DC4" w14:paraId="13A1691B" w14:textId="77777777">
        <w:trPr>
          <w:jc w:val="center"/>
        </w:trPr>
        <w:tc>
          <w:tcPr>
            <w:tcW w:w="1728" w:type="dxa"/>
            <w:tcMar>
              <w:top w:w="90" w:type="dxa"/>
              <w:left w:w="110" w:type="dxa"/>
              <w:bottom w:w="90" w:type="dxa"/>
              <w:right w:w="110" w:type="dxa"/>
            </w:tcMar>
            <w:vAlign w:val="center"/>
          </w:tcPr>
          <w:p w14:paraId="35E8B697" w14:textId="77777777" w:rsidR="00FC6DC4" w:rsidRDefault="00000000">
            <w:pPr>
              <w:spacing w:after="0"/>
              <w:jc w:val="center"/>
            </w:pPr>
            <w:r>
              <w:rPr>
                <w:rFonts w:ascii="Aptos" w:hAnsi="Aptos" w:cs="Aptos"/>
                <w:color w:val="222222"/>
                <w:sz w:val="19"/>
              </w:rPr>
              <w:t>Edge Gateway</w:t>
            </w:r>
          </w:p>
        </w:tc>
        <w:tc>
          <w:tcPr>
            <w:tcW w:w="3528" w:type="dxa"/>
            <w:tcMar>
              <w:top w:w="90" w:type="dxa"/>
              <w:left w:w="110" w:type="dxa"/>
              <w:bottom w:w="90" w:type="dxa"/>
              <w:right w:w="110" w:type="dxa"/>
            </w:tcMar>
            <w:vAlign w:val="center"/>
          </w:tcPr>
          <w:p w14:paraId="3BB19972" w14:textId="77777777" w:rsidR="00FC6DC4" w:rsidRDefault="00000000">
            <w:pPr>
              <w:spacing w:after="0"/>
            </w:pPr>
            <w:r>
              <w:rPr>
                <w:rFonts w:ascii="Aptos" w:hAnsi="Aptos" w:cs="Aptos"/>
                <w:color w:val="222222"/>
                <w:sz w:val="19"/>
              </w:rPr>
              <w:t>Warehouse-local coordination service used during degraded connectivity or local automation actions.</w:t>
            </w:r>
          </w:p>
        </w:tc>
        <w:tc>
          <w:tcPr>
            <w:tcW w:w="1440" w:type="dxa"/>
            <w:tcMar>
              <w:top w:w="90" w:type="dxa"/>
              <w:left w:w="110" w:type="dxa"/>
              <w:bottom w:w="90" w:type="dxa"/>
              <w:right w:w="110" w:type="dxa"/>
            </w:tcMar>
            <w:vAlign w:val="center"/>
          </w:tcPr>
          <w:p w14:paraId="2758750B" w14:textId="77777777" w:rsidR="00FC6DC4" w:rsidRDefault="00000000">
            <w:pPr>
              <w:spacing w:after="0"/>
              <w:jc w:val="center"/>
            </w:pPr>
            <w:r>
              <w:rPr>
                <w:rFonts w:ascii="Aptos" w:hAnsi="Aptos" w:cs="Aptos"/>
                <w:color w:val="222222"/>
                <w:sz w:val="19"/>
              </w:rPr>
              <w:t>Edge</w:t>
            </w:r>
          </w:p>
        </w:tc>
        <w:tc>
          <w:tcPr>
            <w:tcW w:w="2520" w:type="dxa"/>
            <w:tcMar>
              <w:top w:w="90" w:type="dxa"/>
              <w:left w:w="110" w:type="dxa"/>
              <w:bottom w:w="90" w:type="dxa"/>
              <w:right w:w="110" w:type="dxa"/>
            </w:tcMar>
            <w:vAlign w:val="center"/>
          </w:tcPr>
          <w:p w14:paraId="078EFD8B" w14:textId="77777777" w:rsidR="00FC6DC4" w:rsidRDefault="00000000">
            <w:pPr>
              <w:spacing w:after="0"/>
            </w:pPr>
            <w:r>
              <w:rPr>
                <w:rFonts w:ascii="Aptos" w:hAnsi="Aptos" w:cs="Aptos"/>
                <w:color w:val="222222"/>
                <w:sz w:val="19"/>
              </w:rPr>
              <w:t>Package updates require rollout rings and rollback instructions.</w:t>
            </w:r>
          </w:p>
        </w:tc>
      </w:tr>
      <w:tr w:rsidR="00FC6DC4" w14:paraId="6914F659" w14:textId="77777777">
        <w:trPr>
          <w:jc w:val="center"/>
        </w:trPr>
        <w:tc>
          <w:tcPr>
            <w:tcW w:w="1728" w:type="dxa"/>
            <w:tcMar>
              <w:top w:w="90" w:type="dxa"/>
              <w:left w:w="110" w:type="dxa"/>
              <w:bottom w:w="90" w:type="dxa"/>
              <w:right w:w="110" w:type="dxa"/>
            </w:tcMar>
            <w:vAlign w:val="center"/>
          </w:tcPr>
          <w:p w14:paraId="3249FFB6" w14:textId="77777777" w:rsidR="00FC6DC4" w:rsidRDefault="00000000">
            <w:pPr>
              <w:spacing w:after="0"/>
              <w:jc w:val="center"/>
            </w:pPr>
            <w:r>
              <w:rPr>
                <w:rFonts w:ascii="Aptos" w:hAnsi="Aptos" w:cs="Aptos"/>
                <w:color w:val="222222"/>
                <w:sz w:val="19"/>
              </w:rPr>
              <w:t>Device Agent</w:t>
            </w:r>
          </w:p>
        </w:tc>
        <w:tc>
          <w:tcPr>
            <w:tcW w:w="3528" w:type="dxa"/>
            <w:tcMar>
              <w:top w:w="90" w:type="dxa"/>
              <w:left w:w="110" w:type="dxa"/>
              <w:bottom w:w="90" w:type="dxa"/>
              <w:right w:w="110" w:type="dxa"/>
            </w:tcMar>
            <w:vAlign w:val="center"/>
          </w:tcPr>
          <w:p w14:paraId="5BE3A6DB" w14:textId="77777777" w:rsidR="00FC6DC4" w:rsidRDefault="00000000">
            <w:pPr>
              <w:spacing w:after="0"/>
            </w:pPr>
            <w:r>
              <w:rPr>
                <w:rFonts w:ascii="Aptos" w:hAnsi="Aptos" w:cs="Aptos"/>
                <w:color w:val="222222"/>
                <w:sz w:val="19"/>
              </w:rPr>
              <w:t>Lightweight agent on managed devices for status heartbeats, policy sync, and diagnostics.</w:t>
            </w:r>
          </w:p>
        </w:tc>
        <w:tc>
          <w:tcPr>
            <w:tcW w:w="1440" w:type="dxa"/>
            <w:tcMar>
              <w:top w:w="90" w:type="dxa"/>
              <w:left w:w="110" w:type="dxa"/>
              <w:bottom w:w="90" w:type="dxa"/>
              <w:right w:w="110" w:type="dxa"/>
            </w:tcMar>
            <w:vAlign w:val="center"/>
          </w:tcPr>
          <w:p w14:paraId="4785132C" w14:textId="77777777" w:rsidR="00FC6DC4" w:rsidRDefault="00000000">
            <w:pPr>
              <w:spacing w:after="0"/>
              <w:jc w:val="center"/>
            </w:pPr>
            <w:r>
              <w:rPr>
                <w:rFonts w:ascii="Aptos" w:hAnsi="Aptos" w:cs="Aptos"/>
                <w:color w:val="222222"/>
                <w:sz w:val="19"/>
              </w:rPr>
              <w:t>Edge</w:t>
            </w:r>
          </w:p>
        </w:tc>
        <w:tc>
          <w:tcPr>
            <w:tcW w:w="2520" w:type="dxa"/>
            <w:tcMar>
              <w:top w:w="90" w:type="dxa"/>
              <w:left w:w="110" w:type="dxa"/>
              <w:bottom w:w="90" w:type="dxa"/>
              <w:right w:w="110" w:type="dxa"/>
            </w:tcMar>
            <w:vAlign w:val="center"/>
          </w:tcPr>
          <w:p w14:paraId="573D633D" w14:textId="77777777" w:rsidR="00FC6DC4" w:rsidRDefault="00000000">
            <w:pPr>
              <w:spacing w:after="0"/>
            </w:pPr>
            <w:r>
              <w:rPr>
                <w:rFonts w:ascii="Aptos" w:hAnsi="Aptos" w:cs="Aptos"/>
                <w:color w:val="222222"/>
                <w:sz w:val="19"/>
              </w:rPr>
              <w:t>Agent changes must preserve low-bandwidth behavior.</w:t>
            </w:r>
          </w:p>
        </w:tc>
      </w:tr>
      <w:tr w:rsidR="00FC6DC4" w14:paraId="26DF7A66" w14:textId="77777777">
        <w:trPr>
          <w:jc w:val="center"/>
        </w:trPr>
        <w:tc>
          <w:tcPr>
            <w:tcW w:w="1728" w:type="dxa"/>
            <w:tcMar>
              <w:top w:w="90" w:type="dxa"/>
              <w:left w:w="110" w:type="dxa"/>
              <w:bottom w:w="90" w:type="dxa"/>
              <w:right w:w="110" w:type="dxa"/>
            </w:tcMar>
            <w:vAlign w:val="center"/>
          </w:tcPr>
          <w:p w14:paraId="643B9058" w14:textId="77777777" w:rsidR="00FC6DC4" w:rsidRDefault="00000000">
            <w:pPr>
              <w:spacing w:after="0"/>
              <w:jc w:val="center"/>
            </w:pPr>
            <w:r>
              <w:rPr>
                <w:rFonts w:ascii="Aptos" w:hAnsi="Aptos" w:cs="Aptos"/>
                <w:color w:val="222222"/>
                <w:sz w:val="19"/>
              </w:rPr>
              <w:t>Observability Hub</w:t>
            </w:r>
          </w:p>
        </w:tc>
        <w:tc>
          <w:tcPr>
            <w:tcW w:w="3528" w:type="dxa"/>
            <w:tcMar>
              <w:top w:w="90" w:type="dxa"/>
              <w:left w:w="110" w:type="dxa"/>
              <w:bottom w:w="90" w:type="dxa"/>
              <w:right w:w="110" w:type="dxa"/>
            </w:tcMar>
            <w:vAlign w:val="center"/>
          </w:tcPr>
          <w:p w14:paraId="5C1D5BE8" w14:textId="77777777" w:rsidR="00FC6DC4" w:rsidRDefault="00000000">
            <w:pPr>
              <w:spacing w:after="0"/>
            </w:pPr>
            <w:r>
              <w:rPr>
                <w:rFonts w:ascii="Aptos" w:hAnsi="Aptos" w:cs="Aptos"/>
                <w:color w:val="222222"/>
                <w:sz w:val="19"/>
              </w:rPr>
              <w:t>Centralized logging, traces, health dashboards, and alert routing.</w:t>
            </w:r>
          </w:p>
        </w:tc>
        <w:tc>
          <w:tcPr>
            <w:tcW w:w="1440" w:type="dxa"/>
            <w:tcMar>
              <w:top w:w="90" w:type="dxa"/>
              <w:left w:w="110" w:type="dxa"/>
              <w:bottom w:w="90" w:type="dxa"/>
              <w:right w:w="110" w:type="dxa"/>
            </w:tcMar>
            <w:vAlign w:val="center"/>
          </w:tcPr>
          <w:p w14:paraId="6D5BA83F" w14:textId="77777777" w:rsidR="00FC6DC4" w:rsidRDefault="00000000">
            <w:pPr>
              <w:spacing w:after="0"/>
              <w:jc w:val="center"/>
            </w:pPr>
            <w:r>
              <w:rPr>
                <w:rFonts w:ascii="Aptos" w:hAnsi="Aptos" w:cs="Aptos"/>
                <w:color w:val="222222"/>
                <w:sz w:val="19"/>
              </w:rPr>
              <w:t>SRE</w:t>
            </w:r>
          </w:p>
        </w:tc>
        <w:tc>
          <w:tcPr>
            <w:tcW w:w="2520" w:type="dxa"/>
            <w:tcMar>
              <w:top w:w="90" w:type="dxa"/>
              <w:left w:w="110" w:type="dxa"/>
              <w:bottom w:w="90" w:type="dxa"/>
              <w:right w:w="110" w:type="dxa"/>
            </w:tcMar>
            <w:vAlign w:val="center"/>
          </w:tcPr>
          <w:p w14:paraId="70527856" w14:textId="77777777" w:rsidR="00FC6DC4" w:rsidRDefault="00000000">
            <w:pPr>
              <w:spacing w:after="0"/>
            </w:pPr>
            <w:r>
              <w:rPr>
                <w:rFonts w:ascii="Aptos" w:hAnsi="Aptos" w:cs="Aptos"/>
                <w:color w:val="222222"/>
                <w:sz w:val="19"/>
              </w:rPr>
              <w:t>Alert noise is reviewed at the end of each release cycle.</w:t>
            </w:r>
          </w:p>
        </w:tc>
      </w:tr>
    </w:tbl>
    <w:p w14:paraId="666757F8" w14:textId="77777777" w:rsidR="00FC6DC4" w:rsidRDefault="00FC6DC4">
      <w:pPr>
        <w:spacing w:after="40"/>
      </w:pPr>
    </w:p>
    <w:p w14:paraId="25A6B8C9" w14:textId="77777777" w:rsidR="00FC6DC4" w:rsidRDefault="00000000">
      <w:pPr>
        <w:keepNext/>
        <w:spacing w:before="200" w:after="80"/>
      </w:pPr>
      <w:r>
        <w:rPr>
          <w:rFonts w:ascii="Aptos" w:hAnsi="Aptos" w:cs="Aptos"/>
          <w:b/>
          <w:color w:val="1B4D72"/>
          <w:sz w:val="30"/>
        </w:rPr>
        <w:t>3. Standard engineering workflow</w:t>
      </w:r>
    </w:p>
    <w:p w14:paraId="080BBBE2" w14:textId="77777777" w:rsidR="00FC6DC4" w:rsidRDefault="00000000">
      <w:pPr>
        <w:spacing w:after="80" w:line="269" w:lineRule="auto"/>
      </w:pPr>
      <w:r>
        <w:rPr>
          <w:rFonts w:ascii="Aptos" w:hAnsi="Aptos" w:cs="Aptos"/>
          <w:color w:val="222222"/>
          <w:sz w:val="20"/>
        </w:rPr>
        <w:t>Engineering work moves through a predictable path so cross-functional teams can rely on release timing and operational readiness. New changes enter the backlog through approved product intake, are developed in feature branches, validated through automated and environment checks, and then promoted using ring-based deployment rules.</w:t>
      </w:r>
    </w:p>
    <w:p w14:paraId="45337DCE" w14:textId="77777777" w:rsidR="00FC6DC4" w:rsidRDefault="00000000">
      <w:pPr>
        <w:pStyle w:val="ListBullet"/>
        <w:spacing w:after="40" w:line="259" w:lineRule="auto"/>
        <w:ind w:left="317"/>
      </w:pPr>
      <w:r>
        <w:rPr>
          <w:rFonts w:ascii="Aptos" w:hAnsi="Aptos" w:cs="Aptos"/>
          <w:color w:val="222222"/>
          <w:sz w:val="20"/>
        </w:rPr>
        <w:t>All production-impacting changes require a linked work item, code review, test evidence, and rollback notes.</w:t>
      </w:r>
    </w:p>
    <w:p w14:paraId="636E2438" w14:textId="77777777" w:rsidR="00FC6DC4" w:rsidRDefault="00000000">
      <w:pPr>
        <w:pStyle w:val="ListBullet"/>
        <w:spacing w:after="40" w:line="259" w:lineRule="auto"/>
        <w:ind w:left="317"/>
      </w:pPr>
      <w:r>
        <w:rPr>
          <w:rFonts w:ascii="Aptos" w:hAnsi="Aptos" w:cs="Aptos"/>
          <w:color w:val="222222"/>
          <w:sz w:val="20"/>
        </w:rPr>
        <w:t>Schema changes must include a compatibility statement and a migration sequencing plan.</w:t>
      </w:r>
    </w:p>
    <w:p w14:paraId="13707720" w14:textId="77777777" w:rsidR="00FC6DC4" w:rsidRDefault="00000000">
      <w:pPr>
        <w:pStyle w:val="ListBullet"/>
        <w:spacing w:after="40" w:line="259" w:lineRule="auto"/>
        <w:ind w:left="317"/>
      </w:pPr>
      <w:r>
        <w:rPr>
          <w:rFonts w:ascii="Aptos" w:hAnsi="Aptos" w:cs="Aptos"/>
          <w:color w:val="222222"/>
          <w:sz w:val="20"/>
        </w:rPr>
        <w:t>Feature flags are preferred when operational risk is non-trivial or customer workflow impact is hard to predict.</w:t>
      </w:r>
    </w:p>
    <w:p w14:paraId="5C96C6FD" w14:textId="77777777" w:rsidR="00FC6DC4" w:rsidRDefault="00000000">
      <w:pPr>
        <w:pStyle w:val="ListBullet"/>
        <w:spacing w:after="40" w:line="259" w:lineRule="auto"/>
        <w:ind w:left="317"/>
      </w:pPr>
      <w:r>
        <w:rPr>
          <w:rFonts w:ascii="Aptos" w:hAnsi="Aptos" w:cs="Aptos"/>
          <w:color w:val="222222"/>
          <w:sz w:val="20"/>
        </w:rPr>
        <w:t>Any change affecting Edge Gateway or Device Agent behavior must define supported firmware, OS, and hardware assumptions.</w:t>
      </w:r>
    </w:p>
    <w:tbl>
      <w:tblPr>
        <w:tblW w:w="0" w:type="auto"/>
        <w:jc w:val="center"/>
        <w:tblLook w:val="04A0" w:firstRow="1" w:lastRow="0" w:firstColumn="1" w:lastColumn="0" w:noHBand="0" w:noVBand="1"/>
      </w:tblPr>
      <w:tblGrid>
        <w:gridCol w:w="9936"/>
      </w:tblGrid>
      <w:tr w:rsidR="00FC6DC4" w14:paraId="393710FC" w14:textId="77777777">
        <w:trPr>
          <w:jc w:val="center"/>
        </w:trPr>
        <w:tc>
          <w:tcPr>
            <w:tcW w:w="9936" w:type="dxa"/>
            <w:shd w:val="clear" w:color="auto" w:fill="EFF5F9"/>
            <w:tcMar>
              <w:top w:w="110" w:type="dxa"/>
              <w:left w:w="140" w:type="dxa"/>
              <w:bottom w:w="110" w:type="dxa"/>
              <w:right w:w="140" w:type="dxa"/>
            </w:tcMar>
          </w:tcPr>
          <w:p w14:paraId="1F5CB2E0" w14:textId="77777777" w:rsidR="00FC6DC4" w:rsidRDefault="00000000">
            <w:pPr>
              <w:spacing w:after="40"/>
            </w:pPr>
            <w:r>
              <w:rPr>
                <w:rFonts w:ascii="Aptos" w:hAnsi="Aptos" w:cs="Aptos"/>
                <w:b/>
                <w:color w:val="1B4D72"/>
                <w:sz w:val="21"/>
              </w:rPr>
              <w:t>Release principle</w:t>
            </w:r>
          </w:p>
          <w:p w14:paraId="4247027B" w14:textId="77777777" w:rsidR="00FC6DC4" w:rsidRDefault="00000000">
            <w:pPr>
              <w:spacing w:after="0" w:line="259" w:lineRule="auto"/>
            </w:pPr>
            <w:r>
              <w:rPr>
                <w:rFonts w:ascii="Aptos" w:hAnsi="Aptos" w:cs="Aptos"/>
                <w:color w:val="222222"/>
                <w:sz w:val="20"/>
              </w:rPr>
              <w:t>OrchestrAI does not treat successful deployment as proof of success. A release is considered complete only after health checks, error-budget review, and support-readiness confirmation have been completed for the target ring.</w:t>
            </w:r>
          </w:p>
        </w:tc>
      </w:tr>
    </w:tbl>
    <w:p w14:paraId="10936765" w14:textId="77777777" w:rsidR="00FC6DC4" w:rsidRDefault="00FC6DC4">
      <w:pPr>
        <w:spacing w:after="20"/>
      </w:pPr>
    </w:p>
    <w:p w14:paraId="01F24AFD" w14:textId="77777777" w:rsidR="00FC6DC4" w:rsidRDefault="00000000">
      <w:pPr>
        <w:keepNext/>
        <w:spacing w:before="200" w:after="80"/>
      </w:pPr>
      <w:r>
        <w:rPr>
          <w:rFonts w:ascii="Aptos" w:hAnsi="Aptos" w:cs="Aptos"/>
          <w:b/>
          <w:color w:val="1B4D72"/>
          <w:sz w:val="30"/>
        </w:rPr>
        <w:t>4. Release and incident coordination matrix</w:t>
      </w:r>
    </w:p>
    <w:tbl>
      <w:tblPr>
        <w:tblW w:w="0" w:type="auto"/>
        <w:jc w:val="center"/>
        <w:tblLayout w:type="fixed"/>
        <w:tblLook w:val="04A0" w:firstRow="1" w:lastRow="0" w:firstColumn="1" w:lastColumn="0" w:noHBand="0" w:noVBand="1"/>
      </w:tblPr>
      <w:tblGrid>
        <w:gridCol w:w="1944"/>
        <w:gridCol w:w="3672"/>
        <w:gridCol w:w="1368"/>
        <w:gridCol w:w="2376"/>
      </w:tblGrid>
      <w:tr w:rsidR="00FC6DC4" w14:paraId="137D16FE" w14:textId="77777777">
        <w:trPr>
          <w:jc w:val="center"/>
        </w:trPr>
        <w:tc>
          <w:tcPr>
            <w:tcW w:w="1944" w:type="dxa"/>
            <w:shd w:val="clear" w:color="auto" w:fill="D9E8F2"/>
            <w:tcMar>
              <w:top w:w="110" w:type="dxa"/>
              <w:left w:w="120" w:type="dxa"/>
              <w:bottom w:w="110" w:type="dxa"/>
              <w:right w:w="120" w:type="dxa"/>
            </w:tcMar>
            <w:vAlign w:val="center"/>
          </w:tcPr>
          <w:p w14:paraId="47336F5A" w14:textId="77777777" w:rsidR="00FC6DC4" w:rsidRDefault="00000000">
            <w:pPr>
              <w:jc w:val="center"/>
            </w:pPr>
            <w:r>
              <w:rPr>
                <w:rFonts w:ascii="Aptos" w:hAnsi="Aptos" w:cs="Aptos"/>
                <w:b/>
                <w:color w:val="1B4D72"/>
                <w:sz w:val="20"/>
              </w:rPr>
              <w:t>Scenario</w:t>
            </w:r>
          </w:p>
        </w:tc>
        <w:tc>
          <w:tcPr>
            <w:tcW w:w="3672" w:type="dxa"/>
            <w:shd w:val="clear" w:color="auto" w:fill="D9E8F2"/>
            <w:tcMar>
              <w:top w:w="110" w:type="dxa"/>
              <w:left w:w="120" w:type="dxa"/>
              <w:bottom w:w="110" w:type="dxa"/>
              <w:right w:w="120" w:type="dxa"/>
            </w:tcMar>
            <w:vAlign w:val="center"/>
          </w:tcPr>
          <w:p w14:paraId="1B43A651" w14:textId="77777777" w:rsidR="00FC6DC4" w:rsidRDefault="00000000">
            <w:pPr>
              <w:jc w:val="center"/>
            </w:pPr>
            <w:r>
              <w:rPr>
                <w:rFonts w:ascii="Aptos" w:hAnsi="Aptos" w:cs="Aptos"/>
                <w:b/>
                <w:color w:val="1B4D72"/>
                <w:sz w:val="20"/>
              </w:rPr>
              <w:t>Required engineering action</w:t>
            </w:r>
          </w:p>
        </w:tc>
        <w:tc>
          <w:tcPr>
            <w:tcW w:w="1368" w:type="dxa"/>
            <w:shd w:val="clear" w:color="auto" w:fill="D9E8F2"/>
            <w:tcMar>
              <w:top w:w="110" w:type="dxa"/>
              <w:left w:w="120" w:type="dxa"/>
              <w:bottom w:w="110" w:type="dxa"/>
              <w:right w:w="120" w:type="dxa"/>
            </w:tcMar>
            <w:vAlign w:val="center"/>
          </w:tcPr>
          <w:p w14:paraId="0D503B02" w14:textId="77777777" w:rsidR="00FC6DC4" w:rsidRDefault="00000000">
            <w:pPr>
              <w:jc w:val="center"/>
            </w:pPr>
            <w:r>
              <w:rPr>
                <w:rFonts w:ascii="Aptos" w:hAnsi="Aptos" w:cs="Aptos"/>
                <w:b/>
                <w:color w:val="1B4D72"/>
                <w:sz w:val="20"/>
              </w:rPr>
              <w:t>Target response</w:t>
            </w:r>
          </w:p>
        </w:tc>
        <w:tc>
          <w:tcPr>
            <w:tcW w:w="2376" w:type="dxa"/>
            <w:shd w:val="clear" w:color="auto" w:fill="D9E8F2"/>
            <w:tcMar>
              <w:top w:w="110" w:type="dxa"/>
              <w:left w:w="120" w:type="dxa"/>
              <w:bottom w:w="110" w:type="dxa"/>
              <w:right w:w="120" w:type="dxa"/>
            </w:tcMar>
            <w:vAlign w:val="center"/>
          </w:tcPr>
          <w:p w14:paraId="59F47D70" w14:textId="77777777" w:rsidR="00FC6DC4" w:rsidRDefault="00000000">
            <w:pPr>
              <w:jc w:val="center"/>
            </w:pPr>
            <w:r>
              <w:rPr>
                <w:rFonts w:ascii="Aptos" w:hAnsi="Aptos" w:cs="Aptos"/>
                <w:b/>
                <w:color w:val="1B4D72"/>
                <w:sz w:val="20"/>
              </w:rPr>
              <w:t>Cross-functional coordination</w:t>
            </w:r>
          </w:p>
        </w:tc>
      </w:tr>
      <w:tr w:rsidR="00FC6DC4" w14:paraId="1E76C1AC" w14:textId="77777777">
        <w:trPr>
          <w:jc w:val="center"/>
        </w:trPr>
        <w:tc>
          <w:tcPr>
            <w:tcW w:w="1944" w:type="dxa"/>
            <w:tcMar>
              <w:top w:w="90" w:type="dxa"/>
              <w:left w:w="110" w:type="dxa"/>
              <w:bottom w:w="90" w:type="dxa"/>
              <w:right w:w="110" w:type="dxa"/>
            </w:tcMar>
            <w:vAlign w:val="center"/>
          </w:tcPr>
          <w:p w14:paraId="40E7D7EE" w14:textId="77777777" w:rsidR="00FC6DC4" w:rsidRDefault="00000000">
            <w:pPr>
              <w:spacing w:after="0"/>
              <w:jc w:val="center"/>
            </w:pPr>
            <w:r>
              <w:rPr>
                <w:rFonts w:ascii="Aptos" w:hAnsi="Aptos" w:cs="Aptos"/>
                <w:color w:val="222222"/>
                <w:sz w:val="19"/>
              </w:rPr>
              <w:t>Planned cloud release</w:t>
            </w:r>
          </w:p>
        </w:tc>
        <w:tc>
          <w:tcPr>
            <w:tcW w:w="3672" w:type="dxa"/>
            <w:tcMar>
              <w:top w:w="90" w:type="dxa"/>
              <w:left w:w="110" w:type="dxa"/>
              <w:bottom w:w="90" w:type="dxa"/>
              <w:right w:w="110" w:type="dxa"/>
            </w:tcMar>
            <w:vAlign w:val="center"/>
          </w:tcPr>
          <w:p w14:paraId="19538E25" w14:textId="77777777" w:rsidR="00FC6DC4" w:rsidRDefault="00000000">
            <w:pPr>
              <w:spacing w:after="0"/>
            </w:pPr>
            <w:r>
              <w:rPr>
                <w:rFonts w:ascii="Aptos" w:hAnsi="Aptos" w:cs="Aptos"/>
                <w:color w:val="222222"/>
                <w:sz w:val="19"/>
              </w:rPr>
              <w:t>Publish release notes, validate dashboards, monitor ring progression, and confirm rollback checkpoint.</w:t>
            </w:r>
          </w:p>
        </w:tc>
        <w:tc>
          <w:tcPr>
            <w:tcW w:w="1368" w:type="dxa"/>
            <w:tcMar>
              <w:top w:w="90" w:type="dxa"/>
              <w:left w:w="110" w:type="dxa"/>
              <w:bottom w:w="90" w:type="dxa"/>
              <w:right w:w="110" w:type="dxa"/>
            </w:tcMar>
            <w:vAlign w:val="center"/>
          </w:tcPr>
          <w:p w14:paraId="3580DC43" w14:textId="77777777" w:rsidR="00FC6DC4" w:rsidRDefault="00000000">
            <w:pPr>
              <w:spacing w:after="0"/>
              <w:jc w:val="center"/>
            </w:pPr>
            <w:r>
              <w:rPr>
                <w:rFonts w:ascii="Aptos" w:hAnsi="Aptos" w:cs="Aptos"/>
                <w:color w:val="222222"/>
                <w:sz w:val="19"/>
              </w:rPr>
              <w:t>30 min pre-check / 2 hr hypercare</w:t>
            </w:r>
          </w:p>
        </w:tc>
        <w:tc>
          <w:tcPr>
            <w:tcW w:w="2376" w:type="dxa"/>
            <w:tcMar>
              <w:top w:w="90" w:type="dxa"/>
              <w:left w:w="110" w:type="dxa"/>
              <w:bottom w:w="90" w:type="dxa"/>
              <w:right w:w="110" w:type="dxa"/>
            </w:tcMar>
            <w:vAlign w:val="center"/>
          </w:tcPr>
          <w:p w14:paraId="2B8EC05F" w14:textId="77777777" w:rsidR="00FC6DC4" w:rsidRDefault="00000000">
            <w:pPr>
              <w:spacing w:after="0"/>
            </w:pPr>
            <w:r>
              <w:rPr>
                <w:rFonts w:ascii="Aptos" w:hAnsi="Aptos" w:cs="Aptos"/>
                <w:color w:val="222222"/>
                <w:sz w:val="19"/>
              </w:rPr>
              <w:t>Notify Product, Support, and SRE.</w:t>
            </w:r>
          </w:p>
        </w:tc>
      </w:tr>
      <w:tr w:rsidR="00FC6DC4" w14:paraId="53B65C25" w14:textId="77777777">
        <w:trPr>
          <w:jc w:val="center"/>
        </w:trPr>
        <w:tc>
          <w:tcPr>
            <w:tcW w:w="1944" w:type="dxa"/>
            <w:tcMar>
              <w:top w:w="90" w:type="dxa"/>
              <w:left w:w="110" w:type="dxa"/>
              <w:bottom w:w="90" w:type="dxa"/>
              <w:right w:w="110" w:type="dxa"/>
            </w:tcMar>
            <w:vAlign w:val="center"/>
          </w:tcPr>
          <w:p w14:paraId="4CF0B010" w14:textId="77777777" w:rsidR="00FC6DC4" w:rsidRDefault="00000000">
            <w:pPr>
              <w:spacing w:after="0"/>
              <w:jc w:val="center"/>
            </w:pPr>
            <w:r>
              <w:rPr>
                <w:rFonts w:ascii="Aptos" w:hAnsi="Aptos" w:cs="Aptos"/>
                <w:color w:val="222222"/>
                <w:sz w:val="19"/>
              </w:rPr>
              <w:lastRenderedPageBreak/>
              <w:t>Edge package rollout</w:t>
            </w:r>
          </w:p>
        </w:tc>
        <w:tc>
          <w:tcPr>
            <w:tcW w:w="3672" w:type="dxa"/>
            <w:tcMar>
              <w:top w:w="90" w:type="dxa"/>
              <w:left w:w="110" w:type="dxa"/>
              <w:bottom w:w="90" w:type="dxa"/>
              <w:right w:w="110" w:type="dxa"/>
            </w:tcMar>
            <w:vAlign w:val="center"/>
          </w:tcPr>
          <w:p w14:paraId="489F21B7" w14:textId="77777777" w:rsidR="00FC6DC4" w:rsidRDefault="00000000">
            <w:pPr>
              <w:spacing w:after="0"/>
            </w:pPr>
            <w:r>
              <w:rPr>
                <w:rFonts w:ascii="Aptos" w:hAnsi="Aptos" w:cs="Aptos"/>
                <w:color w:val="222222"/>
                <w:sz w:val="19"/>
              </w:rPr>
              <w:t>Verify checksum, site eligibility, and package rollback bundle before promotion.</w:t>
            </w:r>
          </w:p>
        </w:tc>
        <w:tc>
          <w:tcPr>
            <w:tcW w:w="1368" w:type="dxa"/>
            <w:tcMar>
              <w:top w:w="90" w:type="dxa"/>
              <w:left w:w="110" w:type="dxa"/>
              <w:bottom w:w="90" w:type="dxa"/>
              <w:right w:w="110" w:type="dxa"/>
            </w:tcMar>
            <w:vAlign w:val="center"/>
          </w:tcPr>
          <w:p w14:paraId="1BDD4366" w14:textId="77777777" w:rsidR="00FC6DC4" w:rsidRDefault="00000000">
            <w:pPr>
              <w:spacing w:after="0"/>
              <w:jc w:val="center"/>
            </w:pPr>
            <w:r>
              <w:rPr>
                <w:rFonts w:ascii="Aptos" w:hAnsi="Aptos" w:cs="Aptos"/>
                <w:color w:val="222222"/>
                <w:sz w:val="19"/>
              </w:rPr>
              <w:t>Same-day readiness review</w:t>
            </w:r>
          </w:p>
        </w:tc>
        <w:tc>
          <w:tcPr>
            <w:tcW w:w="2376" w:type="dxa"/>
            <w:tcMar>
              <w:top w:w="90" w:type="dxa"/>
              <w:left w:w="110" w:type="dxa"/>
              <w:bottom w:w="90" w:type="dxa"/>
              <w:right w:w="110" w:type="dxa"/>
            </w:tcMar>
            <w:vAlign w:val="center"/>
          </w:tcPr>
          <w:p w14:paraId="126F5256" w14:textId="77777777" w:rsidR="00FC6DC4" w:rsidRDefault="00000000">
            <w:pPr>
              <w:spacing w:after="0"/>
            </w:pPr>
            <w:r>
              <w:rPr>
                <w:rFonts w:ascii="Aptos" w:hAnsi="Aptos" w:cs="Aptos"/>
                <w:color w:val="222222"/>
                <w:sz w:val="19"/>
              </w:rPr>
              <w:t>Coordinate with Logistics for warehouse maintenance windows.</w:t>
            </w:r>
          </w:p>
        </w:tc>
      </w:tr>
      <w:tr w:rsidR="00FC6DC4" w14:paraId="00ECAE10" w14:textId="77777777">
        <w:trPr>
          <w:jc w:val="center"/>
        </w:trPr>
        <w:tc>
          <w:tcPr>
            <w:tcW w:w="1944" w:type="dxa"/>
            <w:tcMar>
              <w:top w:w="90" w:type="dxa"/>
              <w:left w:w="110" w:type="dxa"/>
              <w:bottom w:w="90" w:type="dxa"/>
              <w:right w:w="110" w:type="dxa"/>
            </w:tcMar>
            <w:vAlign w:val="center"/>
          </w:tcPr>
          <w:p w14:paraId="15F9EC68" w14:textId="77777777" w:rsidR="00FC6DC4" w:rsidRDefault="00000000">
            <w:pPr>
              <w:spacing w:after="0"/>
              <w:jc w:val="center"/>
            </w:pPr>
            <w:r>
              <w:rPr>
                <w:rFonts w:ascii="Aptos" w:hAnsi="Aptos" w:cs="Aptos"/>
                <w:color w:val="222222"/>
                <w:sz w:val="19"/>
              </w:rPr>
              <w:t>SEV-1 incident</w:t>
            </w:r>
          </w:p>
        </w:tc>
        <w:tc>
          <w:tcPr>
            <w:tcW w:w="3672" w:type="dxa"/>
            <w:tcMar>
              <w:top w:w="90" w:type="dxa"/>
              <w:left w:w="110" w:type="dxa"/>
              <w:bottom w:w="90" w:type="dxa"/>
              <w:right w:w="110" w:type="dxa"/>
            </w:tcMar>
            <w:vAlign w:val="center"/>
          </w:tcPr>
          <w:p w14:paraId="2FEF1A03" w14:textId="77777777" w:rsidR="00FC6DC4" w:rsidRDefault="00000000">
            <w:pPr>
              <w:spacing w:after="0"/>
            </w:pPr>
            <w:r>
              <w:rPr>
                <w:rFonts w:ascii="Aptos" w:hAnsi="Aptos" w:cs="Aptos"/>
                <w:color w:val="222222"/>
                <w:sz w:val="19"/>
              </w:rPr>
              <w:t>Assign incident commander, freeze unrelated deploys, and produce a mitigation path.</w:t>
            </w:r>
          </w:p>
        </w:tc>
        <w:tc>
          <w:tcPr>
            <w:tcW w:w="1368" w:type="dxa"/>
            <w:tcMar>
              <w:top w:w="90" w:type="dxa"/>
              <w:left w:w="110" w:type="dxa"/>
              <w:bottom w:w="90" w:type="dxa"/>
              <w:right w:w="110" w:type="dxa"/>
            </w:tcMar>
            <w:vAlign w:val="center"/>
          </w:tcPr>
          <w:p w14:paraId="02C5C2D4" w14:textId="77777777" w:rsidR="00FC6DC4" w:rsidRDefault="00000000">
            <w:pPr>
              <w:spacing w:after="0"/>
              <w:jc w:val="center"/>
            </w:pPr>
            <w:r>
              <w:rPr>
                <w:rFonts w:ascii="Aptos" w:hAnsi="Aptos" w:cs="Aptos"/>
                <w:color w:val="222222"/>
                <w:sz w:val="19"/>
              </w:rPr>
              <w:t>Within 10 min</w:t>
            </w:r>
          </w:p>
        </w:tc>
        <w:tc>
          <w:tcPr>
            <w:tcW w:w="2376" w:type="dxa"/>
            <w:tcMar>
              <w:top w:w="90" w:type="dxa"/>
              <w:left w:w="110" w:type="dxa"/>
              <w:bottom w:w="90" w:type="dxa"/>
              <w:right w:w="110" w:type="dxa"/>
            </w:tcMar>
            <w:vAlign w:val="center"/>
          </w:tcPr>
          <w:p w14:paraId="77CFFB68" w14:textId="77777777" w:rsidR="00FC6DC4" w:rsidRDefault="00000000">
            <w:pPr>
              <w:spacing w:after="0"/>
            </w:pPr>
            <w:r>
              <w:rPr>
                <w:rFonts w:ascii="Aptos" w:hAnsi="Aptos" w:cs="Aptos"/>
                <w:color w:val="222222"/>
                <w:sz w:val="19"/>
              </w:rPr>
              <w:t>Support leads customer comms; Security joins if compromise is suspected.</w:t>
            </w:r>
          </w:p>
        </w:tc>
      </w:tr>
      <w:tr w:rsidR="00FC6DC4" w14:paraId="005CBD7F" w14:textId="77777777">
        <w:trPr>
          <w:jc w:val="center"/>
        </w:trPr>
        <w:tc>
          <w:tcPr>
            <w:tcW w:w="1944" w:type="dxa"/>
            <w:tcMar>
              <w:top w:w="90" w:type="dxa"/>
              <w:left w:w="110" w:type="dxa"/>
              <w:bottom w:w="90" w:type="dxa"/>
              <w:right w:w="110" w:type="dxa"/>
            </w:tcMar>
            <w:vAlign w:val="center"/>
          </w:tcPr>
          <w:p w14:paraId="12DE47CC" w14:textId="77777777" w:rsidR="00FC6DC4" w:rsidRDefault="00000000">
            <w:pPr>
              <w:spacing w:after="0"/>
              <w:jc w:val="center"/>
            </w:pPr>
            <w:r>
              <w:rPr>
                <w:rFonts w:ascii="Aptos" w:hAnsi="Aptos" w:cs="Aptos"/>
                <w:color w:val="222222"/>
                <w:sz w:val="19"/>
              </w:rPr>
              <w:t>Data integrity risk</w:t>
            </w:r>
          </w:p>
        </w:tc>
        <w:tc>
          <w:tcPr>
            <w:tcW w:w="3672" w:type="dxa"/>
            <w:tcMar>
              <w:top w:w="90" w:type="dxa"/>
              <w:left w:w="110" w:type="dxa"/>
              <w:bottom w:w="90" w:type="dxa"/>
              <w:right w:w="110" w:type="dxa"/>
            </w:tcMar>
            <w:vAlign w:val="center"/>
          </w:tcPr>
          <w:p w14:paraId="7475287C" w14:textId="77777777" w:rsidR="00FC6DC4" w:rsidRDefault="00000000">
            <w:pPr>
              <w:spacing w:after="0"/>
            </w:pPr>
            <w:r>
              <w:rPr>
                <w:rFonts w:ascii="Aptos" w:hAnsi="Aptos" w:cs="Aptos"/>
                <w:color w:val="222222"/>
                <w:sz w:val="19"/>
              </w:rPr>
              <w:t>Pause downstream automation, preserve logs, and run validation queries.</w:t>
            </w:r>
          </w:p>
        </w:tc>
        <w:tc>
          <w:tcPr>
            <w:tcW w:w="1368" w:type="dxa"/>
            <w:tcMar>
              <w:top w:w="90" w:type="dxa"/>
              <w:left w:w="110" w:type="dxa"/>
              <w:bottom w:w="90" w:type="dxa"/>
              <w:right w:w="110" w:type="dxa"/>
            </w:tcMar>
            <w:vAlign w:val="center"/>
          </w:tcPr>
          <w:p w14:paraId="4D9F1E69" w14:textId="77777777" w:rsidR="00FC6DC4" w:rsidRDefault="00000000">
            <w:pPr>
              <w:spacing w:after="0"/>
              <w:jc w:val="center"/>
            </w:pPr>
            <w:r>
              <w:rPr>
                <w:rFonts w:ascii="Aptos" w:hAnsi="Aptos" w:cs="Aptos"/>
                <w:color w:val="222222"/>
                <w:sz w:val="19"/>
              </w:rPr>
              <w:t>Immediate</w:t>
            </w:r>
          </w:p>
        </w:tc>
        <w:tc>
          <w:tcPr>
            <w:tcW w:w="2376" w:type="dxa"/>
            <w:tcMar>
              <w:top w:w="90" w:type="dxa"/>
              <w:left w:w="110" w:type="dxa"/>
              <w:bottom w:w="90" w:type="dxa"/>
              <w:right w:w="110" w:type="dxa"/>
            </w:tcMar>
            <w:vAlign w:val="center"/>
          </w:tcPr>
          <w:p w14:paraId="6C5E7FE1" w14:textId="77777777" w:rsidR="00FC6DC4" w:rsidRDefault="00000000">
            <w:pPr>
              <w:spacing w:after="0"/>
            </w:pPr>
            <w:r>
              <w:rPr>
                <w:rFonts w:ascii="Aptos" w:hAnsi="Aptos" w:cs="Aptos"/>
                <w:color w:val="222222"/>
                <w:sz w:val="19"/>
              </w:rPr>
              <w:t>Finance or Operations may require reportable follow-up.</w:t>
            </w:r>
          </w:p>
        </w:tc>
      </w:tr>
    </w:tbl>
    <w:p w14:paraId="00DE740D" w14:textId="77777777" w:rsidR="00FC6DC4" w:rsidRDefault="00FC6DC4">
      <w:pPr>
        <w:spacing w:after="40"/>
      </w:pPr>
    </w:p>
    <w:p w14:paraId="7116D211" w14:textId="77777777" w:rsidR="00FC6DC4" w:rsidRDefault="00000000">
      <w:pPr>
        <w:keepNext/>
        <w:spacing w:before="200" w:after="80"/>
      </w:pPr>
      <w:r>
        <w:rPr>
          <w:rFonts w:ascii="Aptos" w:hAnsi="Aptos" w:cs="Aptos"/>
          <w:b/>
          <w:color w:val="1B4D72"/>
          <w:sz w:val="30"/>
        </w:rPr>
        <w:t>5. Frequently asked questions</w:t>
      </w:r>
    </w:p>
    <w:p w14:paraId="1385B8FF" w14:textId="77777777" w:rsidR="00FC6DC4" w:rsidRDefault="00000000">
      <w:pPr>
        <w:keepNext/>
        <w:spacing w:before="40" w:after="20"/>
      </w:pPr>
      <w:r>
        <w:rPr>
          <w:rFonts w:ascii="Aptos" w:hAnsi="Aptos" w:cs="Aptos"/>
          <w:b/>
          <w:color w:val="1B4D72"/>
          <w:sz w:val="21"/>
        </w:rPr>
        <w:t>Q. Which engineering teams own the OrchestrAI platform?</w:t>
      </w:r>
    </w:p>
    <w:p w14:paraId="0C16CD35" w14:textId="77777777" w:rsidR="00FC6DC4" w:rsidRDefault="00000000">
      <w:pPr>
        <w:spacing w:after="80" w:line="264" w:lineRule="auto"/>
      </w:pPr>
      <w:r>
        <w:rPr>
          <w:rFonts w:ascii="Aptos" w:hAnsi="Aptos" w:cs="Aptos"/>
          <w:color w:val="222222"/>
          <w:sz w:val="20"/>
        </w:rPr>
        <w:t>Platform Services owns the cloud control plane, APIs, orchestration logic, and event processing services. Edge Systems owns site-facing packages such as the Edge Gateway and Device Agent. Site Reliability partners on observability, production readiness, and on-call execution, but business application ownership remains with the engineering domain teams.</w:t>
      </w:r>
    </w:p>
    <w:p w14:paraId="61CB1111" w14:textId="77777777" w:rsidR="00FC6DC4" w:rsidRDefault="00000000">
      <w:pPr>
        <w:keepNext/>
        <w:spacing w:before="40" w:after="20"/>
      </w:pPr>
      <w:r>
        <w:rPr>
          <w:rFonts w:ascii="Aptos" w:hAnsi="Aptos" w:cs="Aptos"/>
          <w:b/>
          <w:color w:val="1B4D72"/>
          <w:sz w:val="21"/>
        </w:rPr>
        <w:t>Q. When is a change considered production ready?</w:t>
      </w:r>
    </w:p>
    <w:p w14:paraId="465A9676" w14:textId="77777777" w:rsidR="00FC6DC4" w:rsidRDefault="00000000">
      <w:pPr>
        <w:spacing w:after="80" w:line="264" w:lineRule="auto"/>
      </w:pPr>
      <w:r>
        <w:rPr>
          <w:rFonts w:ascii="Aptos" w:hAnsi="Aptos" w:cs="Aptos"/>
          <w:color w:val="222222"/>
          <w:sz w:val="20"/>
        </w:rPr>
        <w:t>A change is production ready when it has passed automated tests, relevant integration checks, environment validation, peer review, monitoring verification, rollback preparation, and release communication requirements. For warehouse-facing changes, support-readiness and site-impact review are also required before promotion.</w:t>
      </w:r>
    </w:p>
    <w:p w14:paraId="1C4B0C2E" w14:textId="77777777" w:rsidR="00FC6DC4" w:rsidRDefault="00000000">
      <w:pPr>
        <w:keepNext/>
        <w:spacing w:before="40" w:after="20"/>
      </w:pPr>
      <w:r>
        <w:rPr>
          <w:rFonts w:ascii="Aptos" w:hAnsi="Aptos" w:cs="Aptos"/>
          <w:b/>
          <w:color w:val="1B4D72"/>
          <w:sz w:val="21"/>
        </w:rPr>
        <w:t>Q. Why does Engineering use ring-based deployment?</w:t>
      </w:r>
    </w:p>
    <w:p w14:paraId="061EF5FD" w14:textId="77777777" w:rsidR="00FC6DC4" w:rsidRDefault="00000000">
      <w:pPr>
        <w:spacing w:after="80" w:line="264" w:lineRule="auto"/>
      </w:pPr>
      <w:r>
        <w:rPr>
          <w:rFonts w:ascii="Aptos" w:hAnsi="Aptos" w:cs="Aptos"/>
          <w:color w:val="222222"/>
          <w:sz w:val="20"/>
        </w:rPr>
        <w:t>Ring-based deployment reduces blast radius. Changes first reach low-risk internal environments, then a limited customer ring, and only later broader production cohorts. This allows the team to observe regressions in latency, task completion, hardware interactions, or log noise before the full fleet is affected.</w:t>
      </w:r>
    </w:p>
    <w:p w14:paraId="6CCFA401" w14:textId="77777777" w:rsidR="00FC6DC4" w:rsidRDefault="00000000">
      <w:pPr>
        <w:keepNext/>
        <w:spacing w:before="40" w:after="20"/>
      </w:pPr>
      <w:r>
        <w:rPr>
          <w:rFonts w:ascii="Aptos" w:hAnsi="Aptos" w:cs="Aptos"/>
          <w:b/>
          <w:color w:val="1B4D72"/>
          <w:sz w:val="21"/>
        </w:rPr>
        <w:t>Q. What is the difference between the Edge Gateway and the Device Agent?</w:t>
      </w:r>
    </w:p>
    <w:p w14:paraId="74D3A3EF" w14:textId="77777777" w:rsidR="00FC6DC4" w:rsidRDefault="00000000">
      <w:pPr>
        <w:spacing w:after="80" w:line="264" w:lineRule="auto"/>
      </w:pPr>
      <w:r>
        <w:rPr>
          <w:rFonts w:ascii="Aptos" w:hAnsi="Aptos" w:cs="Aptos"/>
          <w:color w:val="222222"/>
          <w:sz w:val="20"/>
        </w:rPr>
        <w:t>The Edge Gateway is a site-level coordination service that can buffer local activity and sustain limited operations during connectivity issues. The Device Agent is a lighter component installed on managed devices to report health, sync policy, and enable remote diagnostics. The gateway coordinates; the agent reports and enforces.</w:t>
      </w:r>
    </w:p>
    <w:p w14:paraId="7645057A" w14:textId="77777777" w:rsidR="00FC6DC4" w:rsidRDefault="00000000">
      <w:pPr>
        <w:keepNext/>
        <w:spacing w:before="40" w:after="20"/>
      </w:pPr>
      <w:r>
        <w:rPr>
          <w:rFonts w:ascii="Aptos" w:hAnsi="Aptos" w:cs="Aptos"/>
          <w:b/>
          <w:color w:val="1B4D72"/>
          <w:sz w:val="21"/>
        </w:rPr>
        <w:t>Q. Who approves hotfix deployment during an active incident?</w:t>
      </w:r>
    </w:p>
    <w:p w14:paraId="50F00AB0" w14:textId="77777777" w:rsidR="00FC6DC4" w:rsidRDefault="00000000">
      <w:pPr>
        <w:spacing w:after="80" w:line="264" w:lineRule="auto"/>
      </w:pPr>
      <w:r>
        <w:rPr>
          <w:rFonts w:ascii="Aptos" w:hAnsi="Aptos" w:cs="Aptos"/>
          <w:color w:val="222222"/>
          <w:sz w:val="20"/>
        </w:rPr>
        <w:t>The incident commander, the responsible engineering lead, and the assigned SRE must agree that the hotfix is the safest recovery path. If the issue affects a regulated data flow, Security or Compliance may also need to sign off before deployment proceeds.</w:t>
      </w:r>
    </w:p>
    <w:p w14:paraId="23D6D509" w14:textId="77777777" w:rsidR="00FC6DC4" w:rsidRDefault="00000000">
      <w:pPr>
        <w:keepNext/>
        <w:spacing w:before="40" w:after="20"/>
      </w:pPr>
      <w:r>
        <w:rPr>
          <w:rFonts w:ascii="Aptos" w:hAnsi="Aptos" w:cs="Aptos"/>
          <w:b/>
          <w:color w:val="1B4D72"/>
          <w:sz w:val="21"/>
        </w:rPr>
        <w:t>Q. What documentation must accompany a release?</w:t>
      </w:r>
    </w:p>
    <w:p w14:paraId="03B77E9C" w14:textId="77777777" w:rsidR="00FC6DC4" w:rsidRDefault="00000000">
      <w:pPr>
        <w:spacing w:after="80" w:line="264" w:lineRule="auto"/>
      </w:pPr>
      <w:r>
        <w:rPr>
          <w:rFonts w:ascii="Aptos" w:hAnsi="Aptos" w:cs="Aptos"/>
          <w:color w:val="222222"/>
          <w:sz w:val="20"/>
        </w:rPr>
        <w:t>Each release needs a summary of scope, impacted systems, known risks, rollback instructions, dashboard links, and customer-visible notes if behavior changes. Release notes should be written so Support and Product can use them without needing to read code-level details.</w:t>
      </w:r>
    </w:p>
    <w:p w14:paraId="3180CCF6" w14:textId="77777777" w:rsidR="00FC6DC4" w:rsidRDefault="00000000">
      <w:pPr>
        <w:keepNext/>
        <w:spacing w:before="40" w:after="20"/>
      </w:pPr>
      <w:r>
        <w:rPr>
          <w:rFonts w:ascii="Aptos" w:hAnsi="Aptos" w:cs="Aptos"/>
          <w:b/>
          <w:color w:val="1B4D72"/>
          <w:sz w:val="21"/>
        </w:rPr>
        <w:t>Q. How are backward compatibility expectations handled?</w:t>
      </w:r>
    </w:p>
    <w:p w14:paraId="3543CC3D" w14:textId="77777777" w:rsidR="00FC6DC4" w:rsidRDefault="00000000">
      <w:pPr>
        <w:spacing w:after="80" w:line="264" w:lineRule="auto"/>
      </w:pPr>
      <w:r>
        <w:rPr>
          <w:rFonts w:ascii="Aptos" w:hAnsi="Aptos" w:cs="Aptos"/>
          <w:color w:val="222222"/>
          <w:sz w:val="20"/>
        </w:rPr>
        <w:t>External APIs and edge communication contracts must preserve compatibility with the supported version window. Engineering should avoid forcing same-day customer upgrades and instead provide a deprecation path, compatibility shim, or staged migration plan.</w:t>
      </w:r>
    </w:p>
    <w:p w14:paraId="04FF15F5" w14:textId="77777777" w:rsidR="00FC6DC4" w:rsidRDefault="00000000">
      <w:pPr>
        <w:keepNext/>
        <w:spacing w:before="40" w:after="20"/>
      </w:pPr>
      <w:r>
        <w:rPr>
          <w:rFonts w:ascii="Aptos" w:hAnsi="Aptos" w:cs="Aptos"/>
          <w:b/>
          <w:color w:val="1B4D72"/>
          <w:sz w:val="21"/>
        </w:rPr>
        <w:lastRenderedPageBreak/>
        <w:t>Q. What is the rule for schema migrations?</w:t>
      </w:r>
    </w:p>
    <w:p w14:paraId="48FA0AA8" w14:textId="77777777" w:rsidR="00FC6DC4" w:rsidRDefault="00000000">
      <w:pPr>
        <w:spacing w:after="80" w:line="264" w:lineRule="auto"/>
      </w:pPr>
      <w:r>
        <w:rPr>
          <w:rFonts w:ascii="Aptos" w:hAnsi="Aptos" w:cs="Aptos"/>
          <w:color w:val="222222"/>
          <w:sz w:val="20"/>
        </w:rPr>
        <w:t>Schema changes must be forward-safe and reversible when possible. Engineering should separate schema expansion from destructive cleanup, validate migration timing, and confirm that older application versions can continue to operate during the transition window.</w:t>
      </w:r>
    </w:p>
    <w:p w14:paraId="3B77A0C7" w14:textId="77777777" w:rsidR="00FC6DC4" w:rsidRDefault="00000000">
      <w:pPr>
        <w:keepNext/>
        <w:spacing w:before="40" w:after="20"/>
      </w:pPr>
      <w:r>
        <w:rPr>
          <w:rFonts w:ascii="Aptos" w:hAnsi="Aptos" w:cs="Aptos"/>
          <w:b/>
          <w:color w:val="1B4D72"/>
          <w:sz w:val="21"/>
        </w:rPr>
        <w:t>Q. When should feature flags be used?</w:t>
      </w:r>
    </w:p>
    <w:p w14:paraId="775FD2A6" w14:textId="77777777" w:rsidR="00FC6DC4" w:rsidRDefault="00000000">
      <w:pPr>
        <w:spacing w:after="80" w:line="264" w:lineRule="auto"/>
      </w:pPr>
      <w:r>
        <w:rPr>
          <w:rFonts w:ascii="Aptos" w:hAnsi="Aptos" w:cs="Aptos"/>
          <w:color w:val="222222"/>
          <w:sz w:val="20"/>
        </w:rPr>
        <w:t>Feature flags should be used whenever a change needs gradual exposure, operational reversibility, customer-specific enablement, or rapid deactivation without a redeploy. They are especially important for workflow logic, routing rules, and new edge behaviors that may vary by site.</w:t>
      </w:r>
    </w:p>
    <w:p w14:paraId="32211AC6" w14:textId="77777777" w:rsidR="00FC6DC4" w:rsidRDefault="00000000">
      <w:pPr>
        <w:keepNext/>
        <w:spacing w:before="40" w:after="20"/>
      </w:pPr>
      <w:r>
        <w:rPr>
          <w:rFonts w:ascii="Aptos" w:hAnsi="Aptos" w:cs="Aptos"/>
          <w:b/>
          <w:color w:val="1B4D72"/>
          <w:sz w:val="21"/>
        </w:rPr>
        <w:t>Q. How is observability validated before release?</w:t>
      </w:r>
    </w:p>
    <w:p w14:paraId="3B0CEA22" w14:textId="77777777" w:rsidR="00FC6DC4" w:rsidRDefault="00000000">
      <w:pPr>
        <w:spacing w:after="80" w:line="264" w:lineRule="auto"/>
      </w:pPr>
      <w:r>
        <w:rPr>
          <w:rFonts w:ascii="Aptos" w:hAnsi="Aptos" w:cs="Aptos"/>
          <w:color w:val="222222"/>
          <w:sz w:val="20"/>
        </w:rPr>
        <w:t>Before release, the team confirms that logs, metrics, and traces exist for new code paths; alerts are calibrated to meaningful thresholds; and dashboards show the signals needed during hypercare. A release without adequate visibility is treated as incomplete.</w:t>
      </w:r>
    </w:p>
    <w:p w14:paraId="797EE9C6" w14:textId="77777777" w:rsidR="00FC6DC4" w:rsidRDefault="00000000">
      <w:pPr>
        <w:keepNext/>
        <w:spacing w:before="40" w:after="20"/>
      </w:pPr>
      <w:r>
        <w:rPr>
          <w:rFonts w:ascii="Aptos" w:hAnsi="Aptos" w:cs="Aptos"/>
          <w:b/>
          <w:color w:val="1B4D72"/>
          <w:sz w:val="21"/>
        </w:rPr>
        <w:t>Q. What counts as a SEV-1 for Engineering?</w:t>
      </w:r>
    </w:p>
    <w:p w14:paraId="14DB3F74" w14:textId="77777777" w:rsidR="00FC6DC4" w:rsidRDefault="00000000">
      <w:pPr>
        <w:spacing w:after="80" w:line="264" w:lineRule="auto"/>
      </w:pPr>
      <w:r>
        <w:rPr>
          <w:rFonts w:ascii="Aptos" w:hAnsi="Aptos" w:cs="Aptos"/>
          <w:color w:val="222222"/>
          <w:sz w:val="20"/>
        </w:rPr>
        <w:t>A SEV-1 includes a broad production outage, severe degradation of warehouse execution, a control-plane failure blocking core user actions, corrupted critical workflow data, or a failure mode that stops high-priority customer operations across one or more active sites.</w:t>
      </w:r>
    </w:p>
    <w:p w14:paraId="3A1DF59F" w14:textId="77777777" w:rsidR="00FC6DC4" w:rsidRDefault="00000000">
      <w:pPr>
        <w:keepNext/>
        <w:spacing w:before="40" w:after="20"/>
      </w:pPr>
      <w:r>
        <w:rPr>
          <w:rFonts w:ascii="Aptos" w:hAnsi="Aptos" w:cs="Aptos"/>
          <w:b/>
          <w:color w:val="1B4D72"/>
          <w:sz w:val="21"/>
        </w:rPr>
        <w:t>Q. How are warehouse maintenance windows handled?</w:t>
      </w:r>
    </w:p>
    <w:p w14:paraId="2A649C3F" w14:textId="77777777" w:rsidR="00FC6DC4" w:rsidRDefault="00000000">
      <w:pPr>
        <w:spacing w:after="80" w:line="264" w:lineRule="auto"/>
      </w:pPr>
      <w:r>
        <w:rPr>
          <w:rFonts w:ascii="Aptos" w:hAnsi="Aptos" w:cs="Aptos"/>
          <w:color w:val="222222"/>
          <w:sz w:val="20"/>
        </w:rPr>
        <w:t>Warehouse maintenance windows must be coordinated with Logistics or field contacts for the affected site. Edge package rollout should avoid receiving peaks, cutover should be documented, and rollback instructions should be available locally if connectivity degrades mid-change.</w:t>
      </w:r>
    </w:p>
    <w:p w14:paraId="70CADB4D" w14:textId="77777777" w:rsidR="00FC6DC4" w:rsidRDefault="00000000">
      <w:pPr>
        <w:keepNext/>
        <w:spacing w:before="40" w:after="20"/>
      </w:pPr>
      <w:r>
        <w:rPr>
          <w:rFonts w:ascii="Aptos" w:hAnsi="Aptos" w:cs="Aptos"/>
          <w:b/>
          <w:color w:val="1B4D72"/>
          <w:sz w:val="21"/>
        </w:rPr>
        <w:t>Q. What is expected during hypercare?</w:t>
      </w:r>
    </w:p>
    <w:p w14:paraId="314BFE94" w14:textId="77777777" w:rsidR="00FC6DC4" w:rsidRDefault="00000000">
      <w:pPr>
        <w:spacing w:after="80" w:line="264" w:lineRule="auto"/>
      </w:pPr>
      <w:r>
        <w:rPr>
          <w:rFonts w:ascii="Aptos" w:hAnsi="Aptos" w:cs="Aptos"/>
          <w:color w:val="222222"/>
          <w:sz w:val="20"/>
        </w:rPr>
        <w:t>Engineering watches service health, error rates, customer-impact indicators, and support tickets during the hypercare period. The release owner remains reachable, and any unexplained regression must be triaged immediately even if customer impact appears limited at first.</w:t>
      </w:r>
    </w:p>
    <w:p w14:paraId="4B7232EE" w14:textId="77777777" w:rsidR="00FC6DC4" w:rsidRDefault="00000000">
      <w:pPr>
        <w:keepNext/>
        <w:spacing w:before="40" w:after="20"/>
      </w:pPr>
      <w:r>
        <w:rPr>
          <w:rFonts w:ascii="Aptos" w:hAnsi="Aptos" w:cs="Aptos"/>
          <w:b/>
          <w:color w:val="1B4D72"/>
          <w:sz w:val="21"/>
        </w:rPr>
        <w:t>Q. When should Engineering involve Security?</w:t>
      </w:r>
    </w:p>
    <w:p w14:paraId="7718B304" w14:textId="77777777" w:rsidR="00FC6DC4" w:rsidRDefault="00000000">
      <w:pPr>
        <w:spacing w:after="80" w:line="264" w:lineRule="auto"/>
      </w:pPr>
      <w:r>
        <w:rPr>
          <w:rFonts w:ascii="Aptos" w:hAnsi="Aptos" w:cs="Aptos"/>
          <w:color w:val="222222"/>
          <w:sz w:val="20"/>
        </w:rPr>
        <w:t>Security should be involved when there is evidence of unauthorized access, suspicious privilege use, unexpected data exposure, integrity concerns in signed packages, or dependency issues with known critical vulnerability exposure.</w:t>
      </w:r>
    </w:p>
    <w:p w14:paraId="0998A980" w14:textId="77777777" w:rsidR="00FC6DC4" w:rsidRDefault="00000000">
      <w:pPr>
        <w:keepNext/>
        <w:spacing w:before="40" w:after="20"/>
      </w:pPr>
      <w:r>
        <w:rPr>
          <w:rFonts w:ascii="Aptos" w:hAnsi="Aptos" w:cs="Aptos"/>
          <w:b/>
          <w:color w:val="1B4D72"/>
          <w:sz w:val="21"/>
        </w:rPr>
        <w:t>Q. How are external dependency risks managed?</w:t>
      </w:r>
    </w:p>
    <w:p w14:paraId="40AB4F85" w14:textId="77777777" w:rsidR="00FC6DC4" w:rsidRDefault="00000000">
      <w:pPr>
        <w:spacing w:after="80" w:line="264" w:lineRule="auto"/>
      </w:pPr>
      <w:r>
        <w:rPr>
          <w:rFonts w:ascii="Aptos" w:hAnsi="Aptos" w:cs="Aptos"/>
          <w:color w:val="222222"/>
          <w:sz w:val="20"/>
        </w:rPr>
        <w:t>Dependencies are reviewed for security posture, maintenance health, compatibility, and operational significance. High-risk changes to critical dependencies should be isolated, tested separately, and included in release communication rather than hidden inside large mixed releases.</w:t>
      </w:r>
    </w:p>
    <w:p w14:paraId="071667C1" w14:textId="77777777" w:rsidR="00FC6DC4" w:rsidRDefault="00000000">
      <w:pPr>
        <w:keepNext/>
        <w:spacing w:before="40" w:after="20"/>
      </w:pPr>
      <w:r>
        <w:rPr>
          <w:rFonts w:ascii="Aptos" w:hAnsi="Aptos" w:cs="Aptos"/>
          <w:b/>
          <w:color w:val="1B4D72"/>
          <w:sz w:val="21"/>
        </w:rPr>
        <w:t>Q. What is the policy on environment drift?</w:t>
      </w:r>
    </w:p>
    <w:p w14:paraId="019700B4" w14:textId="77777777" w:rsidR="00FC6DC4" w:rsidRDefault="00000000">
      <w:pPr>
        <w:spacing w:after="80" w:line="264" w:lineRule="auto"/>
      </w:pPr>
      <w:r>
        <w:rPr>
          <w:rFonts w:ascii="Aptos" w:hAnsi="Aptos" w:cs="Aptos"/>
          <w:color w:val="222222"/>
          <w:sz w:val="20"/>
        </w:rPr>
        <w:t>Environment drift is treated as an operational risk. Teams should use standardized configuration sources, avoid one-off manual fixes, and reconcile differences across staging and production before trusting test outcomes as a release signal.</w:t>
      </w:r>
    </w:p>
    <w:p w14:paraId="1902A59A" w14:textId="77777777" w:rsidR="00FC6DC4" w:rsidRDefault="00000000">
      <w:pPr>
        <w:keepNext/>
        <w:spacing w:before="40" w:after="20"/>
      </w:pPr>
      <w:r>
        <w:rPr>
          <w:rFonts w:ascii="Aptos" w:hAnsi="Aptos" w:cs="Aptos"/>
          <w:b/>
          <w:color w:val="1B4D72"/>
          <w:sz w:val="21"/>
        </w:rPr>
        <w:t>Q. How should engineering hand off to Support after release?</w:t>
      </w:r>
    </w:p>
    <w:p w14:paraId="1597BEDE" w14:textId="77777777" w:rsidR="00FC6DC4" w:rsidRDefault="00000000">
      <w:pPr>
        <w:spacing w:after="80" w:line="264" w:lineRule="auto"/>
      </w:pPr>
      <w:r>
        <w:rPr>
          <w:rFonts w:ascii="Aptos" w:hAnsi="Aptos" w:cs="Aptos"/>
          <w:color w:val="222222"/>
          <w:sz w:val="20"/>
        </w:rPr>
        <w:t>The release owner provides a support brief containing customer-facing symptoms, expected temporary alerts, feature-flag dependencies, rollback conditions, and any terminology Support should use when explaining the change. The goal is fast, accurate first-response handling.</w:t>
      </w:r>
    </w:p>
    <w:p w14:paraId="79821948" w14:textId="77777777" w:rsidR="00FC6DC4" w:rsidRDefault="00000000">
      <w:pPr>
        <w:keepNext/>
        <w:spacing w:before="40" w:after="20"/>
      </w:pPr>
      <w:r>
        <w:rPr>
          <w:rFonts w:ascii="Aptos" w:hAnsi="Aptos" w:cs="Aptos"/>
          <w:b/>
          <w:color w:val="1B4D72"/>
          <w:sz w:val="21"/>
        </w:rPr>
        <w:t>Q. How does Engineering support RAG-friendly internal documentation?</w:t>
      </w:r>
    </w:p>
    <w:p w14:paraId="0F10E46B" w14:textId="77777777" w:rsidR="00FC6DC4" w:rsidRDefault="00000000">
      <w:pPr>
        <w:spacing w:after="80" w:line="264" w:lineRule="auto"/>
      </w:pPr>
      <w:r>
        <w:rPr>
          <w:rFonts w:ascii="Aptos" w:hAnsi="Aptos" w:cs="Aptos"/>
          <w:color w:val="222222"/>
          <w:sz w:val="20"/>
        </w:rPr>
        <w:t>Operational documents should use stable names for systems, clear ownership language, explicit dates and versions, and question-answer phrasing where possible. This improves discoverability inside internal search tools and reduces retrieval confusion across similar technical terms.</w:t>
      </w:r>
    </w:p>
    <w:p w14:paraId="1617A554" w14:textId="77777777" w:rsidR="00FC6DC4" w:rsidRDefault="00000000">
      <w:pPr>
        <w:keepNext/>
        <w:spacing w:before="40" w:after="20"/>
      </w:pPr>
      <w:r>
        <w:rPr>
          <w:rFonts w:ascii="Aptos" w:hAnsi="Aptos" w:cs="Aptos"/>
          <w:b/>
          <w:color w:val="1B4D72"/>
          <w:sz w:val="21"/>
        </w:rPr>
        <w:lastRenderedPageBreak/>
        <w:t>Q. What is required after an incident is resolved?</w:t>
      </w:r>
    </w:p>
    <w:p w14:paraId="242E53CB" w14:textId="77777777" w:rsidR="00FC6DC4" w:rsidRDefault="00000000">
      <w:pPr>
        <w:spacing w:after="80" w:line="264" w:lineRule="auto"/>
      </w:pPr>
      <w:r>
        <w:rPr>
          <w:rFonts w:ascii="Aptos" w:hAnsi="Aptos" w:cs="Aptos"/>
          <w:color w:val="222222"/>
          <w:sz w:val="20"/>
        </w:rPr>
        <w:t>Engineering must capture timeline, contributing factors, corrective actions, owner assignments, and follow-up due dates in a post-incident review. The review should distinguish immediate mitigation from long-term engineering debt reduction.</w:t>
      </w:r>
    </w:p>
    <w:p w14:paraId="20516924" w14:textId="77777777" w:rsidR="00FC6DC4" w:rsidRDefault="00000000">
      <w:pPr>
        <w:keepNext/>
        <w:spacing w:before="40" w:after="20"/>
      </w:pPr>
      <w:r>
        <w:rPr>
          <w:rFonts w:ascii="Aptos" w:hAnsi="Aptos" w:cs="Aptos"/>
          <w:b/>
          <w:color w:val="1B4D72"/>
          <w:sz w:val="21"/>
        </w:rPr>
        <w:t>Q. When can a release be halted?</w:t>
      </w:r>
    </w:p>
    <w:p w14:paraId="6E3B4E1C" w14:textId="77777777" w:rsidR="00FC6DC4" w:rsidRDefault="00000000">
      <w:pPr>
        <w:spacing w:after="80" w:line="264" w:lineRule="auto"/>
      </w:pPr>
      <w:r>
        <w:rPr>
          <w:rFonts w:ascii="Aptos" w:hAnsi="Aptos" w:cs="Aptos"/>
          <w:color w:val="222222"/>
          <w:sz w:val="20"/>
        </w:rPr>
        <w:t>A release can be halted if validation signals are missing, error rates move outside approved thresholds, dependency health is uncertain, rollback quality is unproven, or cross-functional readiness is incomplete. Halting early is preferred over expanding an avoidable failure.</w:t>
      </w:r>
    </w:p>
    <w:p w14:paraId="743085AD" w14:textId="77777777" w:rsidR="00FC6DC4" w:rsidRDefault="00000000">
      <w:pPr>
        <w:keepNext/>
        <w:spacing w:before="200" w:after="80"/>
      </w:pPr>
      <w:r>
        <w:rPr>
          <w:rFonts w:ascii="Aptos" w:hAnsi="Aptos" w:cs="Aptos"/>
          <w:b/>
          <w:color w:val="1B4D72"/>
          <w:sz w:val="30"/>
        </w:rPr>
        <w:t>6. KPIs and glossary</w:t>
      </w:r>
    </w:p>
    <w:tbl>
      <w:tblPr>
        <w:tblW w:w="0" w:type="auto"/>
        <w:jc w:val="center"/>
        <w:tblLayout w:type="fixed"/>
        <w:tblLook w:val="04A0" w:firstRow="1" w:lastRow="0" w:firstColumn="1" w:lastColumn="0" w:noHBand="0" w:noVBand="1"/>
      </w:tblPr>
      <w:tblGrid>
        <w:gridCol w:w="2304"/>
        <w:gridCol w:w="5040"/>
        <w:gridCol w:w="1584"/>
      </w:tblGrid>
      <w:tr w:rsidR="00FC6DC4" w14:paraId="41C6B5E3" w14:textId="77777777">
        <w:trPr>
          <w:jc w:val="center"/>
        </w:trPr>
        <w:tc>
          <w:tcPr>
            <w:tcW w:w="2304" w:type="dxa"/>
            <w:shd w:val="clear" w:color="auto" w:fill="D9E8F2"/>
            <w:tcMar>
              <w:top w:w="110" w:type="dxa"/>
              <w:left w:w="120" w:type="dxa"/>
              <w:bottom w:w="110" w:type="dxa"/>
              <w:right w:w="120" w:type="dxa"/>
            </w:tcMar>
            <w:vAlign w:val="center"/>
          </w:tcPr>
          <w:p w14:paraId="04852148" w14:textId="77777777" w:rsidR="00FC6DC4" w:rsidRDefault="00000000">
            <w:pPr>
              <w:jc w:val="center"/>
            </w:pPr>
            <w:r>
              <w:rPr>
                <w:rFonts w:ascii="Aptos" w:hAnsi="Aptos" w:cs="Aptos"/>
                <w:b/>
                <w:color w:val="1B4D72"/>
                <w:sz w:val="20"/>
              </w:rPr>
              <w:t>Measure</w:t>
            </w:r>
          </w:p>
        </w:tc>
        <w:tc>
          <w:tcPr>
            <w:tcW w:w="5040" w:type="dxa"/>
            <w:shd w:val="clear" w:color="auto" w:fill="D9E8F2"/>
            <w:tcMar>
              <w:top w:w="110" w:type="dxa"/>
              <w:left w:w="120" w:type="dxa"/>
              <w:bottom w:w="110" w:type="dxa"/>
              <w:right w:w="120" w:type="dxa"/>
            </w:tcMar>
            <w:vAlign w:val="center"/>
          </w:tcPr>
          <w:p w14:paraId="025A7C22" w14:textId="77777777" w:rsidR="00FC6DC4" w:rsidRDefault="00000000">
            <w:pPr>
              <w:jc w:val="center"/>
            </w:pPr>
            <w:r>
              <w:rPr>
                <w:rFonts w:ascii="Aptos" w:hAnsi="Aptos" w:cs="Aptos"/>
                <w:b/>
                <w:color w:val="1B4D72"/>
                <w:sz w:val="20"/>
              </w:rPr>
              <w:t>Definition</w:t>
            </w:r>
          </w:p>
        </w:tc>
        <w:tc>
          <w:tcPr>
            <w:tcW w:w="1584" w:type="dxa"/>
            <w:shd w:val="clear" w:color="auto" w:fill="D9E8F2"/>
            <w:tcMar>
              <w:top w:w="110" w:type="dxa"/>
              <w:left w:w="120" w:type="dxa"/>
              <w:bottom w:w="110" w:type="dxa"/>
              <w:right w:w="120" w:type="dxa"/>
            </w:tcMar>
            <w:vAlign w:val="center"/>
          </w:tcPr>
          <w:p w14:paraId="6458E7EF" w14:textId="77777777" w:rsidR="00FC6DC4" w:rsidRDefault="00000000">
            <w:pPr>
              <w:jc w:val="center"/>
            </w:pPr>
            <w:r>
              <w:rPr>
                <w:rFonts w:ascii="Aptos" w:hAnsi="Aptos" w:cs="Aptos"/>
                <w:b/>
                <w:color w:val="1B4D72"/>
                <w:sz w:val="20"/>
              </w:rPr>
              <w:t>Target</w:t>
            </w:r>
          </w:p>
        </w:tc>
      </w:tr>
      <w:tr w:rsidR="00FC6DC4" w14:paraId="4A99D367" w14:textId="77777777">
        <w:trPr>
          <w:jc w:val="center"/>
        </w:trPr>
        <w:tc>
          <w:tcPr>
            <w:tcW w:w="2304" w:type="dxa"/>
            <w:tcMar>
              <w:top w:w="90" w:type="dxa"/>
              <w:left w:w="110" w:type="dxa"/>
              <w:bottom w:w="90" w:type="dxa"/>
              <w:right w:w="110" w:type="dxa"/>
            </w:tcMar>
            <w:vAlign w:val="center"/>
          </w:tcPr>
          <w:p w14:paraId="7F3C8BD2" w14:textId="77777777" w:rsidR="00FC6DC4" w:rsidRDefault="00000000">
            <w:pPr>
              <w:spacing w:after="0"/>
              <w:jc w:val="center"/>
            </w:pPr>
            <w:r>
              <w:rPr>
                <w:rFonts w:ascii="Aptos" w:hAnsi="Aptos" w:cs="Aptos"/>
                <w:color w:val="222222"/>
                <w:sz w:val="19"/>
              </w:rPr>
              <w:t>Release success rate</w:t>
            </w:r>
          </w:p>
        </w:tc>
        <w:tc>
          <w:tcPr>
            <w:tcW w:w="5040" w:type="dxa"/>
            <w:tcMar>
              <w:top w:w="90" w:type="dxa"/>
              <w:left w:w="110" w:type="dxa"/>
              <w:bottom w:w="90" w:type="dxa"/>
              <w:right w:w="110" w:type="dxa"/>
            </w:tcMar>
            <w:vAlign w:val="center"/>
          </w:tcPr>
          <w:p w14:paraId="50CCE6A2" w14:textId="77777777" w:rsidR="00FC6DC4" w:rsidRDefault="00000000">
            <w:pPr>
              <w:spacing w:after="0"/>
            </w:pPr>
            <w:r>
              <w:rPr>
                <w:rFonts w:ascii="Aptos" w:hAnsi="Aptos" w:cs="Aptos"/>
                <w:color w:val="222222"/>
                <w:sz w:val="19"/>
              </w:rPr>
              <w:t>Percent of planned releases completed without rollback or material customer disruption.</w:t>
            </w:r>
          </w:p>
        </w:tc>
        <w:tc>
          <w:tcPr>
            <w:tcW w:w="1584" w:type="dxa"/>
            <w:tcMar>
              <w:top w:w="90" w:type="dxa"/>
              <w:left w:w="110" w:type="dxa"/>
              <w:bottom w:w="90" w:type="dxa"/>
              <w:right w:w="110" w:type="dxa"/>
            </w:tcMar>
            <w:vAlign w:val="center"/>
          </w:tcPr>
          <w:p w14:paraId="5FB8AB8B" w14:textId="77777777" w:rsidR="00FC6DC4" w:rsidRDefault="00000000">
            <w:pPr>
              <w:spacing w:after="0"/>
              <w:jc w:val="center"/>
            </w:pPr>
            <w:r>
              <w:rPr>
                <w:rFonts w:ascii="Aptos" w:hAnsi="Aptos" w:cs="Aptos"/>
                <w:color w:val="222222"/>
                <w:sz w:val="19"/>
              </w:rPr>
              <w:t>&gt;= 97%</w:t>
            </w:r>
          </w:p>
        </w:tc>
      </w:tr>
      <w:tr w:rsidR="00FC6DC4" w14:paraId="6826B0CC" w14:textId="77777777">
        <w:trPr>
          <w:jc w:val="center"/>
        </w:trPr>
        <w:tc>
          <w:tcPr>
            <w:tcW w:w="2304" w:type="dxa"/>
            <w:tcMar>
              <w:top w:w="90" w:type="dxa"/>
              <w:left w:w="110" w:type="dxa"/>
              <w:bottom w:w="90" w:type="dxa"/>
              <w:right w:w="110" w:type="dxa"/>
            </w:tcMar>
            <w:vAlign w:val="center"/>
          </w:tcPr>
          <w:p w14:paraId="0A500371" w14:textId="77777777" w:rsidR="00FC6DC4" w:rsidRDefault="00000000">
            <w:pPr>
              <w:spacing w:after="0"/>
              <w:jc w:val="center"/>
            </w:pPr>
            <w:r>
              <w:rPr>
                <w:rFonts w:ascii="Aptos" w:hAnsi="Aptos" w:cs="Aptos"/>
                <w:color w:val="222222"/>
                <w:sz w:val="19"/>
              </w:rPr>
              <w:t>SEV-1 acknowledgement</w:t>
            </w:r>
          </w:p>
        </w:tc>
        <w:tc>
          <w:tcPr>
            <w:tcW w:w="5040" w:type="dxa"/>
            <w:tcMar>
              <w:top w:w="90" w:type="dxa"/>
              <w:left w:w="110" w:type="dxa"/>
              <w:bottom w:w="90" w:type="dxa"/>
              <w:right w:w="110" w:type="dxa"/>
            </w:tcMar>
            <w:vAlign w:val="center"/>
          </w:tcPr>
          <w:p w14:paraId="3AA0C48B" w14:textId="77777777" w:rsidR="00FC6DC4" w:rsidRDefault="00000000">
            <w:pPr>
              <w:spacing w:after="0"/>
            </w:pPr>
            <w:r>
              <w:rPr>
                <w:rFonts w:ascii="Aptos" w:hAnsi="Aptos" w:cs="Aptos"/>
                <w:color w:val="222222"/>
                <w:sz w:val="19"/>
              </w:rPr>
              <w:t>Time from alert creation to active engineering command ownership.</w:t>
            </w:r>
          </w:p>
        </w:tc>
        <w:tc>
          <w:tcPr>
            <w:tcW w:w="1584" w:type="dxa"/>
            <w:tcMar>
              <w:top w:w="90" w:type="dxa"/>
              <w:left w:w="110" w:type="dxa"/>
              <w:bottom w:w="90" w:type="dxa"/>
              <w:right w:w="110" w:type="dxa"/>
            </w:tcMar>
            <w:vAlign w:val="center"/>
          </w:tcPr>
          <w:p w14:paraId="44A0CEB4" w14:textId="77777777" w:rsidR="00FC6DC4" w:rsidRDefault="00000000">
            <w:pPr>
              <w:spacing w:after="0"/>
              <w:jc w:val="center"/>
            </w:pPr>
            <w:r>
              <w:rPr>
                <w:rFonts w:ascii="Aptos" w:hAnsi="Aptos" w:cs="Aptos"/>
                <w:color w:val="222222"/>
                <w:sz w:val="19"/>
              </w:rPr>
              <w:t>&lt;= 10 min</w:t>
            </w:r>
          </w:p>
        </w:tc>
      </w:tr>
      <w:tr w:rsidR="00FC6DC4" w14:paraId="20502D23" w14:textId="77777777">
        <w:trPr>
          <w:jc w:val="center"/>
        </w:trPr>
        <w:tc>
          <w:tcPr>
            <w:tcW w:w="2304" w:type="dxa"/>
            <w:tcMar>
              <w:top w:w="90" w:type="dxa"/>
              <w:left w:w="110" w:type="dxa"/>
              <w:bottom w:w="90" w:type="dxa"/>
              <w:right w:w="110" w:type="dxa"/>
            </w:tcMar>
            <w:vAlign w:val="center"/>
          </w:tcPr>
          <w:p w14:paraId="2F59610B" w14:textId="77777777" w:rsidR="00FC6DC4" w:rsidRDefault="00000000">
            <w:pPr>
              <w:spacing w:after="0"/>
              <w:jc w:val="center"/>
            </w:pPr>
            <w:r>
              <w:rPr>
                <w:rFonts w:ascii="Aptos" w:hAnsi="Aptos" w:cs="Aptos"/>
                <w:color w:val="222222"/>
                <w:sz w:val="19"/>
              </w:rPr>
              <w:t>Edge package rollback readiness</w:t>
            </w:r>
          </w:p>
        </w:tc>
        <w:tc>
          <w:tcPr>
            <w:tcW w:w="5040" w:type="dxa"/>
            <w:tcMar>
              <w:top w:w="90" w:type="dxa"/>
              <w:left w:w="110" w:type="dxa"/>
              <w:bottom w:w="90" w:type="dxa"/>
              <w:right w:w="110" w:type="dxa"/>
            </w:tcMar>
            <w:vAlign w:val="center"/>
          </w:tcPr>
          <w:p w14:paraId="12ECC228" w14:textId="77777777" w:rsidR="00FC6DC4" w:rsidRDefault="00000000">
            <w:pPr>
              <w:spacing w:after="0"/>
            </w:pPr>
            <w:r>
              <w:rPr>
                <w:rFonts w:ascii="Aptos" w:hAnsi="Aptos" w:cs="Aptos"/>
                <w:color w:val="222222"/>
                <w:sz w:val="19"/>
              </w:rPr>
              <w:t>Percent of edge rollouts with tested rollback bundle prior to deployment.</w:t>
            </w:r>
          </w:p>
        </w:tc>
        <w:tc>
          <w:tcPr>
            <w:tcW w:w="1584" w:type="dxa"/>
            <w:tcMar>
              <w:top w:w="90" w:type="dxa"/>
              <w:left w:w="110" w:type="dxa"/>
              <w:bottom w:w="90" w:type="dxa"/>
              <w:right w:w="110" w:type="dxa"/>
            </w:tcMar>
            <w:vAlign w:val="center"/>
          </w:tcPr>
          <w:p w14:paraId="1FE1463C" w14:textId="77777777" w:rsidR="00FC6DC4" w:rsidRDefault="00000000">
            <w:pPr>
              <w:spacing w:after="0"/>
              <w:jc w:val="center"/>
            </w:pPr>
            <w:r>
              <w:rPr>
                <w:rFonts w:ascii="Aptos" w:hAnsi="Aptos" w:cs="Aptos"/>
                <w:color w:val="222222"/>
                <w:sz w:val="19"/>
              </w:rPr>
              <w:t>100%</w:t>
            </w:r>
          </w:p>
        </w:tc>
      </w:tr>
      <w:tr w:rsidR="00FC6DC4" w14:paraId="244EA41D" w14:textId="77777777">
        <w:trPr>
          <w:jc w:val="center"/>
        </w:trPr>
        <w:tc>
          <w:tcPr>
            <w:tcW w:w="2304" w:type="dxa"/>
            <w:tcMar>
              <w:top w:w="90" w:type="dxa"/>
              <w:left w:w="110" w:type="dxa"/>
              <w:bottom w:w="90" w:type="dxa"/>
              <w:right w:w="110" w:type="dxa"/>
            </w:tcMar>
            <w:vAlign w:val="center"/>
          </w:tcPr>
          <w:p w14:paraId="3EE05A2D" w14:textId="77777777" w:rsidR="00FC6DC4" w:rsidRDefault="00000000">
            <w:pPr>
              <w:spacing w:after="0"/>
              <w:jc w:val="center"/>
            </w:pPr>
            <w:r>
              <w:rPr>
                <w:rFonts w:ascii="Aptos" w:hAnsi="Aptos" w:cs="Aptos"/>
                <w:color w:val="222222"/>
                <w:sz w:val="19"/>
              </w:rPr>
              <w:t>Post-incident review completion</w:t>
            </w:r>
          </w:p>
        </w:tc>
        <w:tc>
          <w:tcPr>
            <w:tcW w:w="5040" w:type="dxa"/>
            <w:tcMar>
              <w:top w:w="90" w:type="dxa"/>
              <w:left w:w="110" w:type="dxa"/>
              <w:bottom w:w="90" w:type="dxa"/>
              <w:right w:w="110" w:type="dxa"/>
            </w:tcMar>
            <w:vAlign w:val="center"/>
          </w:tcPr>
          <w:p w14:paraId="3FF04E9C" w14:textId="77777777" w:rsidR="00FC6DC4" w:rsidRDefault="00000000">
            <w:pPr>
              <w:spacing w:after="0"/>
            </w:pPr>
            <w:r>
              <w:rPr>
                <w:rFonts w:ascii="Aptos" w:hAnsi="Aptos" w:cs="Aptos"/>
                <w:color w:val="222222"/>
                <w:sz w:val="19"/>
              </w:rPr>
              <w:t>Reviews finalized with action owners and dates after priority incidents.</w:t>
            </w:r>
          </w:p>
        </w:tc>
        <w:tc>
          <w:tcPr>
            <w:tcW w:w="1584" w:type="dxa"/>
            <w:tcMar>
              <w:top w:w="90" w:type="dxa"/>
              <w:left w:w="110" w:type="dxa"/>
              <w:bottom w:w="90" w:type="dxa"/>
              <w:right w:w="110" w:type="dxa"/>
            </w:tcMar>
            <w:vAlign w:val="center"/>
          </w:tcPr>
          <w:p w14:paraId="01047D7C" w14:textId="77777777" w:rsidR="00FC6DC4" w:rsidRDefault="00000000">
            <w:pPr>
              <w:spacing w:after="0"/>
              <w:jc w:val="center"/>
            </w:pPr>
            <w:r>
              <w:rPr>
                <w:rFonts w:ascii="Aptos" w:hAnsi="Aptos" w:cs="Aptos"/>
                <w:color w:val="222222"/>
                <w:sz w:val="19"/>
              </w:rPr>
              <w:t>&lt;= 5 business days</w:t>
            </w:r>
          </w:p>
        </w:tc>
      </w:tr>
    </w:tbl>
    <w:p w14:paraId="77FAAA80" w14:textId="77777777" w:rsidR="00FC6DC4" w:rsidRDefault="00FC6DC4">
      <w:pPr>
        <w:spacing w:after="40"/>
      </w:pPr>
    </w:p>
    <w:p w14:paraId="666BDE28" w14:textId="77777777" w:rsidR="00FC6DC4" w:rsidRDefault="00000000">
      <w:pPr>
        <w:pStyle w:val="ListBullet"/>
        <w:spacing w:after="40" w:line="259" w:lineRule="auto"/>
      </w:pPr>
      <w:r>
        <w:rPr>
          <w:rFonts w:ascii="Aptos" w:hAnsi="Aptos" w:cs="Aptos"/>
          <w:color w:val="222222"/>
          <w:sz w:val="20"/>
        </w:rPr>
        <w:t>Control Plane: the cloud-hosted administrative and orchestration layer for OrchestrAI deployments.</w:t>
      </w:r>
    </w:p>
    <w:p w14:paraId="53368B1B" w14:textId="77777777" w:rsidR="00FC6DC4" w:rsidRDefault="00000000">
      <w:pPr>
        <w:pStyle w:val="ListBullet"/>
        <w:spacing w:after="40" w:line="259" w:lineRule="auto"/>
      </w:pPr>
      <w:r>
        <w:rPr>
          <w:rFonts w:ascii="Aptos" w:hAnsi="Aptos" w:cs="Aptos"/>
          <w:color w:val="222222"/>
          <w:sz w:val="20"/>
        </w:rPr>
        <w:t>Ring deployment: staged production rollout pattern that limits change exposure by cohort.</w:t>
      </w:r>
    </w:p>
    <w:p w14:paraId="6E837E32" w14:textId="77777777" w:rsidR="00FC6DC4" w:rsidRDefault="00000000">
      <w:pPr>
        <w:pStyle w:val="ListBullet"/>
        <w:spacing w:after="40" w:line="259" w:lineRule="auto"/>
      </w:pPr>
      <w:r>
        <w:rPr>
          <w:rFonts w:ascii="Aptos" w:hAnsi="Aptos" w:cs="Aptos"/>
          <w:color w:val="222222"/>
          <w:sz w:val="20"/>
        </w:rPr>
        <w:t>Hypercare: defined post-release monitoring period with active ownership and elevated response readiness.</w:t>
      </w:r>
    </w:p>
    <w:p w14:paraId="458D39E0" w14:textId="77777777" w:rsidR="00FC6DC4" w:rsidRDefault="00000000">
      <w:pPr>
        <w:pStyle w:val="ListBullet"/>
        <w:spacing w:after="40" w:line="259" w:lineRule="auto"/>
      </w:pPr>
      <w:r>
        <w:rPr>
          <w:rFonts w:ascii="Aptos" w:hAnsi="Aptos" w:cs="Aptos"/>
          <w:color w:val="222222"/>
          <w:sz w:val="20"/>
        </w:rPr>
        <w:t>Edge package: signed deployment bundle for warehouse-local services and site devices.</w:t>
      </w:r>
    </w:p>
    <w:sectPr w:rsidR="00FC6DC4" w:rsidSect="00034616">
      <w:footerReference w:type="default" r:id="rId8"/>
      <w:pgSz w:w="12240" w:h="15840"/>
      <w:pgMar w:top="1008"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FC02C" w14:textId="77777777" w:rsidR="003B19E4" w:rsidRDefault="003B19E4">
      <w:pPr>
        <w:spacing w:after="0" w:line="240" w:lineRule="auto"/>
      </w:pPr>
      <w:r>
        <w:separator/>
      </w:r>
    </w:p>
  </w:endnote>
  <w:endnote w:type="continuationSeparator" w:id="0">
    <w:p w14:paraId="40B3CF7D" w14:textId="77777777" w:rsidR="003B19E4" w:rsidRDefault="003B19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AF14" w14:textId="77777777" w:rsidR="00FC6DC4" w:rsidRDefault="00000000">
    <w:pPr>
      <w:pStyle w:val="Footer"/>
      <w:jc w:val="center"/>
    </w:pPr>
    <w:proofErr w:type="spellStart"/>
    <w:r>
      <w:rPr>
        <w:rFonts w:ascii="Aptos" w:hAnsi="Aptos" w:cs="Aptos"/>
        <w:color w:val="666666"/>
        <w:sz w:val="17"/>
      </w:rPr>
      <w:t>OrchestrAI</w:t>
    </w:r>
    <w:proofErr w:type="spellEnd"/>
    <w:r>
      <w:rPr>
        <w:rFonts w:ascii="Aptos" w:hAnsi="Aptos" w:cs="Aptos"/>
        <w:color w:val="666666"/>
        <w:sz w:val="17"/>
      </w:rPr>
      <w:t xml:space="preserve"> -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575F5" w14:textId="77777777" w:rsidR="003B19E4" w:rsidRDefault="003B19E4">
      <w:pPr>
        <w:spacing w:after="0" w:line="240" w:lineRule="auto"/>
      </w:pPr>
      <w:r>
        <w:separator/>
      </w:r>
    </w:p>
  </w:footnote>
  <w:footnote w:type="continuationSeparator" w:id="0">
    <w:p w14:paraId="2DF42758" w14:textId="77777777" w:rsidR="003B19E4" w:rsidRDefault="003B19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5306292">
    <w:abstractNumId w:val="8"/>
  </w:num>
  <w:num w:numId="2" w16cid:durableId="1049841148">
    <w:abstractNumId w:val="6"/>
  </w:num>
  <w:num w:numId="3" w16cid:durableId="2121485653">
    <w:abstractNumId w:val="5"/>
  </w:num>
  <w:num w:numId="4" w16cid:durableId="1670980272">
    <w:abstractNumId w:val="4"/>
  </w:num>
  <w:num w:numId="5" w16cid:durableId="218173485">
    <w:abstractNumId w:val="7"/>
  </w:num>
  <w:num w:numId="6" w16cid:durableId="1719164308">
    <w:abstractNumId w:val="3"/>
  </w:num>
  <w:num w:numId="7" w16cid:durableId="368115730">
    <w:abstractNumId w:val="2"/>
  </w:num>
  <w:num w:numId="8" w16cid:durableId="1168405780">
    <w:abstractNumId w:val="1"/>
  </w:num>
  <w:num w:numId="9" w16cid:durableId="2098093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5EB"/>
    <w:rsid w:val="0029639D"/>
    <w:rsid w:val="00326F90"/>
    <w:rsid w:val="00363B14"/>
    <w:rsid w:val="003B19E4"/>
    <w:rsid w:val="003D0AF6"/>
    <w:rsid w:val="00AA1D8D"/>
    <w:rsid w:val="00B47730"/>
    <w:rsid w:val="00CB0664"/>
    <w:rsid w:val="00FC693F"/>
    <w:rsid w:val="00FC6D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9FFA1"/>
  <w14:defaultImageDpi w14:val="300"/>
  <w15:docId w15:val="{E15E092F-1572-B641-9A4F-0E08D097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1654</Words>
  <Characters>10681</Characters>
  <Application>Microsoft Office Word</Application>
  <DocSecurity>0</DocSecurity>
  <Lines>255</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Nikos Kalogirou</cp:lastModifiedBy>
  <cp:revision>3</cp:revision>
  <dcterms:created xsi:type="dcterms:W3CDTF">2013-12-23T23:15:00Z</dcterms:created>
  <dcterms:modified xsi:type="dcterms:W3CDTF">2026-03-24T12:40:00Z</dcterms:modified>
  <cp:category/>
</cp:coreProperties>
</file>