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1F4E79"/>
          <w:sz w:val="19"/>
        </w:rPr>
        <w:t>OrchestrAI Team Knowledge Base</w:t>
      </w:r>
    </w:p>
    <w:p>
      <w:pPr>
        <w:spacing w:after="40"/>
      </w:pPr>
      <w:r>
        <w:rPr>
          <w:b/>
          <w:color w:val="222222"/>
          <w:sz w:val="42"/>
        </w:rPr>
        <w:t>Product and Program Management Handbook</w:t>
      </w:r>
    </w:p>
    <w:p>
      <w:pPr>
        <w:spacing w:after="200"/>
      </w:pPr>
      <w:r>
        <w:rPr>
          <w:color w:val="666666"/>
          <w:sz w:val="20"/>
        </w:rPr>
        <w:t>Roadmap planning, launch readiness, cross-functional governance, and release coordination for OrchestrAI platform, edge, and warehouse operations programs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Document ID</w:t>
              <w:br/>
            </w:r>
            <w:r>
              <w:rPr>
                <w:color w:val="222222"/>
                <w:sz w:val="19"/>
              </w:rPr>
              <w:t>TEAMQA-PROD-001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Department</w:t>
              <w:br/>
            </w:r>
            <w:r>
              <w:rPr>
                <w:color w:val="222222"/>
                <w:sz w:val="19"/>
              </w:rPr>
              <w:t>Product &amp; Program Management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Owner</w:t>
              <w:br/>
            </w:r>
            <w:r>
              <w:rPr>
                <w:color w:val="222222"/>
                <w:sz w:val="19"/>
              </w:rPr>
              <w:t>PMO and Product Operations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Version</w:t>
              <w:br/>
            </w:r>
            <w:r>
              <w:rPr>
                <w:color w:val="222222"/>
                <w:sz w:val="19"/>
              </w:rPr>
              <w:t>1.0</w:t>
            </w:r>
          </w:p>
        </w:tc>
      </w:tr>
      <w:tr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Effective Date</w:t>
              <w:br/>
            </w:r>
            <w:r>
              <w:rPr>
                <w:color w:val="222222"/>
                <w:sz w:val="19"/>
              </w:rPr>
              <w:t>2026-03-24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Review Cycle</w:t>
              <w:br/>
            </w:r>
            <w:r>
              <w:rPr>
                <w:color w:val="222222"/>
                <w:sz w:val="19"/>
              </w:rPr>
              <w:t>Quarterly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Audience</w:t>
              <w:br/>
            </w:r>
            <w:r>
              <w:rPr>
                <w:color w:val="222222"/>
                <w:sz w:val="19"/>
              </w:rPr>
              <w:t>Product, Engineering, CS, Sales, Ops</w:t>
            </w:r>
          </w:p>
        </w:tc>
        <w:tc>
          <w:tcPr>
            <w:tcW w:type="dxa" w:w="249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FFFFFF"/>
          </w:tcPr>
          <w:p>
            <w:pPr>
              <w:spacing w:after="0"/>
            </w:pPr>
            <w:r>
              <w:rPr>
                <w:b/>
                <w:color w:val="1F4E79"/>
                <w:sz w:val="17"/>
              </w:rPr>
              <w:t>Classification</w:t>
              <w:br/>
            </w:r>
            <w:r>
              <w:rPr>
                <w:color w:val="222222"/>
                <w:sz w:val="19"/>
              </w:rPr>
              <w:t>Internal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D9E6F2"/>
            <w:tcMar>
              <w:top w:w="130" w:type="dxa"/>
              <w:start w:w="130" w:type="dxa"/>
              <w:bottom w:w="120" w:type="dxa"/>
              <w:end w:w="130" w:type="dxa"/>
            </w:tcMar>
          </w:tcPr>
          <w:p>
            <w:pPr>
              <w:spacing w:after="0" w:line="269" w:lineRule="auto"/>
            </w:pPr>
            <w:r>
              <w:rPr>
                <w:b/>
                <w:color w:val="222222"/>
                <w:sz w:val="20"/>
              </w:rPr>
              <w:t xml:space="preserve">Purpose. </w:t>
            </w:r>
            <w:r>
              <w:rPr>
                <w:color w:val="222222"/>
                <w:sz w:val="20"/>
              </w:rPr>
              <w:t>This handbook explains how OrchestrAI product managers and program managers convert roadmap goals into governed releases, coordinated launches, and measurable business outcomes across software, edge devices, and warehouse operations workflows.</w:t>
            </w:r>
          </w:p>
        </w:tc>
      </w:tr>
    </w:tbl>
    <w:p>
      <w:pPr>
        <w:spacing w:before="120" w:after="80"/>
      </w:pPr>
      <w:r>
        <w:rPr>
          <w:rFonts w:ascii="Aptos" w:hAnsi="Aptos"/>
          <w:b/>
          <w:color w:val="1F4E79"/>
          <w:sz w:val="25"/>
        </w:rPr>
        <w:t>Team mission and operating model</w:t>
      </w:r>
    </w:p>
    <w:p>
      <w:pPr>
        <w:spacing w:after="80" w:line="276" w:lineRule="auto"/>
      </w:pPr>
      <w:r>
        <w:rPr>
          <w:rFonts w:ascii="Aptos" w:hAnsi="Aptos"/>
          <w:color w:val="222222"/>
          <w:sz w:val="20"/>
        </w:rPr>
        <w:t>The Product and Program Management function translates strategy into an executable portfolio. Product managers own market-facing outcomes, platform capabilities, and lifecycle decisions, while program managers coordinate dependencies, readiness gates, and timeline discipline across Engineering, Security, Logistics, IT, Customer Success, and Revenue teams.</w:t>
      </w:r>
    </w:p>
    <w:p>
      <w:pPr>
        <w:pStyle w:val="ListBullet"/>
        <w:spacing w:line="269" w:lineRule="auto" w:after="40"/>
      </w:pPr>
      <w:r>
        <w:rPr>
          <w:rFonts w:ascii="Aptos" w:hAnsi="Aptos"/>
          <w:color w:val="222222"/>
          <w:sz w:val="20"/>
        </w:rPr>
        <w:t>Product management defines problem statements, customer segments, prioritization rationale, adoption targets, and release positioning for cloud and edge capabilities.</w:t>
      </w:r>
    </w:p>
    <w:p>
      <w:pPr>
        <w:pStyle w:val="ListBullet"/>
        <w:spacing w:line="269" w:lineRule="auto" w:after="40"/>
      </w:pPr>
      <w:r>
        <w:rPr>
          <w:rFonts w:ascii="Aptos" w:hAnsi="Aptos"/>
          <w:color w:val="222222"/>
          <w:sz w:val="20"/>
        </w:rPr>
        <w:t>Program management governs milestones, cross-team deliverables, launch dependencies, risk management, and executive reporting for major releases and internal improvement programs.</w:t>
      </w:r>
    </w:p>
    <w:p>
      <w:pPr>
        <w:pStyle w:val="ListBullet"/>
        <w:spacing w:line="269" w:lineRule="auto" w:after="40"/>
      </w:pPr>
      <w:r>
        <w:rPr>
          <w:rFonts w:ascii="Aptos" w:hAnsi="Aptos"/>
          <w:color w:val="222222"/>
          <w:sz w:val="20"/>
        </w:rPr>
        <w:t>Product operations maintains the templates, intake paths, and cadence rituals that keep planning artifacts current and consistent across teams.</w:t>
      </w:r>
    </w:p>
    <w:p>
      <w:pPr>
        <w:spacing w:before="120" w:after="80"/>
      </w:pPr>
      <w:r>
        <w:rPr>
          <w:rFonts w:ascii="Aptos" w:hAnsi="Aptos"/>
          <w:b/>
          <w:color w:val="1F4E79"/>
          <w:sz w:val="25"/>
        </w:rPr>
        <w:t>Core systems and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</w:trPr>
        <w:tc>
          <w:tcPr>
            <w:tcW w:type="dxa" w:w="2448"/>
            <w:tcMar>
              <w:top w:w="96" w:type="dxa"/>
              <w:start w:w="88" w:type="dxa"/>
              <w:bottom w:w="96" w:type="dxa"/>
              <w:end w:w="88" w:type="dxa"/>
            </w:tcMar>
            <w:shd w:fill="D4E2F1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System or artifact</w:t>
            </w:r>
          </w:p>
        </w:tc>
        <w:tc>
          <w:tcPr>
            <w:tcW w:type="dxa" w:w="3671"/>
            <w:tcMar>
              <w:top w:w="96" w:type="dxa"/>
              <w:start w:w="88" w:type="dxa"/>
              <w:bottom w:w="96" w:type="dxa"/>
              <w:end w:w="88" w:type="dxa"/>
            </w:tcMar>
            <w:shd w:fill="D4E2F1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Primary use</w:t>
            </w:r>
          </w:p>
        </w:tc>
        <w:tc>
          <w:tcPr>
            <w:tcW w:type="dxa" w:w="1655"/>
            <w:tcMar>
              <w:top w:w="96" w:type="dxa"/>
              <w:start w:w="88" w:type="dxa"/>
              <w:bottom w:w="96" w:type="dxa"/>
              <w:end w:w="88" w:type="dxa"/>
            </w:tcMar>
            <w:shd w:fill="D4E2F1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Owner</w:t>
            </w:r>
          </w:p>
        </w:tc>
        <w:tc>
          <w:tcPr>
            <w:tcW w:type="dxa" w:w="2088"/>
            <w:tcMar>
              <w:top w:w="96" w:type="dxa"/>
              <w:start w:w="88" w:type="dxa"/>
              <w:bottom w:w="96" w:type="dxa"/>
              <w:end w:w="88" w:type="dxa"/>
            </w:tcMar>
            <w:shd w:fill="D4E2F1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Typical update cadence</w:t>
            </w:r>
          </w:p>
        </w:tc>
      </w:tr>
      <w:tr>
        <w:tc>
          <w:tcPr>
            <w:tcW w:type="dxa" w:w="2448"/>
            <w:tcMar>
              <w:top w:w="90" w:type="dxa"/>
              <w:start w:w="84" w:type="dxa"/>
              <w:bottom w:w="90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Roadmap board</w:t>
            </w:r>
          </w:p>
        </w:tc>
        <w:tc>
          <w:tcPr>
            <w:tcW w:type="dxa" w:w="3671"/>
            <w:tcMar>
              <w:top w:w="90" w:type="dxa"/>
              <w:start w:w="84" w:type="dxa"/>
              <w:bottom w:w="90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Quarterly planning, initiative ranking, and status rollups for platform and edge investments</w:t>
            </w:r>
          </w:p>
        </w:tc>
        <w:tc>
          <w:tcPr>
            <w:tcW w:type="dxa" w:w="1655"/>
            <w:tcMar>
              <w:top w:w="90" w:type="dxa"/>
              <w:start w:w="84" w:type="dxa"/>
              <w:bottom w:w="90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Product</w:t>
            </w:r>
          </w:p>
        </w:tc>
        <w:tc>
          <w:tcPr>
            <w:tcW w:type="dxa" w:w="2088"/>
            <w:tcMar>
              <w:top w:w="90" w:type="dxa"/>
              <w:start w:w="84" w:type="dxa"/>
              <w:bottom w:w="90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Weekly</w:t>
            </w:r>
          </w:p>
        </w:tc>
      </w:tr>
      <w:tr>
        <w:tc>
          <w:tcPr>
            <w:tcW w:type="dxa" w:w="2448"/>
            <w:tcMar>
              <w:top w:w="90" w:type="dxa"/>
              <w:start w:w="84" w:type="dxa"/>
              <w:bottom w:w="90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LaunchHub tracker</w:t>
            </w:r>
          </w:p>
        </w:tc>
        <w:tc>
          <w:tcPr>
            <w:tcW w:type="dxa" w:w="3671"/>
            <w:tcMar>
              <w:top w:w="90" w:type="dxa"/>
              <w:start w:w="84" w:type="dxa"/>
              <w:bottom w:w="90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Launch readiness checklist, go/no-go gating, and milestone accountability</w:t>
            </w:r>
          </w:p>
        </w:tc>
        <w:tc>
          <w:tcPr>
            <w:tcW w:type="dxa" w:w="1655"/>
            <w:tcMar>
              <w:top w:w="90" w:type="dxa"/>
              <w:start w:w="84" w:type="dxa"/>
              <w:bottom w:w="90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PMO</w:t>
            </w:r>
          </w:p>
        </w:tc>
        <w:tc>
          <w:tcPr>
            <w:tcW w:type="dxa" w:w="2088"/>
            <w:tcMar>
              <w:top w:w="90" w:type="dxa"/>
              <w:start w:w="84" w:type="dxa"/>
              <w:bottom w:w="90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Twice weekly during launch</w:t>
            </w:r>
          </w:p>
        </w:tc>
      </w:tr>
      <w:tr>
        <w:tc>
          <w:tcPr>
            <w:tcW w:type="dxa" w:w="2448"/>
            <w:tcMar>
              <w:top w:w="90" w:type="dxa"/>
              <w:start w:w="84" w:type="dxa"/>
              <w:bottom w:w="90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Change review log</w:t>
            </w:r>
          </w:p>
        </w:tc>
        <w:tc>
          <w:tcPr>
            <w:tcW w:type="dxa" w:w="3671"/>
            <w:tcMar>
              <w:top w:w="90" w:type="dxa"/>
              <w:start w:w="84" w:type="dxa"/>
              <w:bottom w:w="90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Scope changes, target-date shifts, and dependency decisions requiring formal approval</w:t>
            </w:r>
          </w:p>
        </w:tc>
        <w:tc>
          <w:tcPr>
            <w:tcW w:type="dxa" w:w="1655"/>
            <w:tcMar>
              <w:top w:w="90" w:type="dxa"/>
              <w:start w:w="84" w:type="dxa"/>
              <w:bottom w:w="90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PMO</w:t>
            </w:r>
          </w:p>
        </w:tc>
        <w:tc>
          <w:tcPr>
            <w:tcW w:type="dxa" w:w="2088"/>
            <w:tcMar>
              <w:top w:w="90" w:type="dxa"/>
              <w:start w:w="84" w:type="dxa"/>
              <w:bottom w:w="90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As needed</w:t>
            </w:r>
          </w:p>
        </w:tc>
      </w:tr>
      <w:tr>
        <w:tc>
          <w:tcPr>
            <w:tcW w:type="dxa" w:w="2448"/>
            <w:tcMar>
              <w:top w:w="90" w:type="dxa"/>
              <w:start w:w="84" w:type="dxa"/>
              <w:bottom w:w="90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Voice of Customer digest</w:t>
            </w:r>
          </w:p>
        </w:tc>
        <w:tc>
          <w:tcPr>
            <w:tcW w:type="dxa" w:w="3671"/>
            <w:tcMar>
              <w:top w:w="90" w:type="dxa"/>
              <w:start w:w="84" w:type="dxa"/>
              <w:bottom w:w="90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Aggregated field feedback, support themes, renewal risk signals, and sales insights</w:t>
            </w:r>
          </w:p>
        </w:tc>
        <w:tc>
          <w:tcPr>
            <w:tcW w:type="dxa" w:w="1655"/>
            <w:tcMar>
              <w:top w:w="90" w:type="dxa"/>
              <w:start w:w="84" w:type="dxa"/>
              <w:bottom w:w="90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Product Ops</w:t>
            </w:r>
          </w:p>
        </w:tc>
        <w:tc>
          <w:tcPr>
            <w:tcW w:type="dxa" w:w="2088"/>
            <w:tcMar>
              <w:top w:w="90" w:type="dxa"/>
              <w:start w:w="84" w:type="dxa"/>
              <w:bottom w:w="90" w:type="dxa"/>
              <w:end w:w="84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Biweekly</w:t>
            </w:r>
          </w:p>
        </w:tc>
      </w:tr>
      <w:tr>
        <w:tc>
          <w:tcPr>
            <w:tcW w:type="dxa" w:w="2448"/>
            <w:tcMar>
              <w:top w:w="90" w:type="dxa"/>
              <w:start w:w="84" w:type="dxa"/>
              <w:bottom w:w="90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Executive operating review pack</w:t>
            </w:r>
          </w:p>
        </w:tc>
        <w:tc>
          <w:tcPr>
            <w:tcW w:type="dxa" w:w="3671"/>
            <w:tcMar>
              <w:top w:w="90" w:type="dxa"/>
              <w:start w:w="84" w:type="dxa"/>
              <w:bottom w:w="90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KPI reporting, risk heatmap, and portfolio narrative for leadership review</w:t>
            </w:r>
          </w:p>
        </w:tc>
        <w:tc>
          <w:tcPr>
            <w:tcW w:type="dxa" w:w="1655"/>
            <w:tcMar>
              <w:top w:w="90" w:type="dxa"/>
              <w:start w:w="84" w:type="dxa"/>
              <w:bottom w:w="90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PMO</w:t>
            </w:r>
          </w:p>
        </w:tc>
        <w:tc>
          <w:tcPr>
            <w:tcW w:type="dxa" w:w="2088"/>
            <w:tcMar>
              <w:top w:w="90" w:type="dxa"/>
              <w:start w:w="84" w:type="dxa"/>
              <w:bottom w:w="90" w:type="dxa"/>
              <w:end w:w="84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Monthly</w:t>
            </w:r>
          </w:p>
        </w:tc>
      </w:tr>
    </w:tbl>
    <w:p/>
    <w:p>
      <w:pPr>
        <w:spacing w:before="120" w:after="80"/>
      </w:pPr>
      <w:r>
        <w:rPr>
          <w:rFonts w:ascii="Aptos" w:hAnsi="Aptos"/>
          <w:b/>
          <w:color w:val="1F4E79"/>
          <w:sz w:val="25"/>
        </w:rPr>
        <w:t>Standard release and launch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</w:trPr>
        <w:tc>
          <w:tcPr>
            <w:tcW w:type="dxa" w:w="1512"/>
            <w:tcMar>
              <w:top w:w="94" w:type="dxa"/>
              <w:start w:w="82" w:type="dxa"/>
              <w:bottom w:w="94" w:type="dxa"/>
              <w:end w:w="82" w:type="dxa"/>
            </w:tcMar>
            <w:shd w:fill="D4E2F1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Phase</w:t>
            </w:r>
          </w:p>
        </w:tc>
        <w:tc>
          <w:tcPr>
            <w:tcW w:type="dxa" w:w="2376"/>
            <w:tcMar>
              <w:top w:w="94" w:type="dxa"/>
              <w:start w:w="82" w:type="dxa"/>
              <w:bottom w:w="94" w:type="dxa"/>
              <w:end w:w="82" w:type="dxa"/>
            </w:tcMar>
            <w:shd w:fill="D4E2F1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Primary objective</w:t>
            </w:r>
          </w:p>
        </w:tc>
        <w:tc>
          <w:tcPr>
            <w:tcW w:type="dxa" w:w="2880"/>
            <w:tcMar>
              <w:top w:w="94" w:type="dxa"/>
              <w:start w:w="82" w:type="dxa"/>
              <w:bottom w:w="94" w:type="dxa"/>
              <w:end w:w="82" w:type="dxa"/>
            </w:tcMar>
            <w:shd w:fill="D4E2F1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Key outputs</w:t>
            </w:r>
          </w:p>
        </w:tc>
        <w:tc>
          <w:tcPr>
            <w:tcW w:type="dxa" w:w="1728"/>
            <w:tcMar>
              <w:top w:w="94" w:type="dxa"/>
              <w:start w:w="82" w:type="dxa"/>
              <w:bottom w:w="94" w:type="dxa"/>
              <w:end w:w="82" w:type="dxa"/>
            </w:tcMar>
            <w:shd w:fill="D4E2F1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Main owners</w:t>
            </w:r>
          </w:p>
        </w:tc>
        <w:tc>
          <w:tcPr>
            <w:tcW w:type="dxa" w:w="1944"/>
            <w:tcMar>
              <w:top w:w="94" w:type="dxa"/>
              <w:start w:w="82" w:type="dxa"/>
              <w:bottom w:w="94" w:type="dxa"/>
              <w:end w:w="82" w:type="dxa"/>
            </w:tcMar>
            <w:shd w:fill="D4E2F1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Readiness gate</w:t>
            </w:r>
          </w:p>
        </w:tc>
      </w:tr>
      <w:tr>
        <w:tc>
          <w:tcPr>
            <w:tcW w:type="dxa" w:w="1512"/>
            <w:tcMar>
              <w:top w:w="88" w:type="dxa"/>
              <w:start w:w="78" w:type="dxa"/>
              <w:bottom w:w="88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6"/>
              </w:rPr>
              <w:t>Intake</w:t>
            </w:r>
          </w:p>
        </w:tc>
        <w:tc>
          <w:tcPr>
            <w:tcW w:type="dxa" w:w="2376"/>
            <w:tcMar>
              <w:top w:w="88" w:type="dxa"/>
              <w:start w:w="78" w:type="dxa"/>
              <w:bottom w:w="88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6"/>
              </w:rPr>
              <w:t>Confirm customer problem, sponsor, scope, and success measures</w:t>
            </w:r>
          </w:p>
        </w:tc>
        <w:tc>
          <w:tcPr>
            <w:tcW w:type="dxa" w:w="2880"/>
            <w:tcMar>
              <w:top w:w="88" w:type="dxa"/>
              <w:start w:w="78" w:type="dxa"/>
              <w:bottom w:w="88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6"/>
              </w:rPr>
              <w:t>Initiative brief, opportunity statement, draft assumptions</w:t>
            </w:r>
          </w:p>
        </w:tc>
        <w:tc>
          <w:tcPr>
            <w:tcW w:type="dxa" w:w="1728"/>
            <w:tcMar>
              <w:top w:w="88" w:type="dxa"/>
              <w:start w:w="78" w:type="dxa"/>
              <w:bottom w:w="88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6"/>
              </w:rPr>
              <w:t>Product</w:t>
            </w:r>
          </w:p>
        </w:tc>
        <w:tc>
          <w:tcPr>
            <w:tcW w:type="dxa" w:w="1944"/>
            <w:tcMar>
              <w:top w:w="88" w:type="dxa"/>
              <w:start w:w="78" w:type="dxa"/>
              <w:bottom w:w="88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6"/>
              </w:rPr>
              <w:t>Intake accepted</w:t>
            </w:r>
          </w:p>
        </w:tc>
      </w:tr>
      <w:tr>
        <w:tc>
          <w:tcPr>
            <w:tcW w:type="dxa" w:w="1512"/>
            <w:tcMar>
              <w:top w:w="88" w:type="dxa"/>
              <w:start w:w="78" w:type="dxa"/>
              <w:bottom w:w="88" w:type="dxa"/>
              <w:end w:w="78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6"/>
              </w:rPr>
              <w:t>Planning</w:t>
            </w:r>
          </w:p>
        </w:tc>
        <w:tc>
          <w:tcPr>
            <w:tcW w:type="dxa" w:w="2376"/>
            <w:tcMar>
              <w:top w:w="88" w:type="dxa"/>
              <w:start w:w="78" w:type="dxa"/>
              <w:bottom w:w="88" w:type="dxa"/>
              <w:end w:w="78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6"/>
              </w:rPr>
              <w:t>Sequence work and align dependencies across teams</w:t>
            </w:r>
          </w:p>
        </w:tc>
        <w:tc>
          <w:tcPr>
            <w:tcW w:type="dxa" w:w="2880"/>
            <w:tcMar>
              <w:top w:w="88" w:type="dxa"/>
              <w:start w:w="78" w:type="dxa"/>
              <w:bottom w:w="88" w:type="dxa"/>
              <w:end w:w="78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6"/>
              </w:rPr>
              <w:t>Roadmap entry, milestone plan, staffing assumptions</w:t>
            </w:r>
          </w:p>
        </w:tc>
        <w:tc>
          <w:tcPr>
            <w:tcW w:type="dxa" w:w="1728"/>
            <w:tcMar>
              <w:top w:w="88" w:type="dxa"/>
              <w:start w:w="78" w:type="dxa"/>
              <w:bottom w:w="88" w:type="dxa"/>
              <w:end w:w="78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6"/>
              </w:rPr>
              <w:t>Product + PMO</w:t>
            </w:r>
          </w:p>
        </w:tc>
        <w:tc>
          <w:tcPr>
            <w:tcW w:type="dxa" w:w="1944"/>
            <w:tcMar>
              <w:top w:w="88" w:type="dxa"/>
              <w:start w:w="78" w:type="dxa"/>
              <w:bottom w:w="88" w:type="dxa"/>
              <w:end w:w="78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6"/>
              </w:rPr>
              <w:t>Plan baseline approved</w:t>
            </w:r>
          </w:p>
        </w:tc>
      </w:tr>
      <w:tr>
        <w:tc>
          <w:tcPr>
            <w:tcW w:type="dxa" w:w="1512"/>
            <w:tcMar>
              <w:top w:w="88" w:type="dxa"/>
              <w:start w:w="78" w:type="dxa"/>
              <w:bottom w:w="88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6"/>
              </w:rPr>
              <w:t>Build</w:t>
            </w:r>
          </w:p>
        </w:tc>
        <w:tc>
          <w:tcPr>
            <w:tcW w:type="dxa" w:w="2376"/>
            <w:tcMar>
              <w:top w:w="88" w:type="dxa"/>
              <w:start w:w="78" w:type="dxa"/>
              <w:bottom w:w="88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6"/>
              </w:rPr>
              <w:t>Deliver features, content, and operational changes</w:t>
            </w:r>
          </w:p>
        </w:tc>
        <w:tc>
          <w:tcPr>
            <w:tcW w:type="dxa" w:w="2880"/>
            <w:tcMar>
              <w:top w:w="88" w:type="dxa"/>
              <w:start w:w="78" w:type="dxa"/>
              <w:bottom w:w="88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6"/>
              </w:rPr>
              <w:t>Demo evidence, enablement plan, support prep, risk log</w:t>
            </w:r>
          </w:p>
        </w:tc>
        <w:tc>
          <w:tcPr>
            <w:tcW w:type="dxa" w:w="1728"/>
            <w:tcMar>
              <w:top w:w="88" w:type="dxa"/>
              <w:start w:w="78" w:type="dxa"/>
              <w:bottom w:w="88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6"/>
              </w:rPr>
              <w:t>Engineering + functional leads</w:t>
            </w:r>
          </w:p>
        </w:tc>
        <w:tc>
          <w:tcPr>
            <w:tcW w:type="dxa" w:w="1944"/>
            <w:tcMar>
              <w:top w:w="88" w:type="dxa"/>
              <w:start w:w="78" w:type="dxa"/>
              <w:bottom w:w="88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6"/>
              </w:rPr>
              <w:t>Ready for launch review</w:t>
            </w:r>
          </w:p>
        </w:tc>
      </w:tr>
      <w:tr>
        <w:tc>
          <w:tcPr>
            <w:tcW w:type="dxa" w:w="1512"/>
            <w:tcMar>
              <w:top w:w="88" w:type="dxa"/>
              <w:start w:w="78" w:type="dxa"/>
              <w:bottom w:w="88" w:type="dxa"/>
              <w:end w:w="78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6"/>
              </w:rPr>
              <w:t>Go-live</w:t>
            </w:r>
          </w:p>
        </w:tc>
        <w:tc>
          <w:tcPr>
            <w:tcW w:type="dxa" w:w="2376"/>
            <w:tcMar>
              <w:top w:w="88" w:type="dxa"/>
              <w:start w:w="78" w:type="dxa"/>
              <w:bottom w:w="88" w:type="dxa"/>
              <w:end w:w="78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6"/>
              </w:rPr>
              <w:t>Execute release and communications with controlled risk</w:t>
            </w:r>
          </w:p>
        </w:tc>
        <w:tc>
          <w:tcPr>
            <w:tcW w:type="dxa" w:w="2880"/>
            <w:tcMar>
              <w:top w:w="88" w:type="dxa"/>
              <w:start w:w="78" w:type="dxa"/>
              <w:bottom w:w="88" w:type="dxa"/>
              <w:end w:w="78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6"/>
              </w:rPr>
              <w:t>Go/no-go record, launch comms, rollback owner list</w:t>
            </w:r>
          </w:p>
        </w:tc>
        <w:tc>
          <w:tcPr>
            <w:tcW w:type="dxa" w:w="1728"/>
            <w:tcMar>
              <w:top w:w="88" w:type="dxa"/>
              <w:start w:w="78" w:type="dxa"/>
              <w:bottom w:w="88" w:type="dxa"/>
              <w:end w:w="78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6"/>
              </w:rPr>
              <w:t>PMO</w:t>
            </w:r>
          </w:p>
        </w:tc>
        <w:tc>
          <w:tcPr>
            <w:tcW w:type="dxa" w:w="1944"/>
            <w:tcMar>
              <w:top w:w="88" w:type="dxa"/>
              <w:start w:w="78" w:type="dxa"/>
              <w:bottom w:w="88" w:type="dxa"/>
              <w:end w:w="78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6"/>
              </w:rPr>
              <w:t>Launch approved</w:t>
            </w:r>
          </w:p>
        </w:tc>
      </w:tr>
      <w:tr>
        <w:tc>
          <w:tcPr>
            <w:tcW w:type="dxa" w:w="1512"/>
            <w:tcMar>
              <w:top w:w="88" w:type="dxa"/>
              <w:start w:w="78" w:type="dxa"/>
              <w:bottom w:w="88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6"/>
              </w:rPr>
              <w:t>Post-launch</w:t>
            </w:r>
          </w:p>
        </w:tc>
        <w:tc>
          <w:tcPr>
            <w:tcW w:type="dxa" w:w="2376"/>
            <w:tcMar>
              <w:top w:w="88" w:type="dxa"/>
              <w:start w:w="78" w:type="dxa"/>
              <w:bottom w:w="88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6"/>
              </w:rPr>
              <w:t>Measure impact and close follow-up actions</w:t>
            </w:r>
          </w:p>
        </w:tc>
        <w:tc>
          <w:tcPr>
            <w:tcW w:type="dxa" w:w="2880"/>
            <w:tcMar>
              <w:top w:w="88" w:type="dxa"/>
              <w:start w:w="78" w:type="dxa"/>
              <w:bottom w:w="88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6"/>
              </w:rPr>
              <w:t>Adoption dashboard, lessons learned, residual action plan</w:t>
            </w:r>
          </w:p>
        </w:tc>
        <w:tc>
          <w:tcPr>
            <w:tcW w:type="dxa" w:w="1728"/>
            <w:tcMar>
              <w:top w:w="88" w:type="dxa"/>
              <w:start w:w="78" w:type="dxa"/>
              <w:bottom w:w="88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6"/>
              </w:rPr>
              <w:t>Product</w:t>
            </w:r>
          </w:p>
        </w:tc>
        <w:tc>
          <w:tcPr>
            <w:tcW w:type="dxa" w:w="1944"/>
            <w:tcMar>
              <w:top w:w="88" w:type="dxa"/>
              <w:start w:w="78" w:type="dxa"/>
              <w:bottom w:w="88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6"/>
              </w:rPr>
              <w:t>30-day review closed</w:t>
            </w:r>
          </w:p>
        </w:tc>
      </w:tr>
    </w:tbl>
    <w:p>
      <w:pPr>
        <w:spacing w:before="120" w:after="80"/>
      </w:pPr>
      <w:r>
        <w:rPr>
          <w:rFonts w:ascii="Aptos" w:hAnsi="Aptos"/>
          <w:b/>
          <w:color w:val="1F4E79"/>
          <w:sz w:val="25"/>
        </w:rPr>
        <w:t>Program controls and escalation rules</w:t>
      </w:r>
    </w:p>
    <w:p>
      <w:pPr>
        <w:pStyle w:val="ListBullet"/>
        <w:spacing w:line="269" w:lineRule="auto" w:after="40"/>
      </w:pPr>
      <w:r>
        <w:rPr>
          <w:rFonts w:ascii="Aptos" w:hAnsi="Aptos"/>
          <w:color w:val="222222"/>
          <w:sz w:val="20"/>
        </w:rPr>
        <w:t>Any target-date movement greater than two business weeks for a committed launch requires a formal change review with updated impact notes for Customer Success, Revenue, and Support.</w:t>
      </w:r>
    </w:p>
    <w:p>
      <w:pPr>
        <w:pStyle w:val="ListBullet"/>
        <w:spacing w:line="269" w:lineRule="auto" w:after="40"/>
      </w:pPr>
      <w:r>
        <w:rPr>
          <w:rFonts w:ascii="Aptos" w:hAnsi="Aptos"/>
          <w:color w:val="222222"/>
          <w:sz w:val="20"/>
        </w:rPr>
        <w:t>Security, legal, or compliance blockers automatically pause launch approval until a named owner, mitigation path, and revised target date are documented in LaunchHub.</w:t>
      </w:r>
    </w:p>
    <w:p>
      <w:pPr>
        <w:pStyle w:val="ListBullet"/>
        <w:spacing w:line="269" w:lineRule="auto" w:after="40"/>
      </w:pPr>
      <w:r>
        <w:rPr>
          <w:rFonts w:ascii="Aptos" w:hAnsi="Aptos"/>
          <w:color w:val="222222"/>
          <w:sz w:val="20"/>
        </w:rPr>
        <w:t>A cross-functional launch is not considered ready unless support documentation, enablement materials, analytics instrumentation, and rollback contacts are confirmed.</w:t>
      </w:r>
    </w:p>
    <w:p>
      <w:pPr>
        <w:pStyle w:val="ListBullet"/>
        <w:spacing w:line="269" w:lineRule="auto" w:after="40"/>
      </w:pPr>
      <w:r>
        <w:rPr>
          <w:rFonts w:ascii="Aptos" w:hAnsi="Aptos"/>
          <w:color w:val="222222"/>
          <w:sz w:val="20"/>
        </w:rPr>
        <w:t>High-risk launches must have an executive sponsor and an explicit communications plan for internal teams, pilot customers, and field operators.</w:t>
      </w:r>
    </w:p>
    <w:p>
      <w:pPr>
        <w:spacing w:before="120" w:after="80"/>
      </w:pPr>
      <w:r>
        <w:rPr>
          <w:rFonts w:ascii="Aptos" w:hAnsi="Aptos"/>
          <w:b/>
          <w:color w:val="1F4E79"/>
          <w:sz w:val="25"/>
        </w:rPr>
        <w:t>Frequently asked questions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What is the difference between product management and program management at OrchestrAI?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Product management decides what outcomes and capabilities matter most, while program management ensures the work can be delivered in a coordinated, on-time, low-risk way across teams.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When does an idea become an approved roadmap item?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An idea becomes roadmap-eligible after the problem statement, business value, customer segment, success metric, and rough dependency assessment are documented and reviewed in intake.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Who owns prioritization for platform versus customer-specific requests?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Product owns prioritization, but must balance strategic roadmap items, contractual commitments, customer risk, and operational stability using the agreed portfolio scoring model.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How are launch tiers defined?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Tier 1 launches are high-risk or customer-visible changes needing full readiness review; Tier 2 launches need cross-functional coordination but lighter governance; Tier 3 launches are lower-risk incremental changes.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When is a formal launch readiness review required?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A formal review is required for net-new capabilities, major pricing or packaging changes, edge-device behavior changes, regulatory-impacting updates, and any launch with a rollback dependency.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How should dependencies be documented?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Dependencies should identify the upstream owner, required deliverable, due date, risk if missed, and contingency plan. Hidden or verbal-only dependencies are not accepted for committed launches.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What happens if Engineering slips a milestone?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Program management logs the slip, re-evaluates critical path impact, updates stakeholders, and triggers a change review if the delay affects committed dates or readiness scope.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Who approves a change to a committed release date?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The accountable program manager coordinates approval from the product lead, engineering lead, and any downstream business owners affected by the change.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How are support and customer success teams brought into launches?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They are engaged during planning for ticket volume assumptions, known-issue documentation, onboarding content, and customer communications, not only during go-live week.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What qualifies as a go/no-go blocker?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Open Sev 1 or Sev 2 defects, unresolved security findings, missing support playbooks, missing rollback plans, or incomplete operational training all qualify as blockers.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How are pilots handled differently from full releases?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Pilots still need explicit scope, customer list, success criteria, rollback readiness, and owner coverage, but the communication footprint and gating can be narrower than a general release.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What is the role of Product Operations?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Product Operations keeps templates current, ensures planning hygiene, manages recurring cadences, and improves the quality and consistency of portfolio data.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How are KPIs chosen for a launch?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KPIs should map directly to the original objective, such as adoption, time saved, error reduction, support deflection, or fulfillment efficiency, with a named data source and review date.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How is customer feedback fed back into the roadmap?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Feedback is normalized through the Voice of Customer digest, linked to themes or segments, and weighed alongside strategy, revenue impact, and technical feasibility.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When do Sales and Solutions need enablement materials?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For committed launches, enablement drafts should be available before final go/no-go review so objections, positioning gaps, and operational questions can be addressed early.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How are launch risks scored?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Risks are scored using probability, customer impact, revenue exposure, operational complexity, and mitigation maturity, then tracked on the cross-functional risk register.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What is required after launch?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Teams must review adoption and stability data, close follow-up actions, capture lessons learned, and document whether the release met its original success criteria.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Who owns sunset and deprecation planning?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Product owns the lifecycle decision, but PMO coordinates timelines while Engineering, Support, Sales, and Customer Success manage execution and communications.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How should emergency scope additions be handled?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Emergency additions require explicit documentation of why they bypassed normal planning, who approved them, and what trade-offs or risks were introduced.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Which launches need executive visibility?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Any launch with contractual exposure, large customer impact, brand risk, cross-region operational changes, or major pricing implications should appear in the executive operating review.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How are roadmap trade-offs communicated to stakeholders?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Trade-offs should be documented in the portfolio update with the decision rationale, impacted timelines, deferred items, and expected downstream consequences.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Who owns launch communications when multiple teams are involved?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PMO coordinates the master communications plan, but each functional owner remains responsible for the accuracy of their audience-specific content.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What evidence is needed for a go-live recommendation?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The recommendation should include current defect posture, readiness sign-offs, rollback contacts, analytics confirmation, enablement status, and unresolved risks with owners.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How are internal-only operational changes tracked?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They are tracked as programs or operational initiatives when they affect support workflows, warehouse procedures, field readiness, or enterprise controls even if they are not customer-facing features.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When should Finance be involved in planning?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Finance should be involved whenever a launch changes hosting cost, hardware margin, services effort, pricing assumptions, or vendor commitments.</w:t>
      </w:r>
    </w:p>
    <w:p>
      <w:pPr>
        <w:spacing w:after="20" w:line="259" w:lineRule="auto"/>
      </w:pPr>
      <w:r>
        <w:rPr>
          <w:rFonts w:ascii="Aptos" w:hAnsi="Aptos"/>
          <w:b/>
          <w:color w:val="222222"/>
          <w:sz w:val="20"/>
        </w:rPr>
        <w:t>Q. What closes a program formally?</w:t>
      </w:r>
    </w:p>
    <w:p>
      <w:pPr>
        <w:spacing w:after="80" w:line="269" w:lineRule="auto"/>
        <w:ind w:left="216"/>
      </w:pPr>
      <w:r>
        <w:rPr>
          <w:rFonts w:ascii="Aptos" w:hAnsi="Aptos"/>
          <w:color w:val="222222"/>
          <w:sz w:val="20"/>
        </w:rPr>
        <w:t>A. A program is formally closed only after committed deliverables are complete, residual actions are transferred, metrics are reviewed, and the final summary is published.</w:t>
      </w:r>
    </w:p>
    <w:p>
      <w:pPr>
        <w:spacing w:before="120" w:after="80"/>
      </w:pPr>
      <w:r>
        <w:rPr>
          <w:rFonts w:ascii="Aptos" w:hAnsi="Aptos"/>
          <w:b/>
          <w:color w:val="1F4E79"/>
          <w:sz w:val="25"/>
        </w:rPr>
        <w:t>Governance calendar and meeting cadence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1440"/>
            <w:tcMar>
              <w:top w:w="90" w:type="dxa"/>
              <w:start w:w="84" w:type="dxa"/>
              <w:bottom w:w="90" w:type="dxa"/>
              <w:end w:w="84" w:type="dxa"/>
            </w:tcMar>
            <w:shd w:fill="D4E2F1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Cadence</w:t>
            </w:r>
          </w:p>
        </w:tc>
        <w:tc>
          <w:tcPr>
            <w:tcW w:type="dxa" w:w="2520"/>
            <w:tcMar>
              <w:top w:w="90" w:type="dxa"/>
              <w:start w:w="84" w:type="dxa"/>
              <w:bottom w:w="90" w:type="dxa"/>
              <w:end w:w="84" w:type="dxa"/>
            </w:tcMar>
            <w:shd w:fill="D4E2F1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Forum</w:t>
            </w:r>
          </w:p>
        </w:tc>
        <w:tc>
          <w:tcPr>
            <w:tcW w:type="dxa" w:w="3528"/>
            <w:tcMar>
              <w:top w:w="90" w:type="dxa"/>
              <w:start w:w="84" w:type="dxa"/>
              <w:bottom w:w="90" w:type="dxa"/>
              <w:end w:w="84" w:type="dxa"/>
            </w:tcMar>
            <w:shd w:fill="D4E2F1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Primary purpose</w:t>
            </w:r>
          </w:p>
        </w:tc>
        <w:tc>
          <w:tcPr>
            <w:tcW w:type="dxa" w:w="2304"/>
            <w:tcMar>
              <w:top w:w="90" w:type="dxa"/>
              <w:start w:w="84" w:type="dxa"/>
              <w:bottom w:w="90" w:type="dxa"/>
              <w:end w:w="84" w:type="dxa"/>
            </w:tcMar>
            <w:shd w:fill="D4E2F1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Required attendees</w:t>
            </w:r>
          </w:p>
        </w:tc>
      </w:tr>
      <w:tr>
        <w:tc>
          <w:tcPr>
            <w:tcW w:type="dxa" w:w="1440"/>
            <w:tcMar>
              <w:top w:w="86" w:type="dxa"/>
              <w:start w:w="78" w:type="dxa"/>
              <w:bottom w:w="86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6"/>
              </w:rPr>
              <w:t>Weekly</w:t>
            </w:r>
          </w:p>
        </w:tc>
        <w:tc>
          <w:tcPr>
            <w:tcW w:type="dxa" w:w="2520"/>
            <w:tcMar>
              <w:top w:w="86" w:type="dxa"/>
              <w:start w:w="78" w:type="dxa"/>
              <w:bottom w:w="86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6"/>
              </w:rPr>
              <w:t>Portfolio sync</w:t>
            </w:r>
          </w:p>
        </w:tc>
        <w:tc>
          <w:tcPr>
            <w:tcW w:type="dxa" w:w="3528"/>
            <w:tcMar>
              <w:top w:w="86" w:type="dxa"/>
              <w:start w:w="78" w:type="dxa"/>
              <w:bottom w:w="86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6"/>
              </w:rPr>
              <w:t>Review milestone health, open risks, and dependency changes across active initiatives</w:t>
            </w:r>
          </w:p>
        </w:tc>
        <w:tc>
          <w:tcPr>
            <w:tcW w:type="dxa" w:w="2304"/>
            <w:tcMar>
              <w:top w:w="86" w:type="dxa"/>
              <w:start w:w="78" w:type="dxa"/>
              <w:bottom w:w="86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6"/>
              </w:rPr>
              <w:t>PMO, Product, Eng lead</w:t>
            </w:r>
          </w:p>
        </w:tc>
      </w:tr>
      <w:tr>
        <w:tc>
          <w:tcPr>
            <w:tcW w:type="dxa" w:w="1440"/>
            <w:tcMar>
              <w:top w:w="86" w:type="dxa"/>
              <w:start w:w="78" w:type="dxa"/>
              <w:bottom w:w="86" w:type="dxa"/>
              <w:end w:w="78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6"/>
              </w:rPr>
              <w:t>Biweekly</w:t>
            </w:r>
          </w:p>
        </w:tc>
        <w:tc>
          <w:tcPr>
            <w:tcW w:type="dxa" w:w="2520"/>
            <w:tcMar>
              <w:top w:w="86" w:type="dxa"/>
              <w:start w:w="78" w:type="dxa"/>
              <w:bottom w:w="86" w:type="dxa"/>
              <w:end w:w="78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6"/>
              </w:rPr>
              <w:t>Launch readiness review</w:t>
            </w:r>
          </w:p>
        </w:tc>
        <w:tc>
          <w:tcPr>
            <w:tcW w:type="dxa" w:w="3528"/>
            <w:tcMar>
              <w:top w:w="86" w:type="dxa"/>
              <w:start w:w="78" w:type="dxa"/>
              <w:bottom w:w="86" w:type="dxa"/>
              <w:end w:w="78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6"/>
              </w:rPr>
              <w:t>Confirm gating evidence, comms status, and support readiness for upcoming launches</w:t>
            </w:r>
          </w:p>
        </w:tc>
        <w:tc>
          <w:tcPr>
            <w:tcW w:type="dxa" w:w="2304"/>
            <w:tcMar>
              <w:top w:w="86" w:type="dxa"/>
              <w:start w:w="78" w:type="dxa"/>
              <w:bottom w:w="86" w:type="dxa"/>
              <w:end w:w="78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6"/>
              </w:rPr>
              <w:t>PMO, Product, CS, Marketing, Support</w:t>
            </w:r>
          </w:p>
        </w:tc>
      </w:tr>
      <w:tr>
        <w:tc>
          <w:tcPr>
            <w:tcW w:type="dxa" w:w="1440"/>
            <w:tcMar>
              <w:top w:w="86" w:type="dxa"/>
              <w:start w:w="78" w:type="dxa"/>
              <w:bottom w:w="86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6"/>
              </w:rPr>
              <w:t>Monthly</w:t>
            </w:r>
          </w:p>
        </w:tc>
        <w:tc>
          <w:tcPr>
            <w:tcW w:type="dxa" w:w="2520"/>
            <w:tcMar>
              <w:top w:w="86" w:type="dxa"/>
              <w:start w:w="78" w:type="dxa"/>
              <w:bottom w:w="86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6"/>
              </w:rPr>
              <w:t>Executive operating review</w:t>
            </w:r>
          </w:p>
        </w:tc>
        <w:tc>
          <w:tcPr>
            <w:tcW w:type="dxa" w:w="3528"/>
            <w:tcMar>
              <w:top w:w="86" w:type="dxa"/>
              <w:start w:w="78" w:type="dxa"/>
              <w:bottom w:w="86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6"/>
              </w:rPr>
              <w:t>Escalate red risks, decisions, funding shifts, and KPI movement</w:t>
            </w:r>
          </w:p>
        </w:tc>
        <w:tc>
          <w:tcPr>
            <w:tcW w:type="dxa" w:w="2304"/>
            <w:tcMar>
              <w:top w:w="86" w:type="dxa"/>
              <w:start w:w="78" w:type="dxa"/>
              <w:bottom w:w="86" w:type="dxa"/>
              <w:end w:w="78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6"/>
              </w:rPr>
              <w:t>Executives, functional leads</w:t>
            </w:r>
          </w:p>
        </w:tc>
      </w:tr>
      <w:tr>
        <w:tc>
          <w:tcPr>
            <w:tcW w:type="dxa" w:w="1440"/>
            <w:tcMar>
              <w:top w:w="86" w:type="dxa"/>
              <w:start w:w="78" w:type="dxa"/>
              <w:bottom w:w="86" w:type="dxa"/>
              <w:end w:w="78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6"/>
              </w:rPr>
              <w:t>Quarterly</w:t>
            </w:r>
          </w:p>
        </w:tc>
        <w:tc>
          <w:tcPr>
            <w:tcW w:type="dxa" w:w="2520"/>
            <w:tcMar>
              <w:top w:w="86" w:type="dxa"/>
              <w:start w:w="78" w:type="dxa"/>
              <w:bottom w:w="86" w:type="dxa"/>
              <w:end w:w="78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6"/>
              </w:rPr>
              <w:t>Roadmap planning</w:t>
            </w:r>
          </w:p>
        </w:tc>
        <w:tc>
          <w:tcPr>
            <w:tcW w:type="dxa" w:w="3528"/>
            <w:tcMar>
              <w:top w:w="86" w:type="dxa"/>
              <w:start w:w="78" w:type="dxa"/>
              <w:bottom w:w="86" w:type="dxa"/>
              <w:end w:w="78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6"/>
              </w:rPr>
              <w:t>Re-score initiatives, capacity assumptions, and strategic trade-offs</w:t>
            </w:r>
          </w:p>
        </w:tc>
        <w:tc>
          <w:tcPr>
            <w:tcW w:type="dxa" w:w="2304"/>
            <w:tcMar>
              <w:top w:w="86" w:type="dxa"/>
              <w:start w:w="78" w:type="dxa"/>
              <w:bottom w:w="86" w:type="dxa"/>
              <w:end w:w="78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6"/>
              </w:rPr>
              <w:t>Product leadership, Finance, PMO</w:t>
            </w:r>
          </w:p>
        </w:tc>
      </w:tr>
    </w:tbl>
    <w:p/>
    <w:p>
      <w:pPr>
        <w:spacing w:before="120" w:after="80"/>
      </w:pPr>
      <w:r>
        <w:rPr>
          <w:rFonts w:ascii="Aptos" w:hAnsi="Aptos"/>
          <w:b/>
          <w:color w:val="1F4E79"/>
          <w:sz w:val="25"/>
        </w:rPr>
        <w:t>Key metrics, glossary, and related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2232"/>
            <w:tcMar>
              <w:top w:w="92" w:type="dxa"/>
              <w:start w:w="84" w:type="dxa"/>
              <w:bottom w:w="92" w:type="dxa"/>
              <w:end w:w="84" w:type="dxa"/>
            </w:tcMar>
            <w:shd w:fill="D4E2F1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Metric or term</w:t>
            </w:r>
          </w:p>
        </w:tc>
        <w:tc>
          <w:tcPr>
            <w:tcW w:type="dxa" w:w="5040"/>
            <w:tcMar>
              <w:top w:w="92" w:type="dxa"/>
              <w:start w:w="84" w:type="dxa"/>
              <w:bottom w:w="92" w:type="dxa"/>
              <w:end w:w="84" w:type="dxa"/>
            </w:tcMar>
            <w:shd w:fill="D4E2F1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Definition</w:t>
            </w:r>
          </w:p>
        </w:tc>
        <w:tc>
          <w:tcPr>
            <w:tcW w:type="dxa" w:w="2232"/>
            <w:tcMar>
              <w:top w:w="92" w:type="dxa"/>
              <w:start w:w="84" w:type="dxa"/>
              <w:bottom w:w="92" w:type="dxa"/>
              <w:end w:w="84" w:type="dxa"/>
            </w:tcMar>
            <w:shd w:fill="D4E2F1"/>
          </w:tcPr>
          <w:p>
            <w:pPr>
              <w:spacing w:after="0"/>
              <w:jc w:val="center"/>
            </w:pPr>
            <w:r>
              <w:rPr>
                <w:b/>
                <w:color w:val="222222"/>
                <w:sz w:val="17"/>
              </w:rPr>
              <w:t>Target or note</w:t>
            </w:r>
          </w:p>
        </w:tc>
      </w:tr>
      <w:tr>
        <w:tc>
          <w:tcPr>
            <w:tcW w:type="dxa" w:w="2232"/>
            <w:tcMar>
              <w:top w:w="88" w:type="dxa"/>
              <w:start w:w="80" w:type="dxa"/>
              <w:bottom w:w="88" w:type="dxa"/>
              <w:end w:w="80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Launch readiness</w:t>
            </w:r>
          </w:p>
        </w:tc>
        <w:tc>
          <w:tcPr>
            <w:tcW w:type="dxa" w:w="5040"/>
            <w:tcMar>
              <w:top w:w="88" w:type="dxa"/>
              <w:start w:w="80" w:type="dxa"/>
              <w:bottom w:w="88" w:type="dxa"/>
              <w:end w:w="80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Share of Tier 1 and Tier 2 launches that reach go/no-go with all required owners signed off</w:t>
            </w:r>
          </w:p>
        </w:tc>
        <w:tc>
          <w:tcPr>
            <w:tcW w:type="dxa" w:w="2232"/>
            <w:tcMar>
              <w:top w:w="88" w:type="dxa"/>
              <w:start w:w="80" w:type="dxa"/>
              <w:bottom w:w="88" w:type="dxa"/>
              <w:end w:w="80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Target: &gt;= 95%</w:t>
            </w:r>
          </w:p>
        </w:tc>
      </w:tr>
      <w:tr>
        <w:tc>
          <w:tcPr>
            <w:tcW w:type="dxa" w:w="2232"/>
            <w:tcMar>
              <w:top w:w="88" w:type="dxa"/>
              <w:start w:w="80" w:type="dxa"/>
              <w:bottom w:w="88" w:type="dxa"/>
              <w:end w:w="8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Date predictability</w:t>
            </w:r>
          </w:p>
        </w:tc>
        <w:tc>
          <w:tcPr>
            <w:tcW w:type="dxa" w:w="5040"/>
            <w:tcMar>
              <w:top w:w="88" w:type="dxa"/>
              <w:start w:w="80" w:type="dxa"/>
              <w:bottom w:w="88" w:type="dxa"/>
              <w:end w:w="8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Percentage of committed milestones delivered within the accepted variance window</w:t>
            </w:r>
          </w:p>
        </w:tc>
        <w:tc>
          <w:tcPr>
            <w:tcW w:type="dxa" w:w="2232"/>
            <w:tcMar>
              <w:top w:w="88" w:type="dxa"/>
              <w:start w:w="80" w:type="dxa"/>
              <w:bottom w:w="88" w:type="dxa"/>
              <w:end w:w="8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Target: &gt;= 90%</w:t>
            </w:r>
          </w:p>
        </w:tc>
      </w:tr>
      <w:tr>
        <w:tc>
          <w:tcPr>
            <w:tcW w:type="dxa" w:w="2232"/>
            <w:tcMar>
              <w:top w:w="88" w:type="dxa"/>
              <w:start w:w="80" w:type="dxa"/>
              <w:bottom w:w="88" w:type="dxa"/>
              <w:end w:w="80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Adoption review</w:t>
            </w:r>
          </w:p>
        </w:tc>
        <w:tc>
          <w:tcPr>
            <w:tcW w:type="dxa" w:w="5040"/>
            <w:tcMar>
              <w:top w:w="88" w:type="dxa"/>
              <w:start w:w="80" w:type="dxa"/>
              <w:bottom w:w="88" w:type="dxa"/>
              <w:end w:w="80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Formal check of KPI movement 30 days after launch</w:t>
            </w:r>
          </w:p>
        </w:tc>
        <w:tc>
          <w:tcPr>
            <w:tcW w:type="dxa" w:w="2232"/>
            <w:tcMar>
              <w:top w:w="88" w:type="dxa"/>
              <w:start w:w="80" w:type="dxa"/>
              <w:bottom w:w="88" w:type="dxa"/>
              <w:end w:w="80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Required for all major launches</w:t>
            </w:r>
          </w:p>
        </w:tc>
      </w:tr>
      <w:tr>
        <w:tc>
          <w:tcPr>
            <w:tcW w:type="dxa" w:w="2232"/>
            <w:tcMar>
              <w:top w:w="88" w:type="dxa"/>
              <w:start w:w="80" w:type="dxa"/>
              <w:bottom w:w="88" w:type="dxa"/>
              <w:end w:w="8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Change review</w:t>
            </w:r>
          </w:p>
        </w:tc>
        <w:tc>
          <w:tcPr>
            <w:tcW w:type="dxa" w:w="5040"/>
            <w:tcMar>
              <w:top w:w="88" w:type="dxa"/>
              <w:start w:w="80" w:type="dxa"/>
              <w:bottom w:w="88" w:type="dxa"/>
              <w:end w:w="80" w:type="dxa"/>
            </w:tcMar>
            <w:shd w:fill="FFFFFF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Governance forum for scope, date, or dependency shifts that affect commitments</w:t>
            </w:r>
          </w:p>
        </w:tc>
        <w:tc>
          <w:tcPr>
            <w:tcW w:type="dxa" w:w="2232"/>
            <w:tcMar>
              <w:top w:w="88" w:type="dxa"/>
              <w:start w:w="80" w:type="dxa"/>
              <w:bottom w:w="88" w:type="dxa"/>
              <w:end w:w="80" w:type="dxa"/>
            </w:tcMar>
            <w:shd w:fill="FFFFFF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Run weekly or ad hoc</w:t>
            </w:r>
          </w:p>
        </w:tc>
      </w:tr>
      <w:tr>
        <w:tc>
          <w:tcPr>
            <w:tcW w:type="dxa" w:w="2232"/>
            <w:tcMar>
              <w:top w:w="88" w:type="dxa"/>
              <w:start w:w="80" w:type="dxa"/>
              <w:bottom w:w="88" w:type="dxa"/>
              <w:end w:w="80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LaunchHub</w:t>
            </w:r>
          </w:p>
        </w:tc>
        <w:tc>
          <w:tcPr>
            <w:tcW w:type="dxa" w:w="5040"/>
            <w:tcMar>
              <w:top w:w="88" w:type="dxa"/>
              <w:start w:w="80" w:type="dxa"/>
              <w:bottom w:w="88" w:type="dxa"/>
              <w:end w:w="80" w:type="dxa"/>
            </w:tcMar>
            <w:shd w:fill="F8FBFD"/>
            <w:vAlign w:val="center"/>
          </w:tcPr>
          <w:p>
            <w:pPr>
              <w:spacing w:after="0"/>
              <w:jc w:val="left"/>
            </w:pPr>
            <w:r>
              <w:rPr>
                <w:color w:val="222222"/>
                <w:sz w:val="17"/>
              </w:rPr>
              <w:t>Internal tracker used for readiness tasks, gates, and launch evidence</w:t>
            </w:r>
          </w:p>
        </w:tc>
        <w:tc>
          <w:tcPr>
            <w:tcW w:type="dxa" w:w="2232"/>
            <w:tcMar>
              <w:top w:w="88" w:type="dxa"/>
              <w:start w:w="80" w:type="dxa"/>
              <w:bottom w:w="88" w:type="dxa"/>
              <w:end w:w="80" w:type="dxa"/>
            </w:tcMar>
            <w:shd w:fill="F8FBFD"/>
            <w:vAlign w:val="center"/>
          </w:tcPr>
          <w:p>
            <w:pPr>
              <w:spacing w:after="0"/>
              <w:jc w:val="center"/>
            </w:pPr>
            <w:r>
              <w:rPr>
                <w:color w:val="222222"/>
                <w:sz w:val="17"/>
              </w:rPr>
              <w:t>System of record</w:t>
            </w:r>
          </w:p>
        </w:tc>
      </w:tr>
    </w:tbl>
    <w:p>
      <w:pPr>
        <w:spacing w:after="0" w:line="276" w:lineRule="auto"/>
      </w:pPr>
      <w:r>
        <w:rPr>
          <w:rFonts w:ascii="Aptos" w:hAnsi="Aptos"/>
          <w:color w:val="666666"/>
          <w:sz w:val="19"/>
        </w:rPr>
        <w:t>Related references: Engineering release controls, Security launch approvals, Customer Success onboarding timelines, Sales enablement briefs, and Logistics field deployment readiness packs.</w:t>
      </w:r>
    </w:p>
    <w:sectPr w:rsidR="00FC693F" w:rsidRPr="0006063C" w:rsidSect="00034616">
      <w:pgSz w:w="12240" w:h="15840"/>
      <w:pgMar w:top="893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