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4363" w14:textId="77777777" w:rsidR="00734864" w:rsidRDefault="00000000">
      <w:pPr>
        <w:shd w:val="clear" w:color="auto" w:fill="1F4E79"/>
        <w:spacing w:before="40"/>
        <w:jc w:val="center"/>
      </w:pPr>
      <w:r>
        <w:rPr>
          <w:b/>
          <w:color w:val="FFFFFF"/>
          <w:sz w:val="22"/>
        </w:rPr>
        <w:t>OrchestrAI Security Notice</w:t>
      </w:r>
    </w:p>
    <w:p w14:paraId="0B6020BC" w14:textId="77777777" w:rsidR="00734864" w:rsidRDefault="00000000">
      <w:pPr>
        <w:jc w:val="center"/>
      </w:pPr>
      <w:r>
        <w:rPr>
          <w:b/>
          <w:color w:val="1F4E79"/>
          <w:sz w:val="36"/>
        </w:rPr>
        <w:t>VAL-SEC-004 — Data Retention Notice</w:t>
      </w:r>
    </w:p>
    <w:p w14:paraId="01D471C4" w14:textId="77777777" w:rsidR="00734864" w:rsidRDefault="00000000">
      <w:pPr>
        <w:jc w:val="center"/>
      </w:pPr>
      <w:r>
        <w:rPr>
          <w:i/>
          <w:color w:val="5F5F5F"/>
        </w:rPr>
        <w:t>Retention Schedule for Security Logs, Audit Artifacts, and Investigation Records</w:t>
      </w:r>
    </w:p>
    <w:tbl>
      <w:tblPr>
        <w:tblStyle w:val="TableGrid"/>
        <w:tblW w:w="0" w:type="auto"/>
        <w:jc w:val="center"/>
        <w:tblLayout w:type="fixed"/>
        <w:tblLook w:val="04A0" w:firstRow="1" w:lastRow="0" w:firstColumn="1" w:lastColumn="0" w:noHBand="0" w:noVBand="1"/>
      </w:tblPr>
      <w:tblGrid>
        <w:gridCol w:w="1800"/>
        <w:gridCol w:w="3024"/>
        <w:gridCol w:w="1800"/>
        <w:gridCol w:w="3024"/>
      </w:tblGrid>
      <w:tr w:rsidR="00734864" w14:paraId="173DC43E" w14:textId="77777777">
        <w:trPr>
          <w:jc w:val="center"/>
        </w:trPr>
        <w:tc>
          <w:tcPr>
            <w:tcW w:w="1800" w:type="dxa"/>
            <w:shd w:val="clear" w:color="auto" w:fill="1F4E79"/>
            <w:vAlign w:val="center"/>
          </w:tcPr>
          <w:p w14:paraId="4E1D18C9" w14:textId="77777777" w:rsidR="00734864" w:rsidRDefault="00000000">
            <w:pPr>
              <w:spacing w:after="0"/>
            </w:pPr>
            <w:r>
              <w:rPr>
                <w:b/>
                <w:color w:val="FFFFFF"/>
                <w:sz w:val="18"/>
              </w:rPr>
              <w:t>Document ID</w:t>
            </w:r>
          </w:p>
        </w:tc>
        <w:tc>
          <w:tcPr>
            <w:tcW w:w="3024" w:type="dxa"/>
            <w:shd w:val="clear" w:color="auto" w:fill="EAF1F8"/>
            <w:vAlign w:val="center"/>
          </w:tcPr>
          <w:p w14:paraId="4D4CB3C8" w14:textId="77777777" w:rsidR="00734864" w:rsidRDefault="00000000">
            <w:pPr>
              <w:spacing w:after="0"/>
            </w:pPr>
            <w:r>
              <w:rPr>
                <w:color w:val="1F1F1F"/>
                <w:sz w:val="18"/>
              </w:rPr>
              <w:t>VAL-SEC-004</w:t>
            </w:r>
          </w:p>
        </w:tc>
        <w:tc>
          <w:tcPr>
            <w:tcW w:w="1800" w:type="dxa"/>
            <w:shd w:val="clear" w:color="auto" w:fill="1F4E79"/>
            <w:vAlign w:val="center"/>
          </w:tcPr>
          <w:p w14:paraId="1299EB8E" w14:textId="77777777" w:rsidR="00734864" w:rsidRDefault="00000000">
            <w:pPr>
              <w:spacing w:after="0"/>
            </w:pPr>
            <w:r>
              <w:rPr>
                <w:b/>
                <w:color w:val="FFFFFF"/>
                <w:sz w:val="18"/>
              </w:rPr>
              <w:t>Department</w:t>
            </w:r>
          </w:p>
        </w:tc>
        <w:tc>
          <w:tcPr>
            <w:tcW w:w="3024" w:type="dxa"/>
            <w:shd w:val="clear" w:color="auto" w:fill="EAF1F8"/>
            <w:vAlign w:val="center"/>
          </w:tcPr>
          <w:p w14:paraId="35EE6FA4" w14:textId="77777777" w:rsidR="00734864" w:rsidRDefault="00000000">
            <w:pPr>
              <w:spacing w:after="0"/>
            </w:pPr>
            <w:r>
              <w:rPr>
                <w:color w:val="1F1F1F"/>
                <w:sz w:val="18"/>
              </w:rPr>
              <w:t>Security &amp; Compliance</w:t>
            </w:r>
          </w:p>
        </w:tc>
      </w:tr>
      <w:tr w:rsidR="00734864" w14:paraId="1AEF004B" w14:textId="77777777">
        <w:trPr>
          <w:jc w:val="center"/>
        </w:trPr>
        <w:tc>
          <w:tcPr>
            <w:tcW w:w="1800" w:type="dxa"/>
            <w:shd w:val="clear" w:color="auto" w:fill="1F4E79"/>
            <w:vAlign w:val="center"/>
          </w:tcPr>
          <w:p w14:paraId="379E33F3" w14:textId="77777777" w:rsidR="00734864" w:rsidRDefault="00000000">
            <w:pPr>
              <w:spacing w:after="0"/>
            </w:pPr>
            <w:r>
              <w:rPr>
                <w:b/>
                <w:color w:val="FFFFFF"/>
                <w:sz w:val="18"/>
              </w:rPr>
              <w:t>Owner</w:t>
            </w:r>
          </w:p>
        </w:tc>
        <w:tc>
          <w:tcPr>
            <w:tcW w:w="3024" w:type="dxa"/>
            <w:shd w:val="clear" w:color="auto" w:fill="EAF1F8"/>
            <w:vAlign w:val="center"/>
          </w:tcPr>
          <w:p w14:paraId="4B3BB84F" w14:textId="77777777" w:rsidR="00734864" w:rsidRDefault="00000000">
            <w:pPr>
              <w:spacing w:after="0"/>
            </w:pPr>
            <w:r>
              <w:rPr>
                <w:color w:val="1F1F1F"/>
                <w:sz w:val="18"/>
              </w:rPr>
              <w:t>Security Governance</w:t>
            </w:r>
          </w:p>
        </w:tc>
        <w:tc>
          <w:tcPr>
            <w:tcW w:w="1800" w:type="dxa"/>
            <w:shd w:val="clear" w:color="auto" w:fill="1F4E79"/>
            <w:vAlign w:val="center"/>
          </w:tcPr>
          <w:p w14:paraId="4D1A9008" w14:textId="77777777" w:rsidR="00734864" w:rsidRDefault="00000000">
            <w:pPr>
              <w:spacing w:after="0"/>
            </w:pPr>
            <w:r>
              <w:rPr>
                <w:b/>
                <w:color w:val="FFFFFF"/>
                <w:sz w:val="18"/>
              </w:rPr>
              <w:t>Version</w:t>
            </w:r>
          </w:p>
        </w:tc>
        <w:tc>
          <w:tcPr>
            <w:tcW w:w="3024" w:type="dxa"/>
            <w:shd w:val="clear" w:color="auto" w:fill="EAF1F8"/>
            <w:vAlign w:val="center"/>
          </w:tcPr>
          <w:p w14:paraId="0F145AE0" w14:textId="77777777" w:rsidR="00734864" w:rsidRDefault="00000000">
            <w:pPr>
              <w:spacing w:after="0"/>
            </w:pPr>
            <w:r>
              <w:rPr>
                <w:color w:val="1F1F1F"/>
                <w:sz w:val="18"/>
              </w:rPr>
              <w:t>1.0</w:t>
            </w:r>
          </w:p>
        </w:tc>
      </w:tr>
      <w:tr w:rsidR="00734864" w14:paraId="0E5F830A" w14:textId="77777777">
        <w:trPr>
          <w:jc w:val="center"/>
        </w:trPr>
        <w:tc>
          <w:tcPr>
            <w:tcW w:w="1800" w:type="dxa"/>
            <w:shd w:val="clear" w:color="auto" w:fill="1F4E79"/>
            <w:vAlign w:val="center"/>
          </w:tcPr>
          <w:p w14:paraId="5DEB0A92" w14:textId="77777777" w:rsidR="00734864" w:rsidRDefault="00000000">
            <w:pPr>
              <w:spacing w:after="0"/>
            </w:pPr>
            <w:r>
              <w:rPr>
                <w:b/>
                <w:color w:val="FFFFFF"/>
                <w:sz w:val="18"/>
              </w:rPr>
              <w:t>Effective Date</w:t>
            </w:r>
          </w:p>
        </w:tc>
        <w:tc>
          <w:tcPr>
            <w:tcW w:w="3024" w:type="dxa"/>
            <w:shd w:val="clear" w:color="auto" w:fill="EAF1F8"/>
            <w:vAlign w:val="center"/>
          </w:tcPr>
          <w:p w14:paraId="1D016E44" w14:textId="77777777" w:rsidR="00734864" w:rsidRDefault="00000000">
            <w:pPr>
              <w:spacing w:after="0"/>
            </w:pPr>
            <w:r>
              <w:rPr>
                <w:color w:val="1F1F1F"/>
                <w:sz w:val="18"/>
              </w:rPr>
              <w:t>2026-03-24</w:t>
            </w:r>
          </w:p>
        </w:tc>
        <w:tc>
          <w:tcPr>
            <w:tcW w:w="1800" w:type="dxa"/>
            <w:shd w:val="clear" w:color="auto" w:fill="1F4E79"/>
            <w:vAlign w:val="center"/>
          </w:tcPr>
          <w:p w14:paraId="5AEFD768" w14:textId="77777777" w:rsidR="00734864" w:rsidRDefault="00000000">
            <w:pPr>
              <w:spacing w:after="0"/>
            </w:pPr>
            <w:r>
              <w:rPr>
                <w:b/>
                <w:color w:val="FFFFFF"/>
                <w:sz w:val="18"/>
              </w:rPr>
              <w:t>Review Date</w:t>
            </w:r>
          </w:p>
        </w:tc>
        <w:tc>
          <w:tcPr>
            <w:tcW w:w="3024" w:type="dxa"/>
            <w:shd w:val="clear" w:color="auto" w:fill="EAF1F8"/>
            <w:vAlign w:val="center"/>
          </w:tcPr>
          <w:p w14:paraId="3E278D2B" w14:textId="77777777" w:rsidR="00734864" w:rsidRDefault="00000000">
            <w:pPr>
              <w:spacing w:after="0"/>
            </w:pPr>
            <w:r>
              <w:rPr>
                <w:color w:val="1F1F1F"/>
                <w:sz w:val="18"/>
              </w:rPr>
              <w:t>2026-09-24</w:t>
            </w:r>
          </w:p>
        </w:tc>
      </w:tr>
      <w:tr w:rsidR="00734864" w14:paraId="7166832C" w14:textId="77777777">
        <w:trPr>
          <w:jc w:val="center"/>
        </w:trPr>
        <w:tc>
          <w:tcPr>
            <w:tcW w:w="1800" w:type="dxa"/>
            <w:shd w:val="clear" w:color="auto" w:fill="1F4E79"/>
            <w:vAlign w:val="center"/>
          </w:tcPr>
          <w:p w14:paraId="0132D700" w14:textId="77777777" w:rsidR="00734864" w:rsidRDefault="00000000">
            <w:pPr>
              <w:spacing w:after="0"/>
            </w:pPr>
            <w:r>
              <w:rPr>
                <w:b/>
                <w:color w:val="FFFFFF"/>
                <w:sz w:val="18"/>
              </w:rPr>
              <w:t>Classification</w:t>
            </w:r>
          </w:p>
        </w:tc>
        <w:tc>
          <w:tcPr>
            <w:tcW w:w="3024" w:type="dxa"/>
            <w:shd w:val="clear" w:color="auto" w:fill="EAF1F8"/>
            <w:vAlign w:val="center"/>
          </w:tcPr>
          <w:p w14:paraId="166ECF9A" w14:textId="77777777" w:rsidR="00734864" w:rsidRDefault="00000000">
            <w:pPr>
              <w:spacing w:after="0"/>
            </w:pPr>
            <w:r>
              <w:rPr>
                <w:color w:val="1F1F1F"/>
                <w:sz w:val="18"/>
              </w:rPr>
              <w:t>Internal Use</w:t>
            </w:r>
          </w:p>
        </w:tc>
        <w:tc>
          <w:tcPr>
            <w:tcW w:w="1800" w:type="dxa"/>
            <w:shd w:val="clear" w:color="auto" w:fill="1F4E79"/>
            <w:vAlign w:val="center"/>
          </w:tcPr>
          <w:p w14:paraId="341F0E0E" w14:textId="77777777" w:rsidR="00734864" w:rsidRDefault="00000000">
            <w:pPr>
              <w:spacing w:after="0"/>
            </w:pPr>
            <w:r>
              <w:rPr>
                <w:b/>
                <w:color w:val="FFFFFF"/>
                <w:sz w:val="18"/>
              </w:rPr>
              <w:t>Applies To</w:t>
            </w:r>
          </w:p>
        </w:tc>
        <w:tc>
          <w:tcPr>
            <w:tcW w:w="3024" w:type="dxa"/>
            <w:shd w:val="clear" w:color="auto" w:fill="EAF1F8"/>
            <w:vAlign w:val="center"/>
          </w:tcPr>
          <w:p w14:paraId="266AFC87" w14:textId="77777777" w:rsidR="00734864" w:rsidRDefault="00000000">
            <w:pPr>
              <w:spacing w:after="0"/>
            </w:pPr>
            <w:r>
              <w:rPr>
                <w:color w:val="1F1F1F"/>
                <w:sz w:val="18"/>
              </w:rPr>
              <w:t>Cloud, Edge, IT, Support</w:t>
            </w:r>
          </w:p>
        </w:tc>
      </w:tr>
    </w:tbl>
    <w:p w14:paraId="04C3130E" w14:textId="77777777" w:rsidR="00734864" w:rsidRDefault="00734864"/>
    <w:tbl>
      <w:tblPr>
        <w:tblW w:w="0" w:type="auto"/>
        <w:jc w:val="center"/>
        <w:tblLook w:val="04A0" w:firstRow="1" w:lastRow="0" w:firstColumn="1" w:lastColumn="0" w:noHBand="0" w:noVBand="1"/>
      </w:tblPr>
      <w:tblGrid>
        <w:gridCol w:w="9936"/>
      </w:tblGrid>
      <w:tr w:rsidR="00734864" w14:paraId="1174278E" w14:textId="77777777">
        <w:trPr>
          <w:jc w:val="center"/>
        </w:trPr>
        <w:tc>
          <w:tcPr>
            <w:tcW w:w="9936" w:type="dxa"/>
            <w:shd w:val="clear" w:color="auto" w:fill="F5F9FC"/>
            <w:vAlign w:val="center"/>
          </w:tcPr>
          <w:p w14:paraId="4ABEB6B5" w14:textId="77777777" w:rsidR="00734864" w:rsidRDefault="00000000">
            <w:pPr>
              <w:spacing w:after="0"/>
            </w:pPr>
            <w:r>
              <w:rPr>
                <w:sz w:val="19"/>
              </w:rPr>
              <w:t>Purpose. This notice defines the minimum retention period for security-relevant data generated across the OrchestrAI cloud control plane, edge gateways, corporate IT systems, and formal incident-response workflows. Teams may retain data longer only when required by legal hold, contract, or active investigation.</w:t>
            </w:r>
          </w:p>
        </w:tc>
      </w:tr>
    </w:tbl>
    <w:p w14:paraId="301E3858" w14:textId="77777777" w:rsidR="00734864" w:rsidRDefault="00000000">
      <w:pPr>
        <w:spacing w:before="120" w:after="40"/>
      </w:pPr>
      <w:r>
        <w:rPr>
          <w:b/>
          <w:color w:val="1F4E79"/>
          <w:sz w:val="22"/>
        </w:rPr>
        <w:t>Scope</w:t>
      </w:r>
    </w:p>
    <w:p w14:paraId="126465EF" w14:textId="77777777" w:rsidR="00734864" w:rsidRDefault="00000000">
      <w:r>
        <w:t>This retention schedule applies to SIEM event data, identity and privileged-access logs, endpoint alerts, vulnerability-scan exports, firewall and gateway telemetry, case-management records, third-party assessment evidence, and audit workpapers produced by Security, IT, Engineering, and approved managed service providers.</w:t>
      </w:r>
    </w:p>
    <w:p w14:paraId="30A72CC2" w14:textId="77777777" w:rsidR="00734864" w:rsidRDefault="00000000">
      <w:pPr>
        <w:spacing w:before="120" w:after="40"/>
      </w:pPr>
      <w:r>
        <w:rPr>
          <w:b/>
          <w:color w:val="1F4E79"/>
          <w:sz w:val="22"/>
        </w:rPr>
        <w:t>Policy Principles</w:t>
      </w:r>
    </w:p>
    <w:p w14:paraId="186CEB64" w14:textId="77777777" w:rsidR="00734864" w:rsidRDefault="00000000">
      <w:r>
        <w:t>Retention periods are based on operational usefulness, regulatory expectations, incident-response needs, and storage discipline. Where the same event is copied into multiple systems, the system of record must be preserved for the full required period. Derived dashboards may be discarded earlier if the underlying source is retained.</w:t>
      </w:r>
    </w:p>
    <w:p w14:paraId="258F17CC" w14:textId="77777777" w:rsidR="00734864" w:rsidRDefault="00000000">
      <w:pPr>
        <w:spacing w:before="120" w:after="40"/>
      </w:pPr>
      <w:r>
        <w:rPr>
          <w:b/>
          <w:color w:val="1F4E79"/>
          <w:sz w:val="22"/>
        </w:rPr>
        <w:t>Exception Handling</w:t>
      </w:r>
    </w:p>
    <w:p w14:paraId="7D90B6FC" w14:textId="77777777" w:rsidR="00734864" w:rsidRDefault="00000000">
      <w:r>
        <w:t>Any request to shorten, anonymize, or purge records before the stated period must be approved by Security Governance and Legal. Requests tied to infrastructure cost alone are not sufficient grounds for early deletion.</w:t>
      </w:r>
    </w:p>
    <w:p w14:paraId="33C8E57F" w14:textId="77777777" w:rsidR="00734864" w:rsidRDefault="00000000">
      <w:pPr>
        <w:spacing w:before="120" w:after="40"/>
      </w:pPr>
      <w:r>
        <w:rPr>
          <w:b/>
          <w:color w:val="1F4E79"/>
          <w:sz w:val="22"/>
        </w:rPr>
        <w:t>Retention Schedule</w:t>
      </w:r>
    </w:p>
    <w:tbl>
      <w:tblPr>
        <w:tblStyle w:val="TableGrid"/>
        <w:tblW w:w="0" w:type="auto"/>
        <w:jc w:val="center"/>
        <w:tblLayout w:type="fixed"/>
        <w:tblLook w:val="04A0" w:firstRow="1" w:lastRow="0" w:firstColumn="1" w:lastColumn="0" w:noHBand="0" w:noVBand="1"/>
      </w:tblPr>
      <w:tblGrid>
        <w:gridCol w:w="2088"/>
        <w:gridCol w:w="3816"/>
        <w:gridCol w:w="1987"/>
        <w:gridCol w:w="1987"/>
        <w:gridCol w:w="1987"/>
      </w:tblGrid>
      <w:tr w:rsidR="00734864" w14:paraId="0D10DEA1" w14:textId="77777777">
        <w:trPr>
          <w:tblHeader/>
          <w:jc w:val="center"/>
        </w:trPr>
        <w:tc>
          <w:tcPr>
            <w:tcW w:w="2088" w:type="dxa"/>
            <w:shd w:val="clear" w:color="auto" w:fill="1F4E79"/>
            <w:vAlign w:val="center"/>
          </w:tcPr>
          <w:p w14:paraId="3D190E08" w14:textId="77777777" w:rsidR="00734864" w:rsidRDefault="00000000">
            <w:pPr>
              <w:spacing w:after="0"/>
            </w:pPr>
            <w:r>
              <w:rPr>
                <w:b/>
                <w:color w:val="FFFFFF"/>
                <w:sz w:val="18"/>
              </w:rPr>
              <w:t>Record Type</w:t>
            </w:r>
          </w:p>
        </w:tc>
        <w:tc>
          <w:tcPr>
            <w:tcW w:w="3816" w:type="dxa"/>
            <w:shd w:val="clear" w:color="auto" w:fill="1F4E79"/>
            <w:vAlign w:val="center"/>
          </w:tcPr>
          <w:p w14:paraId="053C1B08" w14:textId="77777777" w:rsidR="00734864" w:rsidRDefault="00000000">
            <w:pPr>
              <w:spacing w:after="0"/>
            </w:pPr>
            <w:r>
              <w:rPr>
                <w:b/>
                <w:color w:val="FFFFFF"/>
                <w:sz w:val="18"/>
              </w:rPr>
              <w:t>Examples</w:t>
            </w:r>
          </w:p>
        </w:tc>
        <w:tc>
          <w:tcPr>
            <w:tcW w:w="1296" w:type="dxa"/>
            <w:shd w:val="clear" w:color="auto" w:fill="1F4E79"/>
            <w:vAlign w:val="center"/>
          </w:tcPr>
          <w:p w14:paraId="6DE5B860" w14:textId="77777777" w:rsidR="00734864" w:rsidRDefault="00000000">
            <w:pPr>
              <w:spacing w:after="0"/>
            </w:pPr>
            <w:r>
              <w:rPr>
                <w:b/>
                <w:color w:val="FFFFFF"/>
                <w:sz w:val="18"/>
              </w:rPr>
              <w:t>Retain For</w:t>
            </w:r>
          </w:p>
        </w:tc>
        <w:tc>
          <w:tcPr>
            <w:tcW w:w="1656" w:type="dxa"/>
            <w:shd w:val="clear" w:color="auto" w:fill="1F4E79"/>
            <w:vAlign w:val="center"/>
          </w:tcPr>
          <w:p w14:paraId="20DF3D1A" w14:textId="77777777" w:rsidR="00734864" w:rsidRDefault="00000000">
            <w:pPr>
              <w:spacing w:after="0"/>
            </w:pPr>
            <w:r>
              <w:rPr>
                <w:b/>
                <w:color w:val="FFFFFF"/>
                <w:sz w:val="18"/>
              </w:rPr>
              <w:t>Owner</w:t>
            </w:r>
          </w:p>
        </w:tc>
        <w:tc>
          <w:tcPr>
            <w:tcW w:w="1800" w:type="dxa"/>
            <w:shd w:val="clear" w:color="auto" w:fill="1F4E79"/>
            <w:vAlign w:val="center"/>
          </w:tcPr>
          <w:p w14:paraId="2F37DC72" w14:textId="77777777" w:rsidR="00734864" w:rsidRDefault="00000000">
            <w:pPr>
              <w:spacing w:after="0"/>
            </w:pPr>
            <w:r>
              <w:rPr>
                <w:b/>
                <w:color w:val="FFFFFF"/>
                <w:sz w:val="18"/>
              </w:rPr>
              <w:t>Notes</w:t>
            </w:r>
          </w:p>
        </w:tc>
      </w:tr>
      <w:tr w:rsidR="00734864" w14:paraId="7C08088A" w14:textId="77777777">
        <w:trPr>
          <w:jc w:val="center"/>
        </w:trPr>
        <w:tc>
          <w:tcPr>
            <w:tcW w:w="1987" w:type="dxa"/>
            <w:shd w:val="clear" w:color="auto" w:fill="FFFFFF"/>
            <w:vAlign w:val="center"/>
          </w:tcPr>
          <w:p w14:paraId="5B397877" w14:textId="77777777" w:rsidR="00734864" w:rsidRDefault="00000000">
            <w:pPr>
              <w:spacing w:after="0"/>
            </w:pPr>
            <w:r>
              <w:rPr>
                <w:sz w:val="17"/>
              </w:rPr>
              <w:t>SIEM event logs</w:t>
            </w:r>
          </w:p>
        </w:tc>
        <w:tc>
          <w:tcPr>
            <w:tcW w:w="1987" w:type="dxa"/>
            <w:shd w:val="clear" w:color="auto" w:fill="FFFFFF"/>
            <w:vAlign w:val="center"/>
          </w:tcPr>
          <w:p w14:paraId="46CF4CFD" w14:textId="77777777" w:rsidR="00734864" w:rsidRDefault="00000000">
            <w:pPr>
              <w:spacing w:after="0"/>
            </w:pPr>
            <w:r>
              <w:rPr>
                <w:sz w:val="17"/>
              </w:rPr>
              <w:t>Authentication failures, gateway alerts, cloud audit events, IDS signals</w:t>
            </w:r>
          </w:p>
        </w:tc>
        <w:tc>
          <w:tcPr>
            <w:tcW w:w="1987" w:type="dxa"/>
            <w:shd w:val="clear" w:color="auto" w:fill="FFFFFF"/>
            <w:vAlign w:val="center"/>
          </w:tcPr>
          <w:p w14:paraId="19C964FF" w14:textId="77777777" w:rsidR="00734864" w:rsidRDefault="00000000">
            <w:pPr>
              <w:spacing w:after="0"/>
              <w:jc w:val="center"/>
            </w:pPr>
            <w:r>
              <w:rPr>
                <w:sz w:val="17"/>
              </w:rPr>
              <w:t>18 months</w:t>
            </w:r>
          </w:p>
        </w:tc>
        <w:tc>
          <w:tcPr>
            <w:tcW w:w="1987" w:type="dxa"/>
            <w:shd w:val="clear" w:color="auto" w:fill="FFFFFF"/>
            <w:vAlign w:val="center"/>
          </w:tcPr>
          <w:p w14:paraId="5E34515E" w14:textId="77777777" w:rsidR="00734864" w:rsidRDefault="00000000">
            <w:pPr>
              <w:spacing w:after="0"/>
              <w:jc w:val="center"/>
            </w:pPr>
            <w:r>
              <w:rPr>
                <w:sz w:val="17"/>
              </w:rPr>
              <w:t>Security Operations</w:t>
            </w:r>
          </w:p>
        </w:tc>
        <w:tc>
          <w:tcPr>
            <w:tcW w:w="1987" w:type="dxa"/>
            <w:shd w:val="clear" w:color="auto" w:fill="FFFFFF"/>
            <w:vAlign w:val="center"/>
          </w:tcPr>
          <w:p w14:paraId="18226EF9" w14:textId="77777777" w:rsidR="00734864" w:rsidRDefault="00000000">
            <w:pPr>
              <w:spacing w:after="0"/>
            </w:pPr>
            <w:r>
              <w:rPr>
                <w:sz w:val="17"/>
              </w:rPr>
              <w:t>Minimum searchable retention in primary platform</w:t>
            </w:r>
          </w:p>
        </w:tc>
      </w:tr>
      <w:tr w:rsidR="00734864" w14:paraId="5846D613" w14:textId="77777777">
        <w:trPr>
          <w:jc w:val="center"/>
        </w:trPr>
        <w:tc>
          <w:tcPr>
            <w:tcW w:w="1987" w:type="dxa"/>
            <w:shd w:val="clear" w:color="auto" w:fill="FFFFFF"/>
            <w:vAlign w:val="center"/>
          </w:tcPr>
          <w:p w14:paraId="5B3C9E47" w14:textId="77777777" w:rsidR="00734864" w:rsidRDefault="00000000">
            <w:pPr>
              <w:spacing w:after="0"/>
            </w:pPr>
            <w:r>
              <w:rPr>
                <w:sz w:val="17"/>
              </w:rPr>
              <w:t>Privileged-access session records</w:t>
            </w:r>
          </w:p>
        </w:tc>
        <w:tc>
          <w:tcPr>
            <w:tcW w:w="1987" w:type="dxa"/>
            <w:shd w:val="clear" w:color="auto" w:fill="FFFFFF"/>
            <w:vAlign w:val="center"/>
          </w:tcPr>
          <w:p w14:paraId="3F90E548" w14:textId="77777777" w:rsidR="00734864" w:rsidRDefault="00000000">
            <w:pPr>
              <w:spacing w:after="0"/>
            </w:pPr>
            <w:r>
              <w:rPr>
                <w:sz w:val="17"/>
              </w:rPr>
              <w:t>Admin elevation requests, break-glass activity, session recordings</w:t>
            </w:r>
          </w:p>
        </w:tc>
        <w:tc>
          <w:tcPr>
            <w:tcW w:w="1987" w:type="dxa"/>
            <w:shd w:val="clear" w:color="auto" w:fill="FFFFFF"/>
            <w:vAlign w:val="center"/>
          </w:tcPr>
          <w:p w14:paraId="34B8CCAE" w14:textId="77777777" w:rsidR="00734864" w:rsidRDefault="00000000">
            <w:pPr>
              <w:spacing w:after="0"/>
              <w:jc w:val="center"/>
            </w:pPr>
            <w:r>
              <w:rPr>
                <w:sz w:val="17"/>
              </w:rPr>
              <w:t>24 months</w:t>
            </w:r>
          </w:p>
        </w:tc>
        <w:tc>
          <w:tcPr>
            <w:tcW w:w="1987" w:type="dxa"/>
            <w:shd w:val="clear" w:color="auto" w:fill="FFFFFF"/>
            <w:vAlign w:val="center"/>
          </w:tcPr>
          <w:p w14:paraId="3090FAAA" w14:textId="77777777" w:rsidR="00734864" w:rsidRDefault="00000000">
            <w:pPr>
              <w:spacing w:after="0"/>
              <w:jc w:val="center"/>
            </w:pPr>
            <w:r>
              <w:rPr>
                <w:sz w:val="17"/>
              </w:rPr>
              <w:t>Identity &amp; Access Security</w:t>
            </w:r>
          </w:p>
        </w:tc>
        <w:tc>
          <w:tcPr>
            <w:tcW w:w="1987" w:type="dxa"/>
            <w:shd w:val="clear" w:color="auto" w:fill="FFFFFF"/>
            <w:vAlign w:val="center"/>
          </w:tcPr>
          <w:p w14:paraId="44ED223A" w14:textId="77777777" w:rsidR="00734864" w:rsidRDefault="00000000">
            <w:pPr>
              <w:spacing w:after="0"/>
            </w:pPr>
            <w:r>
              <w:rPr>
                <w:sz w:val="17"/>
              </w:rPr>
              <w:t>Review quarterly; attach approvals to ticket</w:t>
            </w:r>
          </w:p>
        </w:tc>
      </w:tr>
      <w:tr w:rsidR="00734864" w14:paraId="4BBFF44A" w14:textId="77777777">
        <w:trPr>
          <w:jc w:val="center"/>
        </w:trPr>
        <w:tc>
          <w:tcPr>
            <w:tcW w:w="1987" w:type="dxa"/>
            <w:shd w:val="clear" w:color="auto" w:fill="FFFFFF"/>
            <w:vAlign w:val="center"/>
          </w:tcPr>
          <w:p w14:paraId="308F69ED" w14:textId="77777777" w:rsidR="00734864" w:rsidRDefault="00000000">
            <w:pPr>
              <w:spacing w:after="0"/>
            </w:pPr>
            <w:r>
              <w:rPr>
                <w:sz w:val="17"/>
              </w:rPr>
              <w:t>Endpoint detection alerts</w:t>
            </w:r>
          </w:p>
        </w:tc>
        <w:tc>
          <w:tcPr>
            <w:tcW w:w="1987" w:type="dxa"/>
            <w:shd w:val="clear" w:color="auto" w:fill="FFFFFF"/>
            <w:vAlign w:val="center"/>
          </w:tcPr>
          <w:p w14:paraId="08DF6678" w14:textId="77777777" w:rsidR="00734864" w:rsidRDefault="00000000">
            <w:pPr>
              <w:spacing w:after="0"/>
            </w:pPr>
            <w:r>
              <w:rPr>
                <w:sz w:val="17"/>
              </w:rPr>
              <w:t>Malware, suspicious process, isolation actions, device timeline exports</w:t>
            </w:r>
          </w:p>
        </w:tc>
        <w:tc>
          <w:tcPr>
            <w:tcW w:w="1987" w:type="dxa"/>
            <w:shd w:val="clear" w:color="auto" w:fill="FFFFFF"/>
            <w:vAlign w:val="center"/>
          </w:tcPr>
          <w:p w14:paraId="7D6AB400" w14:textId="77777777" w:rsidR="00734864" w:rsidRDefault="00000000">
            <w:pPr>
              <w:spacing w:after="0"/>
              <w:jc w:val="center"/>
            </w:pPr>
            <w:r>
              <w:rPr>
                <w:sz w:val="17"/>
              </w:rPr>
              <w:t>12 months</w:t>
            </w:r>
          </w:p>
        </w:tc>
        <w:tc>
          <w:tcPr>
            <w:tcW w:w="1987" w:type="dxa"/>
            <w:shd w:val="clear" w:color="auto" w:fill="FFFFFF"/>
            <w:vAlign w:val="center"/>
          </w:tcPr>
          <w:p w14:paraId="01885CDD" w14:textId="77777777" w:rsidR="00734864" w:rsidRDefault="00000000">
            <w:pPr>
              <w:spacing w:after="0"/>
              <w:jc w:val="center"/>
            </w:pPr>
            <w:r>
              <w:rPr>
                <w:sz w:val="17"/>
              </w:rPr>
              <w:t>Endpoint Security</w:t>
            </w:r>
          </w:p>
        </w:tc>
        <w:tc>
          <w:tcPr>
            <w:tcW w:w="1987" w:type="dxa"/>
            <w:shd w:val="clear" w:color="auto" w:fill="FFFFFF"/>
            <w:vAlign w:val="center"/>
          </w:tcPr>
          <w:p w14:paraId="675F3D4F" w14:textId="77777777" w:rsidR="00734864" w:rsidRDefault="00000000">
            <w:pPr>
              <w:spacing w:after="0"/>
            </w:pPr>
            <w:r>
              <w:rPr>
                <w:sz w:val="17"/>
              </w:rPr>
              <w:t>Escalated cases may be preserved longer in case file</w:t>
            </w:r>
          </w:p>
        </w:tc>
      </w:tr>
      <w:tr w:rsidR="00734864" w14:paraId="58123A6B" w14:textId="77777777">
        <w:trPr>
          <w:jc w:val="center"/>
        </w:trPr>
        <w:tc>
          <w:tcPr>
            <w:tcW w:w="1987" w:type="dxa"/>
            <w:shd w:val="clear" w:color="auto" w:fill="FFFFFF"/>
            <w:vAlign w:val="center"/>
          </w:tcPr>
          <w:p w14:paraId="1E0B921A" w14:textId="77777777" w:rsidR="00734864" w:rsidRDefault="00000000">
            <w:pPr>
              <w:spacing w:after="0"/>
            </w:pPr>
            <w:r>
              <w:rPr>
                <w:sz w:val="17"/>
              </w:rPr>
              <w:t>Firewall and network telemetry</w:t>
            </w:r>
          </w:p>
        </w:tc>
        <w:tc>
          <w:tcPr>
            <w:tcW w:w="1987" w:type="dxa"/>
            <w:shd w:val="clear" w:color="auto" w:fill="FFFFFF"/>
            <w:vAlign w:val="center"/>
          </w:tcPr>
          <w:p w14:paraId="3CF0B368" w14:textId="77777777" w:rsidR="00734864" w:rsidRDefault="00000000">
            <w:pPr>
              <w:spacing w:after="0"/>
            </w:pPr>
            <w:r>
              <w:rPr>
                <w:sz w:val="17"/>
              </w:rPr>
              <w:t>Ingress/egress decisions, VPN session metadata, edge tunnel health</w:t>
            </w:r>
          </w:p>
        </w:tc>
        <w:tc>
          <w:tcPr>
            <w:tcW w:w="1987" w:type="dxa"/>
            <w:shd w:val="clear" w:color="auto" w:fill="FFFFFF"/>
            <w:vAlign w:val="center"/>
          </w:tcPr>
          <w:p w14:paraId="791F6CF4" w14:textId="77777777" w:rsidR="00734864" w:rsidRDefault="00000000">
            <w:pPr>
              <w:spacing w:after="0"/>
              <w:jc w:val="center"/>
            </w:pPr>
            <w:r>
              <w:rPr>
                <w:sz w:val="17"/>
              </w:rPr>
              <w:t>12 months</w:t>
            </w:r>
          </w:p>
        </w:tc>
        <w:tc>
          <w:tcPr>
            <w:tcW w:w="1987" w:type="dxa"/>
            <w:shd w:val="clear" w:color="auto" w:fill="FFFFFF"/>
            <w:vAlign w:val="center"/>
          </w:tcPr>
          <w:p w14:paraId="45A3B41E" w14:textId="77777777" w:rsidR="00734864" w:rsidRDefault="00000000">
            <w:pPr>
              <w:spacing w:after="0"/>
              <w:jc w:val="center"/>
            </w:pPr>
            <w:r>
              <w:rPr>
                <w:sz w:val="17"/>
              </w:rPr>
              <w:t>Network Security</w:t>
            </w:r>
          </w:p>
        </w:tc>
        <w:tc>
          <w:tcPr>
            <w:tcW w:w="1987" w:type="dxa"/>
            <w:shd w:val="clear" w:color="auto" w:fill="FFFFFF"/>
            <w:vAlign w:val="center"/>
          </w:tcPr>
          <w:p w14:paraId="3441B6E5" w14:textId="77777777" w:rsidR="00734864" w:rsidRDefault="00000000">
            <w:pPr>
              <w:spacing w:after="0"/>
            </w:pPr>
            <w:r>
              <w:rPr>
                <w:sz w:val="17"/>
              </w:rPr>
              <w:t>Packet capture files are not retained by default</w:t>
            </w:r>
          </w:p>
        </w:tc>
      </w:tr>
      <w:tr w:rsidR="00734864" w14:paraId="314C4BE9" w14:textId="77777777">
        <w:trPr>
          <w:jc w:val="center"/>
        </w:trPr>
        <w:tc>
          <w:tcPr>
            <w:tcW w:w="1987" w:type="dxa"/>
            <w:shd w:val="clear" w:color="auto" w:fill="FFFFFF"/>
            <w:vAlign w:val="center"/>
          </w:tcPr>
          <w:p w14:paraId="4E5802CC" w14:textId="77777777" w:rsidR="00734864" w:rsidRDefault="00000000">
            <w:pPr>
              <w:spacing w:after="0"/>
            </w:pPr>
            <w:r>
              <w:rPr>
                <w:sz w:val="17"/>
              </w:rPr>
              <w:t>Vulnerability scan reports</w:t>
            </w:r>
          </w:p>
        </w:tc>
        <w:tc>
          <w:tcPr>
            <w:tcW w:w="1987" w:type="dxa"/>
            <w:shd w:val="clear" w:color="auto" w:fill="FFFFFF"/>
            <w:vAlign w:val="center"/>
          </w:tcPr>
          <w:p w14:paraId="2170237A" w14:textId="77777777" w:rsidR="00734864" w:rsidRDefault="00000000">
            <w:pPr>
              <w:spacing w:after="0"/>
            </w:pPr>
            <w:r>
              <w:rPr>
                <w:sz w:val="17"/>
              </w:rPr>
              <w:t>Authenticated scan outputs, remediation evidence, exception records</w:t>
            </w:r>
          </w:p>
        </w:tc>
        <w:tc>
          <w:tcPr>
            <w:tcW w:w="1987" w:type="dxa"/>
            <w:shd w:val="clear" w:color="auto" w:fill="FFFFFF"/>
            <w:vAlign w:val="center"/>
          </w:tcPr>
          <w:p w14:paraId="660DD137" w14:textId="77777777" w:rsidR="00734864" w:rsidRDefault="00000000">
            <w:pPr>
              <w:spacing w:after="0"/>
              <w:jc w:val="center"/>
            </w:pPr>
            <w:r>
              <w:rPr>
                <w:sz w:val="17"/>
              </w:rPr>
              <w:t>15 months</w:t>
            </w:r>
          </w:p>
        </w:tc>
        <w:tc>
          <w:tcPr>
            <w:tcW w:w="1987" w:type="dxa"/>
            <w:shd w:val="clear" w:color="auto" w:fill="FFFFFF"/>
            <w:vAlign w:val="center"/>
          </w:tcPr>
          <w:p w14:paraId="3B201947" w14:textId="77777777" w:rsidR="00734864" w:rsidRDefault="00000000">
            <w:pPr>
              <w:spacing w:after="0"/>
              <w:jc w:val="center"/>
            </w:pPr>
            <w:r>
              <w:rPr>
                <w:sz w:val="17"/>
              </w:rPr>
              <w:t>Vulnerability Management</w:t>
            </w:r>
          </w:p>
        </w:tc>
        <w:tc>
          <w:tcPr>
            <w:tcW w:w="1987" w:type="dxa"/>
            <w:shd w:val="clear" w:color="auto" w:fill="FFFFFF"/>
            <w:vAlign w:val="center"/>
          </w:tcPr>
          <w:p w14:paraId="59767AA7" w14:textId="77777777" w:rsidR="00734864" w:rsidRDefault="00000000">
            <w:pPr>
              <w:spacing w:after="0"/>
            </w:pPr>
            <w:r>
              <w:rPr>
                <w:sz w:val="17"/>
              </w:rPr>
              <w:t>Keep most recent remediated report with exception approval</w:t>
            </w:r>
          </w:p>
        </w:tc>
      </w:tr>
      <w:tr w:rsidR="00734864" w14:paraId="37520B4D" w14:textId="77777777">
        <w:trPr>
          <w:jc w:val="center"/>
        </w:trPr>
        <w:tc>
          <w:tcPr>
            <w:tcW w:w="1987" w:type="dxa"/>
            <w:shd w:val="clear" w:color="auto" w:fill="FFFFFF"/>
            <w:vAlign w:val="center"/>
          </w:tcPr>
          <w:p w14:paraId="5708EB0E" w14:textId="77777777" w:rsidR="00734864" w:rsidRDefault="00000000">
            <w:pPr>
              <w:spacing w:after="0"/>
            </w:pPr>
            <w:r>
              <w:rPr>
                <w:sz w:val="17"/>
              </w:rPr>
              <w:t>Incident case records</w:t>
            </w:r>
          </w:p>
        </w:tc>
        <w:tc>
          <w:tcPr>
            <w:tcW w:w="1987" w:type="dxa"/>
            <w:shd w:val="clear" w:color="auto" w:fill="FFFFFF"/>
            <w:vAlign w:val="center"/>
          </w:tcPr>
          <w:p w14:paraId="0C2E67E2" w14:textId="77777777" w:rsidR="00734864" w:rsidRDefault="00000000">
            <w:pPr>
              <w:spacing w:after="0"/>
            </w:pPr>
            <w:r>
              <w:rPr>
                <w:sz w:val="17"/>
              </w:rPr>
              <w:t>Timelines, communications, screenshots, RCA, corrective actions</w:t>
            </w:r>
          </w:p>
        </w:tc>
        <w:tc>
          <w:tcPr>
            <w:tcW w:w="1987" w:type="dxa"/>
            <w:shd w:val="clear" w:color="auto" w:fill="FFFFFF"/>
            <w:vAlign w:val="center"/>
          </w:tcPr>
          <w:p w14:paraId="6B53FCE0" w14:textId="77777777" w:rsidR="00734864" w:rsidRDefault="00000000">
            <w:pPr>
              <w:spacing w:after="0"/>
              <w:jc w:val="center"/>
            </w:pPr>
            <w:r>
              <w:rPr>
                <w:sz w:val="17"/>
              </w:rPr>
              <w:t>36 months</w:t>
            </w:r>
          </w:p>
        </w:tc>
        <w:tc>
          <w:tcPr>
            <w:tcW w:w="1987" w:type="dxa"/>
            <w:shd w:val="clear" w:color="auto" w:fill="FFFFFF"/>
            <w:vAlign w:val="center"/>
          </w:tcPr>
          <w:p w14:paraId="10190AEC" w14:textId="77777777" w:rsidR="00734864" w:rsidRDefault="00000000">
            <w:pPr>
              <w:spacing w:after="0"/>
              <w:jc w:val="center"/>
            </w:pPr>
            <w:r>
              <w:rPr>
                <w:sz w:val="17"/>
              </w:rPr>
              <w:t>Incident Response</w:t>
            </w:r>
          </w:p>
        </w:tc>
        <w:tc>
          <w:tcPr>
            <w:tcW w:w="1987" w:type="dxa"/>
            <w:shd w:val="clear" w:color="auto" w:fill="FFFFFF"/>
            <w:vAlign w:val="center"/>
          </w:tcPr>
          <w:p w14:paraId="2BC4C8A4" w14:textId="77777777" w:rsidR="00734864" w:rsidRDefault="00000000">
            <w:pPr>
              <w:spacing w:after="0"/>
            </w:pPr>
            <w:r>
              <w:rPr>
                <w:sz w:val="17"/>
              </w:rPr>
              <w:t>Legal hold overrides all deletion schedules</w:t>
            </w:r>
          </w:p>
        </w:tc>
      </w:tr>
      <w:tr w:rsidR="00734864" w14:paraId="40E3BAD8" w14:textId="77777777">
        <w:trPr>
          <w:jc w:val="center"/>
        </w:trPr>
        <w:tc>
          <w:tcPr>
            <w:tcW w:w="1987" w:type="dxa"/>
            <w:shd w:val="clear" w:color="auto" w:fill="FFFFFF"/>
            <w:vAlign w:val="center"/>
          </w:tcPr>
          <w:p w14:paraId="61886D00" w14:textId="77777777" w:rsidR="00734864" w:rsidRDefault="00000000">
            <w:pPr>
              <w:spacing w:after="0"/>
            </w:pPr>
            <w:r>
              <w:rPr>
                <w:sz w:val="17"/>
              </w:rPr>
              <w:t>Third-party risk evidence</w:t>
            </w:r>
          </w:p>
        </w:tc>
        <w:tc>
          <w:tcPr>
            <w:tcW w:w="1987" w:type="dxa"/>
            <w:shd w:val="clear" w:color="auto" w:fill="FFFFFF"/>
            <w:vAlign w:val="center"/>
          </w:tcPr>
          <w:p w14:paraId="49CA85A5" w14:textId="77777777" w:rsidR="00734864" w:rsidRDefault="00000000">
            <w:pPr>
              <w:spacing w:after="0"/>
            </w:pPr>
            <w:r>
              <w:rPr>
                <w:sz w:val="17"/>
              </w:rPr>
              <w:t>Security questionnaires, attestations, review notes, compensating controls</w:t>
            </w:r>
          </w:p>
        </w:tc>
        <w:tc>
          <w:tcPr>
            <w:tcW w:w="1987" w:type="dxa"/>
            <w:shd w:val="clear" w:color="auto" w:fill="FFFFFF"/>
            <w:vAlign w:val="center"/>
          </w:tcPr>
          <w:p w14:paraId="7975F350" w14:textId="77777777" w:rsidR="00734864" w:rsidRDefault="00000000">
            <w:pPr>
              <w:spacing w:after="0"/>
              <w:jc w:val="center"/>
            </w:pPr>
            <w:r>
              <w:rPr>
                <w:sz w:val="17"/>
              </w:rPr>
              <w:t>24 months</w:t>
            </w:r>
          </w:p>
        </w:tc>
        <w:tc>
          <w:tcPr>
            <w:tcW w:w="1987" w:type="dxa"/>
            <w:shd w:val="clear" w:color="auto" w:fill="FFFFFF"/>
            <w:vAlign w:val="center"/>
          </w:tcPr>
          <w:p w14:paraId="3D04453D" w14:textId="77777777" w:rsidR="00734864" w:rsidRDefault="00000000">
            <w:pPr>
              <w:spacing w:after="0"/>
              <w:jc w:val="center"/>
            </w:pPr>
            <w:r>
              <w:rPr>
                <w:sz w:val="17"/>
              </w:rPr>
              <w:t>GRC</w:t>
            </w:r>
          </w:p>
        </w:tc>
        <w:tc>
          <w:tcPr>
            <w:tcW w:w="1987" w:type="dxa"/>
            <w:shd w:val="clear" w:color="auto" w:fill="FFFFFF"/>
            <w:vAlign w:val="center"/>
          </w:tcPr>
          <w:p w14:paraId="67E114B1" w14:textId="77777777" w:rsidR="00734864" w:rsidRDefault="00000000">
            <w:pPr>
              <w:spacing w:after="0"/>
            </w:pPr>
            <w:r>
              <w:rPr>
                <w:sz w:val="17"/>
              </w:rPr>
              <w:t>Retain through vendor term plus 12 months where contract requires</w:t>
            </w:r>
          </w:p>
        </w:tc>
      </w:tr>
      <w:tr w:rsidR="00734864" w14:paraId="1BAEBE91" w14:textId="77777777">
        <w:trPr>
          <w:jc w:val="center"/>
        </w:trPr>
        <w:tc>
          <w:tcPr>
            <w:tcW w:w="1987" w:type="dxa"/>
            <w:shd w:val="clear" w:color="auto" w:fill="FFFFFF"/>
            <w:vAlign w:val="center"/>
          </w:tcPr>
          <w:p w14:paraId="7B83C390" w14:textId="77777777" w:rsidR="00734864" w:rsidRDefault="00000000">
            <w:pPr>
              <w:spacing w:after="0"/>
            </w:pPr>
            <w:r>
              <w:rPr>
                <w:sz w:val="17"/>
              </w:rPr>
              <w:t>Audit workpapers</w:t>
            </w:r>
          </w:p>
        </w:tc>
        <w:tc>
          <w:tcPr>
            <w:tcW w:w="1987" w:type="dxa"/>
            <w:shd w:val="clear" w:color="auto" w:fill="FFFFFF"/>
            <w:vAlign w:val="center"/>
          </w:tcPr>
          <w:p w14:paraId="08F25604" w14:textId="77777777" w:rsidR="00734864" w:rsidRDefault="00000000">
            <w:pPr>
              <w:spacing w:after="0"/>
            </w:pPr>
            <w:r>
              <w:rPr>
                <w:sz w:val="17"/>
              </w:rPr>
              <w:t>Control tests, sample evidence, audit findings and management responses</w:t>
            </w:r>
          </w:p>
        </w:tc>
        <w:tc>
          <w:tcPr>
            <w:tcW w:w="1987" w:type="dxa"/>
            <w:shd w:val="clear" w:color="auto" w:fill="FFFFFF"/>
            <w:vAlign w:val="center"/>
          </w:tcPr>
          <w:p w14:paraId="53DA7DBE" w14:textId="77777777" w:rsidR="00734864" w:rsidRDefault="00000000">
            <w:pPr>
              <w:spacing w:after="0"/>
              <w:jc w:val="center"/>
            </w:pPr>
            <w:r>
              <w:rPr>
                <w:sz w:val="17"/>
              </w:rPr>
              <w:t>36 months</w:t>
            </w:r>
          </w:p>
        </w:tc>
        <w:tc>
          <w:tcPr>
            <w:tcW w:w="1987" w:type="dxa"/>
            <w:shd w:val="clear" w:color="auto" w:fill="FFFFFF"/>
            <w:vAlign w:val="center"/>
          </w:tcPr>
          <w:p w14:paraId="0016B4E6" w14:textId="77777777" w:rsidR="00734864" w:rsidRDefault="00000000">
            <w:pPr>
              <w:spacing w:after="0"/>
              <w:jc w:val="center"/>
            </w:pPr>
            <w:r>
              <w:rPr>
                <w:sz w:val="17"/>
              </w:rPr>
              <w:t>Security Compliance</w:t>
            </w:r>
          </w:p>
        </w:tc>
        <w:tc>
          <w:tcPr>
            <w:tcW w:w="1987" w:type="dxa"/>
            <w:shd w:val="clear" w:color="auto" w:fill="FFFFFF"/>
            <w:vAlign w:val="center"/>
          </w:tcPr>
          <w:p w14:paraId="02268AFD" w14:textId="77777777" w:rsidR="00734864" w:rsidRDefault="00000000">
            <w:pPr>
              <w:spacing w:after="0"/>
            </w:pPr>
            <w:r>
              <w:rPr>
                <w:sz w:val="17"/>
              </w:rPr>
              <w:t>Includes policy snapshots used during audit</w:t>
            </w:r>
          </w:p>
        </w:tc>
      </w:tr>
    </w:tbl>
    <w:p w14:paraId="19D179B8" w14:textId="77777777" w:rsidR="00734864" w:rsidRDefault="00734864"/>
    <w:p w14:paraId="14373C42" w14:textId="77777777" w:rsidR="00734864" w:rsidRDefault="00000000">
      <w:r>
        <w:rPr>
          <w:b/>
          <w:color w:val="1F4E79"/>
          <w:sz w:val="22"/>
        </w:rPr>
        <w:t>Disposal, Holds, and Evidence Preservation</w:t>
      </w:r>
    </w:p>
    <w:tbl>
      <w:tblPr>
        <w:tblStyle w:val="TableGrid"/>
        <w:tblW w:w="0" w:type="auto"/>
        <w:jc w:val="center"/>
        <w:tblLayout w:type="fixed"/>
        <w:tblLook w:val="04A0" w:firstRow="1" w:lastRow="0" w:firstColumn="1" w:lastColumn="0" w:noHBand="0" w:noVBand="1"/>
      </w:tblPr>
      <w:tblGrid>
        <w:gridCol w:w="2880"/>
        <w:gridCol w:w="6768"/>
      </w:tblGrid>
      <w:tr w:rsidR="00734864" w14:paraId="07695EBD" w14:textId="77777777">
        <w:trPr>
          <w:jc w:val="center"/>
        </w:trPr>
        <w:tc>
          <w:tcPr>
            <w:tcW w:w="2880" w:type="dxa"/>
            <w:shd w:val="clear" w:color="auto" w:fill="4F81BD"/>
          </w:tcPr>
          <w:p w14:paraId="260F78D9" w14:textId="77777777" w:rsidR="00734864" w:rsidRDefault="00000000">
            <w:pPr>
              <w:spacing w:after="0"/>
            </w:pPr>
            <w:r>
              <w:rPr>
                <w:b/>
                <w:color w:val="FFFFFF"/>
                <w:sz w:val="18"/>
              </w:rPr>
              <w:t>Secure Deletion</w:t>
            </w:r>
          </w:p>
        </w:tc>
        <w:tc>
          <w:tcPr>
            <w:tcW w:w="6768" w:type="dxa"/>
            <w:shd w:val="clear" w:color="auto" w:fill="F7FAFD"/>
          </w:tcPr>
          <w:p w14:paraId="3A9BD5E4" w14:textId="77777777" w:rsidR="00734864" w:rsidRDefault="00000000">
            <w:pPr>
              <w:spacing w:after="0"/>
            </w:pPr>
            <w:r>
              <w:rPr>
                <w:sz w:val="18"/>
              </w:rPr>
              <w:t>When a retention period expires, records must be purged using the native secure-</w:t>
            </w:r>
            <w:r>
              <w:rPr>
                <w:sz w:val="18"/>
              </w:rPr>
              <w:lastRenderedPageBreak/>
              <w:t>deletion controls of the system of record or by approved storage lifecycle automation. Manual exports on shared drives are prohibited unless explicitly tracked.</w:t>
            </w:r>
          </w:p>
        </w:tc>
      </w:tr>
      <w:tr w:rsidR="00734864" w14:paraId="68AB0A34" w14:textId="77777777">
        <w:trPr>
          <w:jc w:val="center"/>
        </w:trPr>
        <w:tc>
          <w:tcPr>
            <w:tcW w:w="2880" w:type="dxa"/>
            <w:shd w:val="clear" w:color="auto" w:fill="4F81BD"/>
          </w:tcPr>
          <w:p w14:paraId="70643ECA" w14:textId="77777777" w:rsidR="00734864" w:rsidRDefault="00000000">
            <w:pPr>
              <w:spacing w:after="0"/>
            </w:pPr>
            <w:r>
              <w:rPr>
                <w:b/>
                <w:color w:val="FFFFFF"/>
                <w:sz w:val="18"/>
              </w:rPr>
              <w:lastRenderedPageBreak/>
              <w:t>Legal / HR Hold</w:t>
            </w:r>
          </w:p>
        </w:tc>
        <w:tc>
          <w:tcPr>
            <w:tcW w:w="6768" w:type="dxa"/>
            <w:shd w:val="clear" w:color="auto" w:fill="F7FAFD"/>
          </w:tcPr>
          <w:p w14:paraId="50C9CC2F" w14:textId="77777777" w:rsidR="00734864" w:rsidRDefault="00000000">
            <w:pPr>
              <w:spacing w:after="0"/>
            </w:pPr>
            <w:r>
              <w:rPr>
                <w:sz w:val="18"/>
              </w:rPr>
              <w:t>If Legal, HR, or Incident Response issues a hold notice, all routine deletion must stop for the affected records and copies. The case owner is responsible for confirming the hold is documented in the ticket or case file.</w:t>
            </w:r>
          </w:p>
        </w:tc>
      </w:tr>
      <w:tr w:rsidR="00734864" w14:paraId="4C0FE950" w14:textId="77777777">
        <w:trPr>
          <w:jc w:val="center"/>
        </w:trPr>
        <w:tc>
          <w:tcPr>
            <w:tcW w:w="2880" w:type="dxa"/>
            <w:shd w:val="clear" w:color="auto" w:fill="4F81BD"/>
          </w:tcPr>
          <w:p w14:paraId="04B352A6" w14:textId="77777777" w:rsidR="00734864" w:rsidRDefault="00000000">
            <w:pPr>
              <w:spacing w:after="0"/>
            </w:pPr>
            <w:r>
              <w:rPr>
                <w:b/>
                <w:color w:val="FFFFFF"/>
                <w:sz w:val="18"/>
              </w:rPr>
              <w:t>Chain of Custody</w:t>
            </w:r>
          </w:p>
        </w:tc>
        <w:tc>
          <w:tcPr>
            <w:tcW w:w="6768" w:type="dxa"/>
            <w:shd w:val="clear" w:color="auto" w:fill="F7FAFD"/>
          </w:tcPr>
          <w:p w14:paraId="6E76510A" w14:textId="77777777" w:rsidR="00734864" w:rsidRDefault="00000000">
            <w:pPr>
              <w:spacing w:after="0"/>
            </w:pPr>
            <w:r>
              <w:rPr>
                <w:sz w:val="18"/>
              </w:rPr>
              <w:t>Records exported for investigation must include source system, export date, analyst, hash or integrity method where available, and the related incident or request ID.</w:t>
            </w:r>
          </w:p>
        </w:tc>
      </w:tr>
    </w:tbl>
    <w:p w14:paraId="1976857F" w14:textId="77777777" w:rsidR="00734864" w:rsidRDefault="00000000">
      <w:r>
        <w:rPr>
          <w:b/>
          <w:sz w:val="18"/>
        </w:rPr>
        <w:t xml:space="preserve">Related retrieval terms: </w:t>
      </w:r>
      <w:r>
        <w:rPr>
          <w:i/>
          <w:sz w:val="18"/>
        </w:rPr>
        <w:t>data retention, audit logs, legal hold, incident evidence, purge schedule, privileged access records, vulnerability report retention, system of record</w:t>
      </w:r>
    </w:p>
    <w:p w14:paraId="72EC0E09" w14:textId="77777777" w:rsidR="00734864" w:rsidRDefault="00000000">
      <w:r>
        <w:rPr>
          <w:b/>
          <w:color w:val="1F4E79"/>
        </w:rPr>
        <w:t>Contact</w:t>
      </w:r>
    </w:p>
    <w:p w14:paraId="64E3523F" w14:textId="77777777" w:rsidR="00734864" w:rsidRDefault="00000000">
      <w:pPr>
        <w:spacing w:after="0"/>
      </w:pPr>
      <w:r>
        <w:t>Questions about this notice should be routed to Security Governance. Requests for purge exceptions or evidence-preservation support must include the business owner, source system, and related ticket or investigation ID.</w:t>
      </w:r>
    </w:p>
    <w:sectPr w:rsidR="0073486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356164">
    <w:abstractNumId w:val="8"/>
  </w:num>
  <w:num w:numId="2" w16cid:durableId="1519270027">
    <w:abstractNumId w:val="6"/>
  </w:num>
  <w:num w:numId="3" w16cid:durableId="433943030">
    <w:abstractNumId w:val="5"/>
  </w:num>
  <w:num w:numId="4" w16cid:durableId="2015260238">
    <w:abstractNumId w:val="4"/>
  </w:num>
  <w:num w:numId="5" w16cid:durableId="1048920823">
    <w:abstractNumId w:val="7"/>
  </w:num>
  <w:num w:numId="6" w16cid:durableId="29453598">
    <w:abstractNumId w:val="3"/>
  </w:num>
  <w:num w:numId="7" w16cid:durableId="1926915300">
    <w:abstractNumId w:val="2"/>
  </w:num>
  <w:num w:numId="8" w16cid:durableId="502085203">
    <w:abstractNumId w:val="1"/>
  </w:num>
  <w:num w:numId="9" w16cid:durableId="13692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734864"/>
    <w:rsid w:val="00AA1D8D"/>
    <w:rsid w:val="00B47730"/>
    <w:rsid w:val="00CB0664"/>
    <w:rsid w:val="00E62F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035DA"/>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3607</Characters>
  <Application>Microsoft Office Word</Application>
  <DocSecurity>0</DocSecurity>
  <Lines>126</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2</cp:revision>
  <dcterms:created xsi:type="dcterms:W3CDTF">2013-12-23T23:15:00Z</dcterms:created>
  <dcterms:modified xsi:type="dcterms:W3CDTF">2026-03-24T11:17:00Z</dcterms:modified>
  <cp:category/>
</cp:coreProperties>
</file>