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New Customer Onboarding Timeline</w:t>
      </w:r>
    </w:p>
    <w:p>
      <w:r>
        <w:rPr>
          <w:b/>
        </w:rPr>
        <w:t xml:space="preserve">Document ID: </w:t>
      </w:r>
      <w:r>
        <w:t xml:space="preserve">VAL-CS-002   </w:t>
      </w:r>
      <w:r>
        <w:rPr>
          <w:b/>
        </w:rPr>
        <w:t xml:space="preserve">Department: </w:t>
      </w:r>
      <w:r>
        <w:t xml:space="preserve">Customer Success &amp; Support   </w:t>
      </w:r>
      <w:r>
        <w:rPr>
          <w:b/>
        </w:rPr>
        <w:t xml:space="preserve">Confidentiality: </w:t>
      </w:r>
      <w:r>
        <w:t xml:space="preserve">Internal Use Only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Manager, Implementation Success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Timeline brief</w:t>
            </w:r>
          </w:p>
        </w:tc>
      </w:tr>
      <w:tr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2026-02-10</w:t>
            </w:r>
          </w:p>
        </w:tc>
        <w:tc>
          <w:tcPr>
            <w:tcW w:type="dxa" w:w="248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2026-08-10</w:t>
            </w:r>
          </w:p>
        </w:tc>
      </w:tr>
    </w:tbl>
    <w:p>
      <w:r>
        <w:t>Purpose: Summarizes the standard onboarding timeline used for new OrchestrAI warehouse deployments. The timeline is intentionally concise and date-oriented so retrieval can answer questions about kickoff, stabilization, go-live preparation, and handoff milestones.</w:t>
      </w:r>
    </w:p>
    <w:p>
      <w:pPr>
        <w:pStyle w:val="Heading1"/>
      </w:pPr>
      <w:r>
        <w:t>Standard 8-week onboarding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Week</w:t>
            </w:r>
          </w:p>
        </w:tc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24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Outputs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1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Kickoff and stakeholder alignment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Onboarding manager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Success plan, contact map, cadence, open assumptions log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2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Site and network readiness review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Implementation engineer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Gateway prerequisites, VLAN checklist, warehouse-device inventory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3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Configuration workshop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CSM with customer ops lead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Workflow mapping, role matrix, training roster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4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Pilot data validation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 engineer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Interface test results, issue list, cutover risks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5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 training and runbook review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Training lead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Completed role-based training, signed runbook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6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Go-live readiness checkpoint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Program lead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Go/no-go assessment, rollback owner list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7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Production cutover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Support lead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Daily war-room updates, open incident list</w:t>
            </w:r>
          </w:p>
        </w:tc>
      </w:tr>
      <w:tr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Week 8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Stabilization and handoff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CSM</w:t>
            </w:r>
          </w:p>
        </w:tc>
        <w:tc>
          <w:tcPr>
            <w:tcW w:type="dxa" w:w="24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Adoption metrics baseline, handoff summary, open-risk register</w:t>
            </w:r>
          </w:p>
        </w:tc>
      </w:tr>
    </w:tbl>
    <w:p>
      <w:pPr>
        <w:pStyle w:val="Heading1"/>
      </w:pPr>
      <w:r>
        <w:t>Timeline rules</w:t>
      </w:r>
    </w:p>
    <w:p>
      <w:pPr>
        <w:ind w:left="288" w:hanging="216"/>
      </w:pPr>
      <w:r>
        <w:rPr>
          <w:b/>
        </w:rPr>
        <w:t xml:space="preserve">• </w:t>
      </w:r>
      <w:r>
        <w:t>The timeline assumes one primary site and no material hardware shortfall. Multi-site programs usually require a staggered plan.</w:t>
      </w:r>
    </w:p>
    <w:p>
      <w:pPr>
        <w:ind w:left="288" w:hanging="216"/>
      </w:pPr>
      <w:r>
        <w:rPr>
          <w:b/>
        </w:rPr>
        <w:t xml:space="preserve">• </w:t>
      </w:r>
      <w:r>
        <w:t>A week may not be closed until the named milestone outputs are recorded in AtlasCRM or the implementation tracker.</w:t>
      </w:r>
    </w:p>
    <w:p>
      <w:pPr>
        <w:ind w:left="288" w:hanging="216"/>
      </w:pPr>
      <w:r>
        <w:rPr>
          <w:b/>
        </w:rPr>
        <w:t xml:space="preserve">• </w:t>
      </w:r>
      <w:r>
        <w:t>If training slips by more than five business days, the go-live checkpoint must be re-reviewed rather than silently absorbing the delay.</w:t>
      </w:r>
    </w:p>
    <w:p>
      <w:pPr>
        <w:pStyle w:val="Heading1"/>
      </w:pPr>
      <w:r>
        <w:t>Common schedule risks</w:t>
      </w:r>
    </w:p>
    <w:p>
      <w:pPr>
        <w:ind w:left="288" w:hanging="216"/>
      </w:pPr>
      <w:r>
        <w:rPr>
          <w:b/>
        </w:rPr>
        <w:t xml:space="preserve">• </w:t>
      </w:r>
      <w:r>
        <w:t>Late network approvals, missing customer stakeholder availability, incomplete master data, and delayed device shipments are the most frequent causes of schedule drift.</w:t>
      </w:r>
    </w:p>
    <w:p>
      <w:pPr>
        <w:ind w:left="288" w:hanging="216"/>
      </w:pPr>
      <w:r>
        <w:rPr>
          <w:b/>
        </w:rPr>
        <w:t xml:space="preserve">• </w:t>
      </w:r>
      <w:r>
        <w:t>When any of these appear, the onboarding manager should open a visible recovery plan rather than continue reporting the original go-live date as if it is still secure.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