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OrchestrAI Engineering Notice</w:t>
      </w:r>
    </w:p>
    <w:p>
      <w:pPr>
        <w:pStyle w:val="Title"/>
        <w:jc w:val="center"/>
      </w:pPr>
      <w:r>
        <w:t>API Deprecation Notice</w:t>
      </w:r>
    </w:p>
    <w:p>
      <w:pPr>
        <w:pStyle w:val="Subtitle"/>
        <w:jc w:val="center"/>
      </w:pPr>
      <w:r>
        <w:t>Document ID: VAL-ENG-003   |   Department: Engineering Platform Services   |   Classification: Internal Use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728"/>
            <w:vAlign w:val="center"/>
            <w:shd w:fill="DCE6F1"/>
          </w:tcPr>
          <w:p>
            <w:r>
              <w:rPr>
                <w:b/>
              </w:rPr>
              <w:t>Owner</w:t>
            </w:r>
          </w:p>
        </w:tc>
        <w:tc>
          <w:tcPr>
            <w:tcW w:type="dxa" w:w="2880"/>
            <w:vAlign w:val="center"/>
            <w:shd w:fill="F8FAFC"/>
          </w:tcPr>
          <w:p>
            <w:r>
              <w:t>API Governance Group</w:t>
            </w:r>
          </w:p>
        </w:tc>
        <w:tc>
          <w:tcPr>
            <w:tcW w:type="dxa" w:w="1728"/>
            <w:vAlign w:val="center"/>
            <w:shd w:fill="DCE6F1"/>
          </w:tcPr>
          <w:p>
            <w:r>
              <w:rPr>
                <w:b/>
              </w:rPr>
              <w:t>Version</w:t>
            </w:r>
          </w:p>
        </w:tc>
        <w:tc>
          <w:tcPr>
            <w:tcW w:type="dxa" w:w="2880"/>
            <w:vAlign w:val="center"/>
            <w:shd w:fill="F8FAFC"/>
          </w:tcPr>
          <w:p>
            <w:r>
              <w:t>1.0</w:t>
            </w:r>
          </w:p>
        </w:tc>
      </w:tr>
      <w:tr>
        <w:tc>
          <w:tcPr>
            <w:tcW w:type="dxa" w:w="1728"/>
            <w:vAlign w:val="center"/>
            <w:shd w:fill="DCE6F1"/>
          </w:tcPr>
          <w:p>
            <w:r>
              <w:rPr>
                <w:b/>
              </w:rPr>
              <w:t>Effective date</w:t>
            </w:r>
          </w:p>
        </w:tc>
        <w:tc>
          <w:tcPr>
            <w:tcW w:type="dxa" w:w="2880"/>
            <w:vAlign w:val="center"/>
            <w:shd w:fill="F8FAFC"/>
          </w:tcPr>
          <w:p>
            <w:r>
              <w:t>18 March 2026</w:t>
            </w:r>
          </w:p>
        </w:tc>
        <w:tc>
          <w:tcPr>
            <w:tcW w:type="dxa" w:w="1728"/>
            <w:vAlign w:val="center"/>
            <w:shd w:fill="DCE6F1"/>
          </w:tcPr>
          <w:p>
            <w:r>
              <w:rPr>
                <w:b/>
              </w:rPr>
              <w:t>Review date</w:t>
            </w:r>
          </w:p>
        </w:tc>
        <w:tc>
          <w:tcPr>
            <w:tcW w:type="dxa" w:w="2880"/>
            <w:vAlign w:val="center"/>
            <w:shd w:fill="F8FAFC"/>
          </w:tcPr>
          <w:p>
            <w:r>
              <w:t>30 June 2026</w:t>
            </w:r>
          </w:p>
        </w:tc>
      </w:tr>
      <w:tr>
        <w:tc>
          <w:tcPr>
            <w:tcW w:type="dxa" w:w="1728"/>
            <w:vAlign w:val="center"/>
            <w:shd w:fill="DCE6F1"/>
          </w:tcPr>
          <w:p>
            <w:r>
              <w:rPr>
                <w:b/>
              </w:rPr>
              <w:t>Affected services</w:t>
            </w:r>
          </w:p>
        </w:tc>
        <w:tc>
          <w:tcPr>
            <w:tcW w:type="dxa" w:w="2880"/>
            <w:vAlign w:val="center"/>
            <w:shd w:fill="F8FAFC"/>
          </w:tcPr>
          <w:p>
            <w:r>
              <w:t>Control Plane / Edge Gateway / Telemetry API</w:t>
            </w:r>
          </w:p>
        </w:tc>
        <w:tc>
          <w:tcPr>
            <w:tcW w:type="dxa" w:w="1728"/>
            <w:vAlign w:val="center"/>
            <w:shd w:fill="DCE6F1"/>
          </w:tcPr>
          <w:p>
            <w:r>
              <w:rPr>
                <w:b/>
              </w:rPr>
              <w:t>Change type</w:t>
            </w:r>
          </w:p>
        </w:tc>
        <w:tc>
          <w:tcPr>
            <w:tcW w:type="dxa" w:w="2880"/>
            <w:vAlign w:val="center"/>
            <w:shd w:fill="F8FAFC"/>
          </w:tcPr>
          <w:p>
            <w:r>
              <w:t>Planned deprecation</w:t>
            </w:r>
          </w:p>
        </w:tc>
      </w:tr>
    </w:tbl>
    <w:p>
      <w:r>
        <w:rPr>
          <w:b/>
        </w:rPr>
        <w:t xml:space="preserve">Summary. </w:t>
      </w:r>
      <w:r>
        <w:t>This notice announces the scheduled deprecation of legacy v1 endpoints used by older warehouse connectors and internal tooling integrations. Engineering teams must migrate remaining consumers to the v2 API contract within the transition window defined below. The deprecation applies to authenticated service-to-service calls and selected admin endpoints exposed through the OrchestrAI Control Plane.</w:t>
      </w:r>
    </w:p>
    <w:tbl>
      <w:tblPr>
        <w:tblStyle w:val="TableGrid"/>
        <w:tblW w:type="auto" w:w="0"/>
        <w:jc w:val="center"/>
        <w:tblLook w:firstColumn="1" w:firstRow="1" w:lastColumn="0" w:lastRow="0" w:noHBand="0" w:noVBand="1" w:val="04A0"/>
      </w:tblPr>
      <w:tblGrid>
        <w:gridCol w:w="9936"/>
      </w:tblGrid>
      <w:tr>
        <w:tc>
          <w:tcPr>
            <w:tcW w:type="dxa" w:w="9936"/>
            <w:shd w:fill="FFF4CC"/>
          </w:tcPr>
          <w:p>
            <w:r>
              <w:rPr>
                <w:b/>
                <w:sz w:val="20"/>
              </w:rPr>
              <w:t>Action required: Teams owning active v1 consumers must register a migration owner, validate test coverage for v2 endpoints, and complete production cutover before 31 May 2026.</w:t>
            </w:r>
          </w:p>
        </w:tc>
      </w:tr>
    </w:tbl>
    <w:p>
      <w:pPr>
        <w:pStyle w:val="Heading1"/>
      </w:pPr>
      <w:r>
        <w:t>Scope of deprecation</w:t>
      </w:r>
    </w:p>
    <w:p>
      <w:pPr>
        <w:pStyle w:val="ListBullet"/>
      </w:pPr>
      <w:r>
        <w:t>Endpoints in scope include /api/v1/jobs, /api/v1/devices, /api/v1/telemetry/batch, and the legacy admin reconciliation route used by older support tools.</w:t>
      </w:r>
    </w:p>
    <w:p>
      <w:pPr>
        <w:pStyle w:val="ListBullet"/>
      </w:pPr>
      <w:r>
        <w:t>The notice covers both direct API consumers and middleware services that proxy v1 requests on behalf of partner adapters or internal command utilities.</w:t>
      </w:r>
    </w:p>
    <w:p>
      <w:pPr>
        <w:pStyle w:val="ListBullet"/>
      </w:pPr>
      <w:r>
        <w:t>Endpoints not listed in this notice remain active; however, any newly developed integration must use the v2 contract and current authentication headers.</w:t>
      </w:r>
    </w:p>
    <w:p>
      <w:pPr>
        <w:pStyle w:val="Heading1"/>
      </w:pPr>
      <w:r>
        <w:t>Deprecation timeline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vAlign w:val="center"/>
            <w:shd w:fill="D9EAF7"/>
          </w:tcPr>
          <w:p>
            <w:r>
              <w:rPr>
                <w:b/>
              </w:rPr>
              <w:t>Milestone</w:t>
            </w:r>
          </w:p>
        </w:tc>
        <w:tc>
          <w:tcPr>
            <w:tcW w:type="dxa" w:w="1656"/>
            <w:vAlign w:val="center"/>
            <w:shd w:fill="D9EAF7"/>
          </w:tcPr>
          <w:p>
            <w:r>
              <w:rPr>
                <w:b/>
              </w:rPr>
              <w:t>Date</w:t>
            </w:r>
          </w:p>
        </w:tc>
        <w:tc>
          <w:tcPr>
            <w:tcW w:type="dxa" w:w="2088"/>
            <w:vAlign w:val="center"/>
            <w:shd w:fill="D9EAF7"/>
          </w:tcPr>
          <w:p>
            <w:r>
              <w:rPr>
                <w:b/>
              </w:rPr>
              <w:t>Owner</w:t>
            </w:r>
          </w:p>
        </w:tc>
        <w:tc>
          <w:tcPr>
            <w:tcW w:type="dxa" w:w="4320"/>
            <w:vAlign w:val="center"/>
            <w:shd w:fill="D9EAF7"/>
          </w:tcPr>
          <w:p>
            <w:r>
              <w:rPr>
                <w:b/>
              </w:rPr>
              <w:t>Requirement</w:t>
            </w:r>
          </w:p>
        </w:tc>
      </w:tr>
      <w:tr>
        <w:tc>
          <w:tcPr>
            <w:tcW w:type="dxa" w:w="2448"/>
            <w:vAlign w:val="center"/>
          </w:tcPr>
          <w:p>
            <w:r>
              <w:t>Consumer inventory freeze</w:t>
            </w:r>
          </w:p>
        </w:tc>
        <w:tc>
          <w:tcPr>
            <w:tcW w:type="dxa" w:w="1656"/>
            <w:vAlign w:val="center"/>
          </w:tcPr>
          <w:p>
            <w:r>
              <w:t>25 March 2026</w:t>
            </w:r>
          </w:p>
        </w:tc>
        <w:tc>
          <w:tcPr>
            <w:tcW w:type="dxa" w:w="2088"/>
            <w:vAlign w:val="center"/>
          </w:tcPr>
          <w:p>
            <w:r>
              <w:t>API Governance</w:t>
            </w:r>
          </w:p>
        </w:tc>
        <w:tc>
          <w:tcPr>
            <w:tcW w:type="dxa" w:w="4320"/>
            <w:vAlign w:val="center"/>
          </w:tcPr>
          <w:p>
            <w:r>
              <w:t>No new v1 consumers may be registered</w:t>
            </w:r>
          </w:p>
        </w:tc>
      </w:tr>
      <w:tr>
        <w:tc>
          <w:tcPr>
            <w:tcW w:type="dxa" w:w="2448"/>
            <w:vAlign w:val="center"/>
          </w:tcPr>
          <w:p>
            <w:r>
              <w:t>Migration plan submitted</w:t>
            </w:r>
          </w:p>
        </w:tc>
        <w:tc>
          <w:tcPr>
            <w:tcW w:type="dxa" w:w="1656"/>
            <w:vAlign w:val="center"/>
          </w:tcPr>
          <w:p>
            <w:r>
              <w:t>5 April 2026</w:t>
            </w:r>
          </w:p>
        </w:tc>
        <w:tc>
          <w:tcPr>
            <w:tcW w:type="dxa" w:w="2088"/>
            <w:vAlign w:val="center"/>
          </w:tcPr>
          <w:p>
            <w:r>
              <w:t>Service owner</w:t>
            </w:r>
          </w:p>
        </w:tc>
        <w:tc>
          <w:tcPr>
            <w:tcW w:type="dxa" w:w="4320"/>
            <w:vAlign w:val="center"/>
          </w:tcPr>
          <w:p>
            <w:r>
              <w:t>Tracking ticket and rollback plan required</w:t>
            </w:r>
          </w:p>
        </w:tc>
      </w:tr>
      <w:tr>
        <w:tc>
          <w:tcPr>
            <w:tcW w:type="dxa" w:w="2448"/>
            <w:vAlign w:val="center"/>
          </w:tcPr>
          <w:p>
            <w:r>
              <w:t>Sandbox cutover complete</w:t>
            </w:r>
          </w:p>
        </w:tc>
        <w:tc>
          <w:tcPr>
            <w:tcW w:type="dxa" w:w="1656"/>
            <w:vAlign w:val="center"/>
          </w:tcPr>
          <w:p>
            <w:r>
              <w:t>26 April 2026</w:t>
            </w:r>
          </w:p>
        </w:tc>
        <w:tc>
          <w:tcPr>
            <w:tcW w:type="dxa" w:w="2088"/>
            <w:vAlign w:val="center"/>
          </w:tcPr>
          <w:p>
            <w:r>
              <w:t>Delivery team</w:t>
            </w:r>
          </w:p>
        </w:tc>
        <w:tc>
          <w:tcPr>
            <w:tcW w:type="dxa" w:w="4320"/>
            <w:vAlign w:val="center"/>
          </w:tcPr>
          <w:p>
            <w:r>
              <w:t>v2 functional parity verified</w:t>
            </w:r>
          </w:p>
        </w:tc>
      </w:tr>
      <w:tr>
        <w:tc>
          <w:tcPr>
            <w:tcW w:type="dxa" w:w="2448"/>
            <w:vAlign w:val="center"/>
          </w:tcPr>
          <w:p>
            <w:r>
              <w:t>Production cutover deadline</w:t>
            </w:r>
          </w:p>
        </w:tc>
        <w:tc>
          <w:tcPr>
            <w:tcW w:type="dxa" w:w="1656"/>
            <w:vAlign w:val="center"/>
          </w:tcPr>
          <w:p>
            <w:r>
              <w:t>31 May 2026</w:t>
            </w:r>
          </w:p>
        </w:tc>
        <w:tc>
          <w:tcPr>
            <w:tcW w:type="dxa" w:w="2088"/>
            <w:vAlign w:val="center"/>
          </w:tcPr>
          <w:p>
            <w:r>
              <w:t>Service owner</w:t>
            </w:r>
          </w:p>
        </w:tc>
        <w:tc>
          <w:tcPr>
            <w:tcW w:type="dxa" w:w="4320"/>
            <w:vAlign w:val="center"/>
          </w:tcPr>
          <w:p>
            <w:r>
              <w:t>All routine traffic on v2 endpoints</w:t>
            </w:r>
          </w:p>
        </w:tc>
      </w:tr>
      <w:tr>
        <w:tc>
          <w:tcPr>
            <w:tcW w:type="dxa" w:w="2448"/>
            <w:vAlign w:val="center"/>
          </w:tcPr>
          <w:p>
            <w:r>
              <w:t>Endpoint disablement</w:t>
            </w:r>
          </w:p>
        </w:tc>
        <w:tc>
          <w:tcPr>
            <w:tcW w:type="dxa" w:w="1656"/>
            <w:vAlign w:val="center"/>
          </w:tcPr>
          <w:p>
            <w:r>
              <w:t>10 June 2026</w:t>
            </w:r>
          </w:p>
        </w:tc>
        <w:tc>
          <w:tcPr>
            <w:tcW w:type="dxa" w:w="2088"/>
            <w:vAlign w:val="center"/>
          </w:tcPr>
          <w:p>
            <w:r>
              <w:t>Platform Ops</w:t>
            </w:r>
          </w:p>
        </w:tc>
        <w:tc>
          <w:tcPr>
            <w:tcW w:type="dxa" w:w="4320"/>
            <w:vAlign w:val="center"/>
          </w:tcPr>
          <w:p>
            <w:r>
              <w:t>Remaining v1 routes return 410 Gone</w:t>
            </w:r>
          </w:p>
        </w:tc>
      </w:tr>
    </w:tbl>
    <w:p>
      <w:pPr>
        <w:pStyle w:val="Heading1"/>
      </w:pPr>
      <w:r>
        <w:t>Migration requirements</w:t>
      </w:r>
    </w:p>
    <w:p>
      <w:pPr>
        <w:spacing w:after="60"/>
      </w:pPr>
      <w:r>
        <w:rPr>
          <w:b/>
        </w:rPr>
        <w:t xml:space="preserve">Contract changes: </w:t>
      </w:r>
      <w:r>
        <w:t>Teams must update request schemas to the v2 payload model, including normalized device identifiers and explicit warehouse site codes.</w:t>
      </w:r>
    </w:p>
    <w:p>
      <w:pPr>
        <w:spacing w:after="60"/>
      </w:pPr>
      <w:r>
        <w:rPr>
          <w:b/>
        </w:rPr>
        <w:t xml:space="preserve">Authentication: </w:t>
      </w:r>
      <w:r>
        <w:t>Deprecated token headers must be replaced with signed service tokens issued through Identity Gateway.</w:t>
      </w:r>
    </w:p>
    <w:p>
      <w:pPr>
        <w:spacing w:after="60"/>
      </w:pPr>
      <w:r>
        <w:rPr>
          <w:b/>
        </w:rPr>
        <w:t xml:space="preserve">Observability: </w:t>
      </w:r>
      <w:r>
        <w:t>Dashboards and alerts must be updated to watch v2 latency, error rate, and fallback traffic during the cutover period.</w:t>
      </w:r>
    </w:p>
    <w:p>
      <w:pPr>
        <w:spacing w:after="60"/>
      </w:pPr>
      <w:r>
        <w:rPr>
          <w:b/>
        </w:rPr>
        <w:t xml:space="preserve">Rollback control: </w:t>
      </w:r>
      <w:r>
        <w:t>A rollback decision owner and one-hour revalidation checklist must be attached to every production migration change request.</w:t>
      </w:r>
    </w:p>
    <w:p>
      <w:pPr>
        <w:pStyle w:val="Heading1"/>
      </w:pPr>
      <w:r>
        <w:t>Exception handling</w:t>
      </w:r>
    </w:p>
    <w:p>
      <w:pPr>
        <w:pStyle w:val="ListBullet"/>
      </w:pPr>
      <w:r>
        <w:t>Temporary exceptions may be granted only for safety-critical warehouse workflows, regulated customer environments, or contractual partner dependencies with approved remediation dates.</w:t>
      </w:r>
    </w:p>
    <w:p>
      <w:pPr>
        <w:pStyle w:val="ListBullet"/>
      </w:pPr>
      <w:r>
        <w:t>Requests for extension must be approved by the Engineering Director, Platform Reliability Lead, and Security Architecture representative.</w:t>
      </w:r>
    </w:p>
    <w:p>
      <w:pPr>
        <w:pStyle w:val="ListBullet"/>
      </w:pPr>
      <w:r>
        <w:t>Approved exceptions must include a last-supported date, documented residual risk, and weekly progress reporting until retirement is complete.</w:t>
      </w:r>
    </w:p>
    <w:p>
      <w:pPr>
        <w:pStyle w:val="Heading1"/>
      </w:pPr>
      <w:r>
        <w:t>Reference terms used in search and support</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rPr>
              <w:t>Keyword / Alias</w:t>
            </w:r>
          </w:p>
        </w:tc>
        <w:tc>
          <w:tcPr>
            <w:tcW w:type="dxa" w:w="4968"/>
            <w:shd w:fill="EAF2F8"/>
          </w:tcPr>
          <w:p>
            <w:r>
              <w:rPr>
                <w:b/>
              </w:rPr>
              <w:t>Context</w:t>
            </w:r>
          </w:p>
        </w:tc>
      </w:tr>
      <w:tr>
        <w:tc>
          <w:tcPr>
            <w:tcW w:type="dxa" w:w="4968"/>
          </w:tcPr>
          <w:p>
            <w:r>
              <w:t>legacy endpoint, sunset, retire API</w:t>
            </w:r>
          </w:p>
        </w:tc>
        <w:tc>
          <w:tcPr>
            <w:tcW w:type="dxa" w:w="4968"/>
          </w:tcPr>
          <w:p>
            <w:r>
              <w:t>General deprecation language used in incident tickets and release notes</w:t>
            </w:r>
          </w:p>
        </w:tc>
      </w:tr>
      <w:tr>
        <w:tc>
          <w:tcPr>
            <w:tcW w:type="dxa" w:w="4968"/>
          </w:tcPr>
          <w:p>
            <w:r>
              <w:t>v1, old contract, old route</w:t>
            </w:r>
          </w:p>
        </w:tc>
        <w:tc>
          <w:tcPr>
            <w:tcW w:type="dxa" w:w="4968"/>
          </w:tcPr>
          <w:p>
            <w:r>
              <w:t>Phrases commonly seen in integration inventories or code comments</w:t>
            </w:r>
          </w:p>
        </w:tc>
      </w:tr>
      <w:tr>
        <w:tc>
          <w:tcPr>
            <w:tcW w:type="dxa" w:w="4968"/>
          </w:tcPr>
          <w:p>
            <w:r>
              <w:t>410 Gone, endpoint disablement</w:t>
            </w:r>
          </w:p>
        </w:tc>
        <w:tc>
          <w:tcPr>
            <w:tcW w:type="dxa" w:w="4968"/>
          </w:tcPr>
          <w:p>
            <w:r>
              <w:t>Expected post-retirement response behavior</w:t>
            </w:r>
          </w:p>
        </w:tc>
      </w:tr>
      <w:tr>
        <w:tc>
          <w:tcPr>
            <w:tcW w:type="dxa" w:w="4968"/>
          </w:tcPr>
          <w:p>
            <w:r>
              <w:t>consumer inventory, migration owner</w:t>
            </w:r>
          </w:p>
        </w:tc>
        <w:tc>
          <w:tcPr>
            <w:tcW w:type="dxa" w:w="4968"/>
          </w:tcPr>
          <w:p>
            <w:r>
              <w:t>Planning terms used in platform governance workflows</w:t>
            </w:r>
          </w:p>
        </w:tc>
      </w:tr>
    </w:tbl>
    <w:p>
      <w:pPr>
        <w:spacing w:before="160" w:after="0"/>
      </w:pPr>
      <w:r>
        <w:rPr>
          <w:b/>
        </w:rPr>
        <w:t xml:space="preserve">Contact: </w:t>
      </w:r>
      <w:r>
        <w:t>api-governance@orchestrai.example, Platform Reliability channel, or the owning service team listed in the migration tracker.</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13F6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2323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13F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