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6B7A"/>
          <w:sz w:val="17"/>
        </w:rPr>
        <w:t>ORCHESTRAI INTERNAL KNOWLEDGE BASE</w:t>
      </w:r>
    </w:p>
    <w:p>
      <w:pPr>
        <w:pStyle w:val="Title"/>
      </w:pPr>
      <w:r>
        <w:t>Vendor Onboarding Requirements</w:t>
      </w:r>
    </w:p>
    <w:p>
      <w:r>
        <w:rPr>
          <w:b/>
        </w:rPr>
        <w:t xml:space="preserve">Document ID: </w:t>
      </w:r>
      <w:r>
        <w:t xml:space="preserve">VAL-FIN-003   </w:t>
      </w:r>
      <w:r>
        <w:rPr>
          <w:b/>
        </w:rPr>
        <w:t xml:space="preserve">Owner: </w:t>
      </w:r>
      <w:r>
        <w:t xml:space="preserve">Procurement Operations   </w:t>
      </w:r>
      <w:r>
        <w:rPr>
          <w:b/>
        </w:rPr>
        <w:t xml:space="preserve">Confidentiality: </w:t>
      </w:r>
      <w:r>
        <w:t xml:space="preserve">Internal Use Only   </w:t>
      </w:r>
    </w:p>
    <w:p>
      <w:r>
        <w:t>Purpose: This document lists the minimum requirements that must be satisfied before a new supplier can be activated for purchasing or payment in OrchestrAI systems.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AF7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39"/>
            <w:shd w:fill="EAF7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39"/>
            <w:shd w:fill="F7FB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2026-03-06</w:t>
            </w:r>
          </w:p>
        </w:tc>
      </w:tr>
      <w:tr>
        <w:tc>
          <w:tcPr>
            <w:tcW w:type="dxa" w:w="4939"/>
            <w:shd w:fill="F7FB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New suppliers and reactivated inactive suppliers</w:t>
            </w:r>
          </w:p>
        </w:tc>
      </w:tr>
      <w:tr>
        <w:tc>
          <w:tcPr>
            <w:tcW w:type="dxa" w:w="4939"/>
            <w:shd w:fill="F7FB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Primary systems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ProcurePath, LedgerFlow</w:t>
            </w:r>
          </w:p>
        </w:tc>
      </w:tr>
      <w:tr>
        <w:tc>
          <w:tcPr>
            <w:tcW w:type="dxa" w:w="4939"/>
            <w:shd w:fill="F7FB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Partner reviews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Security, Legal, System owner as applicable</w:t>
            </w:r>
          </w:p>
        </w:tc>
      </w:tr>
    </w:tbl>
    <w:p>
      <w:pPr>
        <w:pStyle w:val="Heading1"/>
      </w:pPr>
      <w:r>
        <w:t>Required onboarding elements</w:t>
      </w:r>
    </w:p>
    <w:p>
      <w:pPr>
        <w:ind w:left="288" w:hanging="216"/>
      </w:pPr>
      <w:r>
        <w:rPr>
          <w:b/>
        </w:rPr>
        <w:t xml:space="preserve">• </w:t>
      </w:r>
      <w:r>
        <w:t>Legal entity name and registration details</w:t>
      </w:r>
    </w:p>
    <w:p>
      <w:pPr>
        <w:ind w:left="288" w:hanging="216"/>
      </w:pPr>
      <w:r>
        <w:rPr>
          <w:b/>
        </w:rPr>
        <w:t xml:space="preserve">• </w:t>
      </w:r>
      <w:r>
        <w:t>Tax forms and remittance information</w:t>
      </w:r>
    </w:p>
    <w:p>
      <w:pPr>
        <w:ind w:left="288" w:hanging="216"/>
      </w:pPr>
      <w:r>
        <w:rPr>
          <w:b/>
        </w:rPr>
        <w:t xml:space="preserve">• </w:t>
      </w:r>
      <w:r>
        <w:t>Verified banking details using approved intake method</w:t>
      </w:r>
    </w:p>
    <w:p>
      <w:pPr>
        <w:ind w:left="288" w:hanging="216"/>
      </w:pPr>
      <w:r>
        <w:rPr>
          <w:b/>
        </w:rPr>
        <w:t xml:space="preserve">• </w:t>
      </w:r>
      <w:r>
        <w:t>Named business owner and department sponsor</w:t>
      </w:r>
    </w:p>
    <w:p>
      <w:pPr>
        <w:ind w:left="288" w:hanging="216"/>
      </w:pPr>
      <w:r>
        <w:rPr>
          <w:b/>
        </w:rPr>
        <w:t xml:space="preserve">• </w:t>
      </w:r>
      <w:r>
        <w:t>Description of goods or services being purchased</w:t>
      </w:r>
    </w:p>
    <w:p>
      <w:pPr>
        <w:ind w:left="288" w:hanging="216"/>
      </w:pPr>
      <w:r>
        <w:rPr>
          <w:b/>
        </w:rPr>
        <w:t xml:space="preserve">• </w:t>
      </w:r>
      <w:r>
        <w:t>Security review completion if the vendor will access systems, data, or critical workflows</w:t>
      </w:r>
    </w:p>
    <w:p>
      <w:pPr>
        <w:pStyle w:val="Heading1"/>
      </w:pPr>
      <w:r>
        <w:t>Common blockers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EAF7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Blocker</w:t>
            </w:r>
          </w:p>
        </w:tc>
        <w:tc>
          <w:tcPr>
            <w:tcW w:type="dxa" w:w="3293"/>
            <w:shd w:fill="EAF7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Why it matters</w:t>
            </w:r>
          </w:p>
        </w:tc>
        <w:tc>
          <w:tcPr>
            <w:tcW w:type="dxa" w:w="3293"/>
            <w:shd w:fill="EAF7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Resolution path</w:t>
            </w:r>
          </w:p>
        </w:tc>
      </w:tr>
      <w:tr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Missing banking data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Payment cannot be scheduled safely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Request update through approved vendor-intake channel</w:t>
            </w:r>
          </w:p>
        </w:tc>
      </w:tr>
      <w:tr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Unfinished security review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Access or data risk is not cleared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Hold onboarding until review closes</w:t>
            </w:r>
          </w:p>
        </w:tc>
      </w:tr>
      <w:tr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 business owner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 accountable sponsor for service or renewal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Return request to department requester</w:t>
            </w:r>
          </w:p>
        </w:tc>
      </w:tr>
    </w:tbl>
    <w:p>
      <w:r>
        <w:t>Search anchors: vendor onboarding, supplier setup, tax forms, banking verification, security review.</w:t>
      </w:r>
    </w:p>
    <w:sectPr w:rsidR="00FC693F" w:rsidRPr="0006063C" w:rsidSect="00034616">
      <w:pgSz w:w="12240" w:h="15840"/>
      <w:pgMar w:top="936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3B4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A647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234E5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