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748B"/>
          <w:sz w:val="17"/>
        </w:rPr>
        <w:t>ORCHESTRAI INTERNAL KNOWLEDGE BASE</w:t>
      </w:r>
    </w:p>
    <w:p>
      <w:pPr>
        <w:pStyle w:val="Title"/>
      </w:pPr>
      <w:r>
        <w:t>Recognition Program Criteria</w:t>
      </w:r>
    </w:p>
    <w:p>
      <w:r>
        <w:rPr>
          <w:b/>
        </w:rPr>
        <w:t xml:space="preserve">Document ID: </w:t>
      </w:r>
      <w:r>
        <w:t xml:space="preserve">VAL-HR-003   </w:t>
      </w:r>
      <w:r>
        <w:rPr>
          <w:b/>
        </w:rPr>
        <w:t xml:space="preserve">Owner: </w:t>
      </w:r>
      <w:r>
        <w:t xml:space="preserve">HR &amp; People Operations   </w:t>
      </w:r>
      <w:r>
        <w:rPr>
          <w:b/>
        </w:rPr>
        <w:t xml:space="preserve">Confidentiality: </w:t>
      </w:r>
      <w:r>
        <w:t xml:space="preserve">Internal Use Only   </w:t>
      </w:r>
    </w:p>
    <w:p>
      <w:r>
        <w:t>Purpose: This note documents the selection criteria and governance used for quarterly recognition at OrchestrAI.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39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OrchestrAI Recognition Spotlight</w:t>
            </w:r>
          </w:p>
        </w:tc>
      </w:tr>
      <w:tr>
        <w:tc>
          <w:tcPr>
            <w:tcW w:type="dxa" w:w="49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Cycle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Quarterly</w:t>
            </w:r>
          </w:p>
        </w:tc>
      </w:tr>
      <w:tr>
        <w:tc>
          <w:tcPr>
            <w:tcW w:type="dxa" w:w="49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Owner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People Operations Program Lead</w:t>
            </w:r>
          </w:p>
        </w:tc>
      </w:tr>
      <w:tr>
        <w:tc>
          <w:tcPr>
            <w:tcW w:type="dxa" w:w="49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All regular employees</w:t>
            </w:r>
          </w:p>
        </w:tc>
      </w:tr>
    </w:tbl>
    <w:p>
      <w:pPr>
        <w:pStyle w:val="Heading1"/>
      </w:pPr>
      <w:r>
        <w:t>Eligibility criteria</w:t>
      </w:r>
    </w:p>
    <w:p>
      <w:pPr>
        <w:ind w:left="288" w:hanging="216"/>
      </w:pPr>
      <w:r>
        <w:rPr>
          <w:b/>
        </w:rPr>
        <w:t xml:space="preserve">• </w:t>
      </w:r>
      <w:r>
        <w:t>Nominees should demonstrate measurable impact, collaboration across teams, or a sustained improvement to process quality.</w:t>
      </w:r>
    </w:p>
    <w:p>
      <w:pPr>
        <w:ind w:left="288" w:hanging="216"/>
      </w:pPr>
      <w:r>
        <w:rPr>
          <w:b/>
        </w:rPr>
        <w:t xml:space="preserve">• </w:t>
      </w:r>
      <w:r>
        <w:t>Recognition should be tied to specific outcomes rather than general popularity or manager preference.</w:t>
      </w:r>
    </w:p>
    <w:p>
      <w:pPr>
        <w:ind w:left="288" w:hanging="216"/>
      </w:pPr>
      <w:r>
        <w:rPr>
          <w:b/>
        </w:rPr>
        <w:t xml:space="preserve">• </w:t>
      </w:r>
      <w:r>
        <w:t>Recent policy or conduct concerns must be reviewed before final selection.</w:t>
      </w:r>
    </w:p>
    <w:p>
      <w:pPr>
        <w:ind w:left="288" w:hanging="216"/>
      </w:pPr>
      <w:r>
        <w:rPr>
          <w:b/>
        </w:rPr>
        <w:t xml:space="preserve">• </w:t>
      </w:r>
      <w:r>
        <w:t>The same achievement should not be recognized repeatedly across consecutive cycles without new evidence.</w:t>
      </w:r>
    </w:p>
    <w:p>
      <w:pPr>
        <w:pStyle w:val="Heading1"/>
      </w:pPr>
      <w:r>
        <w:t>Selection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293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What reviewers look for</w:t>
            </w:r>
          </w:p>
        </w:tc>
        <w:tc>
          <w:tcPr>
            <w:tcW w:type="dxa" w:w="3293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Impact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Clear business or team improvement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Reduced incident load, improved onboarding quality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Collaboration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Cross-functional contribution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Worked across IT, Security, and HR to unblock a launch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Values alignment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Consistent, professional conduct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Documented mentoring, reliable ownership, thoughtful communication</w:t>
            </w:r>
          </w:p>
        </w:tc>
      </w:tr>
    </w:tbl>
    <w:p>
      <w:r>
        <w:t>Search anchors: recognition criteria, nomination rules, quarterly spotlight, employee award, selection rubric.</w:t>
      </w:r>
    </w:p>
    <w:sectPr w:rsidR="00FC693F" w:rsidRPr="0006063C" w:rsidSect="00034616">
      <w:pgSz w:w="12240" w:h="15840"/>
      <w:pgMar w:top="936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34155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755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4B55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