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24"/>
        </w:rPr>
        <w:t>OrchestrAI</w:t>
      </w:r>
    </w:p>
    <w:p>
      <w:pPr>
        <w:jc w:val="center"/>
      </w:pPr>
      <w:r>
        <w:rPr>
          <w:rFonts w:ascii="Aptos Display" w:hAnsi="Aptos Display"/>
          <w:b/>
          <w:color w:val="1F4E79"/>
          <w:sz w:val="36"/>
        </w:rPr>
        <w:t>Laptop Provisioning FAQ</w:t>
      </w:r>
    </w:p>
    <w:p>
      <w:pPr>
        <w:jc w:val="center"/>
      </w:pPr>
      <w:r>
        <w:rPr>
          <w:i/>
          <w:sz w:val="19"/>
        </w:rPr>
        <w:t>IT Workplace Services • Validation Reference • Version 1.0</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Mar>
              <w:top w:w="80" w:type="dxa"/>
              <w:start w:w="90" w:type="dxa"/>
              <w:bottom w:w="80" w:type="dxa"/>
              <w:end w:w="90" w:type="dxa"/>
            </w:tcMar>
          </w:tcPr>
          <w:p>
            <w:r>
              <w:rPr>
                <w:b/>
                <w:sz w:val="18"/>
              </w:rPr>
              <w:t>Document ID</w:t>
            </w:r>
          </w:p>
        </w:tc>
        <w:tc>
          <w:tcPr>
            <w:tcW w:type="dxa" w:w="2484"/>
            <w:vAlign w:val="center"/>
            <w:tcMar>
              <w:top w:w="80" w:type="dxa"/>
              <w:start w:w="90" w:type="dxa"/>
              <w:bottom w:w="80" w:type="dxa"/>
              <w:end w:w="90" w:type="dxa"/>
            </w:tcMar>
          </w:tcPr>
          <w:p>
            <w:r>
              <w:rPr>
                <w:sz w:val="18"/>
              </w:rPr>
              <w:t>VAL-IT-001</w:t>
            </w:r>
          </w:p>
        </w:tc>
        <w:tc>
          <w:tcPr>
            <w:tcW w:type="dxa" w:w="2484"/>
            <w:shd w:fill="D9EAF7"/>
            <w:vAlign w:val="center"/>
            <w:tcMar>
              <w:top w:w="80" w:type="dxa"/>
              <w:start w:w="90" w:type="dxa"/>
              <w:bottom w:w="80" w:type="dxa"/>
              <w:end w:w="90" w:type="dxa"/>
            </w:tcMar>
          </w:tcPr>
          <w:p>
            <w:r>
              <w:rPr>
                <w:b/>
                <w:sz w:val="18"/>
              </w:rPr>
              <w:t>Department</w:t>
            </w:r>
          </w:p>
        </w:tc>
        <w:tc>
          <w:tcPr>
            <w:tcW w:type="dxa" w:w="2484"/>
            <w:vAlign w:val="center"/>
            <w:tcMar>
              <w:top w:w="80" w:type="dxa"/>
              <w:start w:w="90" w:type="dxa"/>
              <w:bottom w:w="80" w:type="dxa"/>
              <w:end w:w="90" w:type="dxa"/>
            </w:tcMar>
          </w:tcPr>
          <w:p>
            <w:r>
              <w:rPr>
                <w:sz w:val="18"/>
              </w:rPr>
              <w:t>IT Workplace Services</w:t>
            </w:r>
          </w:p>
        </w:tc>
      </w:tr>
      <w:tr>
        <w:tc>
          <w:tcPr>
            <w:tcW w:type="dxa" w:w="2484"/>
            <w:shd w:fill="D9EAF7"/>
            <w:vAlign w:val="center"/>
            <w:tcMar>
              <w:top w:w="80" w:type="dxa"/>
              <w:start w:w="90" w:type="dxa"/>
              <w:bottom w:w="80" w:type="dxa"/>
              <w:end w:w="90" w:type="dxa"/>
            </w:tcMar>
          </w:tcPr>
          <w:p>
            <w:r>
              <w:rPr>
                <w:b/>
                <w:sz w:val="18"/>
              </w:rPr>
              <w:t>Owner</w:t>
            </w:r>
          </w:p>
        </w:tc>
        <w:tc>
          <w:tcPr>
            <w:tcW w:type="dxa" w:w="2484"/>
            <w:vAlign w:val="center"/>
            <w:tcMar>
              <w:top w:w="80" w:type="dxa"/>
              <w:start w:w="90" w:type="dxa"/>
              <w:bottom w:w="80" w:type="dxa"/>
              <w:end w:w="90" w:type="dxa"/>
            </w:tcMar>
          </w:tcPr>
          <w:p>
            <w:r>
              <w:rPr>
                <w:sz w:val="18"/>
              </w:rPr>
              <w:t>Endpoint Engineering Lead</w:t>
            </w:r>
          </w:p>
        </w:tc>
        <w:tc>
          <w:tcPr>
            <w:tcW w:type="dxa" w:w="2484"/>
            <w:shd w:fill="D9EAF7"/>
            <w:vAlign w:val="center"/>
            <w:tcMar>
              <w:top w:w="80" w:type="dxa"/>
              <w:start w:w="90" w:type="dxa"/>
              <w:bottom w:w="80" w:type="dxa"/>
              <w:end w:w="90" w:type="dxa"/>
            </w:tcMar>
          </w:tcPr>
          <w:p>
            <w:r>
              <w:rPr>
                <w:b/>
                <w:sz w:val="18"/>
              </w:rPr>
              <w:t>Confidentiality</w:t>
            </w:r>
          </w:p>
        </w:tc>
        <w:tc>
          <w:tcPr>
            <w:tcW w:type="dxa" w:w="2484"/>
            <w:vAlign w:val="center"/>
            <w:tcMar>
              <w:top w:w="80" w:type="dxa"/>
              <w:start w:w="90" w:type="dxa"/>
              <w:bottom w:w="80" w:type="dxa"/>
              <w:end w:w="90" w:type="dxa"/>
            </w:tcMar>
          </w:tcPr>
          <w:p>
            <w:r>
              <w:rPr>
                <w:sz w:val="18"/>
              </w:rPr>
              <w:t>Internal Use Only</w:t>
            </w:r>
          </w:p>
        </w:tc>
      </w:tr>
      <w:tr>
        <w:tc>
          <w:tcPr>
            <w:tcW w:type="dxa" w:w="2484"/>
            <w:shd w:fill="D9EAF7"/>
            <w:vAlign w:val="center"/>
            <w:tcMar>
              <w:top w:w="80" w:type="dxa"/>
              <w:start w:w="90" w:type="dxa"/>
              <w:bottom w:w="80" w:type="dxa"/>
              <w:end w:w="90" w:type="dxa"/>
            </w:tcMar>
          </w:tcPr>
          <w:p>
            <w:r>
              <w:rPr>
                <w:b/>
                <w:sz w:val="18"/>
              </w:rPr>
              <w:t>Effective Date</w:t>
            </w:r>
          </w:p>
        </w:tc>
        <w:tc>
          <w:tcPr>
            <w:tcW w:type="dxa" w:w="2484"/>
            <w:vAlign w:val="center"/>
            <w:tcMar>
              <w:top w:w="80" w:type="dxa"/>
              <w:start w:w="90" w:type="dxa"/>
              <w:bottom w:w="80" w:type="dxa"/>
              <w:end w:w="90" w:type="dxa"/>
            </w:tcMar>
          </w:tcPr>
          <w:p>
            <w:r>
              <w:rPr>
                <w:sz w:val="18"/>
              </w:rPr>
              <w:t>15 March 2026</w:t>
            </w:r>
          </w:p>
        </w:tc>
        <w:tc>
          <w:tcPr>
            <w:tcW w:type="dxa" w:w="2484"/>
            <w:shd w:fill="D9EAF7"/>
            <w:vAlign w:val="center"/>
            <w:tcMar>
              <w:top w:w="80" w:type="dxa"/>
              <w:start w:w="90" w:type="dxa"/>
              <w:bottom w:w="80" w:type="dxa"/>
              <w:end w:w="90" w:type="dxa"/>
            </w:tcMar>
          </w:tcPr>
          <w:p>
            <w:r>
              <w:rPr>
                <w:b/>
                <w:sz w:val="18"/>
              </w:rPr>
              <w:t>Review Date</w:t>
            </w:r>
          </w:p>
        </w:tc>
        <w:tc>
          <w:tcPr>
            <w:tcW w:type="dxa" w:w="2484"/>
            <w:vAlign w:val="center"/>
            <w:tcMar>
              <w:top w:w="80" w:type="dxa"/>
              <w:start w:w="90" w:type="dxa"/>
              <w:bottom w:w="80" w:type="dxa"/>
              <w:end w:w="90" w:type="dxa"/>
            </w:tcMar>
          </w:tcPr>
          <w:p>
            <w:r>
              <w:rPr>
                <w:sz w:val="18"/>
              </w:rPr>
              <w:t>15 September 2026</w:t>
            </w:r>
          </w:p>
        </w:tc>
      </w:tr>
      <w:tr>
        <w:tc>
          <w:tcPr>
            <w:tcW w:type="dxa" w:w="2484"/>
            <w:shd w:fill="D9EAF7"/>
            <w:vAlign w:val="center"/>
            <w:tcMar>
              <w:top w:w="80" w:type="dxa"/>
              <w:start w:w="90" w:type="dxa"/>
              <w:bottom w:w="80" w:type="dxa"/>
              <w:end w:w="90" w:type="dxa"/>
            </w:tcMar>
          </w:tcPr>
          <w:p>
            <w:r>
              <w:rPr>
                <w:b/>
                <w:sz w:val="18"/>
              </w:rPr>
              <w:t>Primary Systems</w:t>
            </w:r>
          </w:p>
        </w:tc>
        <w:tc>
          <w:tcPr>
            <w:tcW w:type="dxa" w:w="2484"/>
            <w:vAlign w:val="center"/>
            <w:tcMar>
              <w:top w:w="80" w:type="dxa"/>
              <w:start w:w="90" w:type="dxa"/>
              <w:bottom w:w="80" w:type="dxa"/>
              <w:end w:w="90" w:type="dxa"/>
            </w:tcMar>
          </w:tcPr>
          <w:p>
            <w:r>
              <w:rPr>
                <w:sz w:val="18"/>
              </w:rPr>
              <w:t>AtlasDesk, FleetPulse, AccessHub</w:t>
            </w:r>
          </w:p>
        </w:tc>
        <w:tc>
          <w:tcPr>
            <w:tcW w:type="dxa" w:w="2484"/>
            <w:shd w:fill="D9EAF7"/>
            <w:vAlign w:val="center"/>
            <w:tcMar>
              <w:top w:w="80" w:type="dxa"/>
              <w:start w:w="90" w:type="dxa"/>
              <w:bottom w:w="80" w:type="dxa"/>
              <w:end w:w="90" w:type="dxa"/>
            </w:tcMar>
          </w:tcPr>
          <w:p>
            <w:r>
              <w:rPr>
                <w:b/>
                <w:sz w:val="18"/>
              </w:rPr>
              <w:t>Related Docs</w:t>
            </w:r>
          </w:p>
        </w:tc>
        <w:tc>
          <w:tcPr>
            <w:tcW w:type="dxa" w:w="2484"/>
            <w:vAlign w:val="center"/>
            <w:tcMar>
              <w:top w:w="80" w:type="dxa"/>
              <w:start w:w="90" w:type="dxa"/>
              <w:bottom w:w="80" w:type="dxa"/>
              <w:end w:w="90" w:type="dxa"/>
            </w:tcMar>
          </w:tcPr>
          <w:p>
            <w:r>
              <w:rPr>
                <w:sz w:val="18"/>
              </w:rPr>
              <w:t>TEAMQA-IT-001; VAL-IT-002</w:t>
            </w:r>
          </w:p>
        </w:tc>
      </w:tr>
    </w:tbl>
    <w:p/>
    <w:p>
      <w:r>
        <w:rPr>
          <w:b/>
        </w:rPr>
        <w:t xml:space="preserve">Purpose. </w:t>
      </w:r>
      <w:r>
        <w:t>This FAQ explains how OrchestrAI provisions standard corporate laptops for new hires, internal transfers, refresh cycles, and replacement requests. It is written for employees, hiring managers, and local site coordinators who need quick answers about request timing, approvals, imaging, asset tagging, and handoff expectations.</w:t>
      </w:r>
    </w:p>
    <w:tbl>
      <w:tblPr>
        <w:tblW w:type="auto" w:w="0"/>
        <w:jc w:val="center"/>
        <w:tblLook w:firstColumn="1" w:firstRow="1" w:lastColumn="0" w:lastRow="0" w:noHBand="0" w:noVBand="1" w:val="04A0"/>
      </w:tblPr>
      <w:tblGrid>
        <w:gridCol w:w="9936"/>
      </w:tblGrid>
      <w:tr>
        <w:tc>
          <w:tcPr>
            <w:tcW w:type="dxa" w:w="9936"/>
            <w:shd w:fill="F4F8FB"/>
            <w:tcMar>
              <w:top w:w="110" w:type="dxa"/>
              <w:start w:w="110" w:type="dxa"/>
              <w:bottom w:w="110" w:type="dxa"/>
              <w:end w:w="110" w:type="dxa"/>
            </w:tcMar>
          </w:tcPr>
          <w:p>
            <w:r>
              <w:rPr>
                <w:b/>
                <w:color w:val="1F4E79"/>
              </w:rPr>
              <w:t xml:space="preserve">Scope note: </w:t>
            </w:r>
            <w:r>
              <w:t>This document covers standard Windows and macOS employee laptops. Warehouse handhelds, kiosk terminals, and engineering lab devices follow separate fulfillment rules.</w:t>
            </w:r>
          </w:p>
        </w:tc>
      </w:tr>
    </w:tbl>
    <w:p/>
    <w:p>
      <w:r>
        <w:rPr>
          <w:b/>
          <w:color w:val="1F4E79"/>
        </w:rPr>
        <w:t>Provisioning Timeline Snapshot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BFD7EA"/>
            <w:tcMar>
              <w:top w:w="80" w:type="dxa"/>
              <w:start w:w="90" w:type="dxa"/>
              <w:bottom w:w="80" w:type="dxa"/>
              <w:end w:w="90" w:type="dxa"/>
            </w:tcMar>
            <w:vAlign w:val="center"/>
          </w:tcPr>
          <w:p>
            <w:pPr>
              <w:jc w:val="center"/>
            </w:pPr>
            <w:r>
              <w:rPr>
                <w:b/>
                <w:sz w:val="18"/>
              </w:rPr>
              <w:t>Stage</w:t>
            </w:r>
          </w:p>
        </w:tc>
        <w:tc>
          <w:tcPr>
            <w:tcW w:type="dxa" w:w="2484"/>
            <w:shd w:fill="BFD7EA"/>
            <w:tcMar>
              <w:top w:w="80" w:type="dxa"/>
              <w:start w:w="90" w:type="dxa"/>
              <w:bottom w:w="80" w:type="dxa"/>
              <w:end w:w="90" w:type="dxa"/>
            </w:tcMar>
            <w:vAlign w:val="center"/>
          </w:tcPr>
          <w:p>
            <w:pPr>
              <w:jc w:val="center"/>
            </w:pPr>
            <w:r>
              <w:rPr>
                <w:b/>
                <w:sz w:val="18"/>
              </w:rPr>
              <w:t>Owner</w:t>
            </w:r>
          </w:p>
        </w:tc>
        <w:tc>
          <w:tcPr>
            <w:tcW w:type="dxa" w:w="2484"/>
            <w:shd w:fill="BFD7EA"/>
            <w:tcMar>
              <w:top w:w="80" w:type="dxa"/>
              <w:start w:w="90" w:type="dxa"/>
              <w:bottom w:w="80" w:type="dxa"/>
              <w:end w:w="90" w:type="dxa"/>
            </w:tcMar>
            <w:vAlign w:val="center"/>
          </w:tcPr>
          <w:p>
            <w:pPr>
              <w:jc w:val="center"/>
            </w:pPr>
            <w:r>
              <w:rPr>
                <w:b/>
                <w:sz w:val="18"/>
              </w:rPr>
              <w:t>Typical Target</w:t>
            </w:r>
          </w:p>
        </w:tc>
        <w:tc>
          <w:tcPr>
            <w:tcW w:type="dxa" w:w="2484"/>
            <w:shd w:fill="BFD7EA"/>
            <w:tcMar>
              <w:top w:w="80" w:type="dxa"/>
              <w:start w:w="90" w:type="dxa"/>
              <w:bottom w:w="80" w:type="dxa"/>
              <w:end w:w="90" w:type="dxa"/>
            </w:tcMar>
            <w:vAlign w:val="center"/>
          </w:tcPr>
          <w:p>
            <w:pPr>
              <w:jc w:val="center"/>
            </w:pPr>
            <w:r>
              <w:rPr>
                <w:b/>
                <w:sz w:val="18"/>
              </w:rPr>
              <w:t>Key Output</w:t>
            </w:r>
          </w:p>
        </w:tc>
      </w:tr>
      <w:tr>
        <w:tc>
          <w:tcPr>
            <w:tcW w:type="dxa" w:w="2484"/>
            <w:vAlign w:val="center"/>
            <w:tcMar>
              <w:top w:w="80" w:type="dxa"/>
              <w:start w:w="90" w:type="dxa"/>
              <w:bottom w:w="80" w:type="dxa"/>
              <w:end w:w="90" w:type="dxa"/>
            </w:tcMar>
          </w:tcPr>
          <w:p>
            <w:r>
              <w:rPr>
                <w:sz w:val="18"/>
              </w:rPr>
              <w:t>Request intake</w:t>
            </w:r>
          </w:p>
        </w:tc>
        <w:tc>
          <w:tcPr>
            <w:tcW w:type="dxa" w:w="2484"/>
            <w:vAlign w:val="center"/>
            <w:tcMar>
              <w:top w:w="80" w:type="dxa"/>
              <w:start w:w="90" w:type="dxa"/>
              <w:bottom w:w="80" w:type="dxa"/>
              <w:end w:w="90" w:type="dxa"/>
            </w:tcMar>
          </w:tcPr>
          <w:p>
            <w:r>
              <w:rPr>
                <w:sz w:val="18"/>
              </w:rPr>
              <w:t>Hiring manager / HRIS</w:t>
            </w:r>
          </w:p>
        </w:tc>
        <w:tc>
          <w:tcPr>
            <w:tcW w:type="dxa" w:w="2484"/>
            <w:vAlign w:val="center"/>
            <w:tcMar>
              <w:top w:w="80" w:type="dxa"/>
              <w:start w:w="90" w:type="dxa"/>
              <w:bottom w:w="80" w:type="dxa"/>
              <w:end w:w="90" w:type="dxa"/>
            </w:tcMar>
          </w:tcPr>
          <w:p>
            <w:r>
              <w:rPr>
                <w:sz w:val="18"/>
              </w:rPr>
              <w:t>Day -10 to -7</w:t>
            </w:r>
          </w:p>
        </w:tc>
        <w:tc>
          <w:tcPr>
            <w:tcW w:type="dxa" w:w="2484"/>
            <w:vAlign w:val="center"/>
            <w:tcMar>
              <w:top w:w="80" w:type="dxa"/>
              <w:start w:w="90" w:type="dxa"/>
              <w:bottom w:w="80" w:type="dxa"/>
              <w:end w:w="90" w:type="dxa"/>
            </w:tcMar>
          </w:tcPr>
          <w:p>
            <w:r>
              <w:rPr>
                <w:sz w:val="18"/>
              </w:rPr>
              <w:t>Valid hire record and cost center</w:t>
            </w:r>
          </w:p>
        </w:tc>
      </w:tr>
      <w:tr>
        <w:tc>
          <w:tcPr>
            <w:tcW w:type="dxa" w:w="2484"/>
            <w:vAlign w:val="center"/>
            <w:tcMar>
              <w:top w:w="80" w:type="dxa"/>
              <w:start w:w="90" w:type="dxa"/>
              <w:bottom w:w="80" w:type="dxa"/>
              <w:end w:w="90" w:type="dxa"/>
            </w:tcMar>
          </w:tcPr>
          <w:p>
            <w:r>
              <w:rPr>
                <w:sz w:val="18"/>
              </w:rPr>
              <w:t>Device selection</w:t>
            </w:r>
          </w:p>
        </w:tc>
        <w:tc>
          <w:tcPr>
            <w:tcW w:type="dxa" w:w="2484"/>
            <w:vAlign w:val="center"/>
            <w:tcMar>
              <w:top w:w="80" w:type="dxa"/>
              <w:start w:w="90" w:type="dxa"/>
              <w:bottom w:w="80" w:type="dxa"/>
              <w:end w:w="90" w:type="dxa"/>
            </w:tcMar>
          </w:tcPr>
          <w:p>
            <w:r>
              <w:rPr>
                <w:sz w:val="18"/>
              </w:rPr>
              <w:t>IT asset coordinator</w:t>
            </w:r>
          </w:p>
        </w:tc>
        <w:tc>
          <w:tcPr>
            <w:tcW w:type="dxa" w:w="2484"/>
            <w:vAlign w:val="center"/>
            <w:tcMar>
              <w:top w:w="80" w:type="dxa"/>
              <w:start w:w="90" w:type="dxa"/>
              <w:bottom w:w="80" w:type="dxa"/>
              <w:end w:w="90" w:type="dxa"/>
            </w:tcMar>
          </w:tcPr>
          <w:p>
            <w:r>
              <w:rPr>
                <w:sz w:val="18"/>
              </w:rPr>
              <w:t>Within 1 business day</w:t>
            </w:r>
          </w:p>
        </w:tc>
        <w:tc>
          <w:tcPr>
            <w:tcW w:type="dxa" w:w="2484"/>
            <w:vAlign w:val="center"/>
            <w:tcMar>
              <w:top w:w="80" w:type="dxa"/>
              <w:start w:w="90" w:type="dxa"/>
              <w:bottom w:w="80" w:type="dxa"/>
              <w:end w:w="90" w:type="dxa"/>
            </w:tcMar>
          </w:tcPr>
          <w:p>
            <w:r>
              <w:rPr>
                <w:sz w:val="18"/>
              </w:rPr>
              <w:t>Assigned model and stock reservation</w:t>
            </w:r>
          </w:p>
        </w:tc>
      </w:tr>
      <w:tr>
        <w:tc>
          <w:tcPr>
            <w:tcW w:type="dxa" w:w="2484"/>
            <w:vAlign w:val="center"/>
            <w:tcMar>
              <w:top w:w="80" w:type="dxa"/>
              <w:start w:w="90" w:type="dxa"/>
              <w:bottom w:w="80" w:type="dxa"/>
              <w:end w:w="90" w:type="dxa"/>
            </w:tcMar>
          </w:tcPr>
          <w:p>
            <w:r>
              <w:rPr>
                <w:sz w:val="18"/>
              </w:rPr>
              <w:t>Build and secure</w:t>
            </w:r>
          </w:p>
        </w:tc>
        <w:tc>
          <w:tcPr>
            <w:tcW w:type="dxa" w:w="2484"/>
            <w:vAlign w:val="center"/>
            <w:tcMar>
              <w:top w:w="80" w:type="dxa"/>
              <w:start w:w="90" w:type="dxa"/>
              <w:bottom w:w="80" w:type="dxa"/>
              <w:end w:w="90" w:type="dxa"/>
            </w:tcMar>
          </w:tcPr>
          <w:p>
            <w:r>
              <w:rPr>
                <w:sz w:val="18"/>
              </w:rPr>
              <w:t>Endpoint Engineering</w:t>
            </w:r>
          </w:p>
        </w:tc>
        <w:tc>
          <w:tcPr>
            <w:tcW w:type="dxa" w:w="2484"/>
            <w:vAlign w:val="center"/>
            <w:tcMar>
              <w:top w:w="80" w:type="dxa"/>
              <w:start w:w="90" w:type="dxa"/>
              <w:bottom w:w="80" w:type="dxa"/>
              <w:end w:w="90" w:type="dxa"/>
            </w:tcMar>
          </w:tcPr>
          <w:p>
            <w:r>
              <w:rPr>
                <w:sz w:val="18"/>
              </w:rPr>
              <w:t>1-2 business days</w:t>
            </w:r>
          </w:p>
        </w:tc>
        <w:tc>
          <w:tcPr>
            <w:tcW w:type="dxa" w:w="2484"/>
            <w:vAlign w:val="center"/>
            <w:tcMar>
              <w:top w:w="80" w:type="dxa"/>
              <w:start w:w="90" w:type="dxa"/>
              <w:bottom w:w="80" w:type="dxa"/>
              <w:end w:w="90" w:type="dxa"/>
            </w:tcMar>
          </w:tcPr>
          <w:p>
            <w:r>
              <w:rPr>
                <w:sz w:val="18"/>
              </w:rPr>
              <w:t>Image, encryption, baseline apps, policy set</w:t>
            </w:r>
          </w:p>
        </w:tc>
      </w:tr>
      <w:tr>
        <w:tc>
          <w:tcPr>
            <w:tcW w:type="dxa" w:w="2484"/>
            <w:vAlign w:val="center"/>
            <w:tcMar>
              <w:top w:w="80" w:type="dxa"/>
              <w:start w:w="90" w:type="dxa"/>
              <w:bottom w:w="80" w:type="dxa"/>
              <w:end w:w="90" w:type="dxa"/>
            </w:tcMar>
          </w:tcPr>
          <w:p>
            <w:r>
              <w:rPr>
                <w:sz w:val="18"/>
              </w:rPr>
              <w:t>Handoff and confirmation</w:t>
            </w:r>
          </w:p>
        </w:tc>
        <w:tc>
          <w:tcPr>
            <w:tcW w:type="dxa" w:w="2484"/>
            <w:vAlign w:val="center"/>
            <w:tcMar>
              <w:top w:w="80" w:type="dxa"/>
              <w:start w:w="90" w:type="dxa"/>
              <w:bottom w:w="80" w:type="dxa"/>
              <w:end w:w="90" w:type="dxa"/>
            </w:tcMar>
          </w:tcPr>
          <w:p>
            <w:r>
              <w:rPr>
                <w:sz w:val="18"/>
              </w:rPr>
              <w:t>Site IT / ship desk</w:t>
            </w:r>
          </w:p>
        </w:tc>
        <w:tc>
          <w:tcPr>
            <w:tcW w:type="dxa" w:w="2484"/>
            <w:vAlign w:val="center"/>
            <w:tcMar>
              <w:top w:w="80" w:type="dxa"/>
              <w:start w:w="90" w:type="dxa"/>
              <w:bottom w:w="80" w:type="dxa"/>
              <w:end w:w="90" w:type="dxa"/>
            </w:tcMar>
          </w:tcPr>
          <w:p>
            <w:r>
              <w:rPr>
                <w:sz w:val="18"/>
              </w:rPr>
              <w:t>By start date</w:t>
            </w:r>
          </w:p>
        </w:tc>
        <w:tc>
          <w:tcPr>
            <w:tcW w:type="dxa" w:w="2484"/>
            <w:vAlign w:val="center"/>
            <w:tcMar>
              <w:top w:w="80" w:type="dxa"/>
              <w:start w:w="90" w:type="dxa"/>
              <w:bottom w:w="80" w:type="dxa"/>
              <w:end w:w="90" w:type="dxa"/>
            </w:tcMar>
          </w:tcPr>
          <w:p>
            <w:r>
              <w:rPr>
                <w:sz w:val="18"/>
              </w:rPr>
              <w:t>Asset receipt and user sign-off</w:t>
            </w:r>
          </w:p>
        </w:tc>
      </w:tr>
    </w:tbl>
    <w:p/>
    <w:p>
      <w:pPr>
        <w:pStyle w:val="Heading1"/>
      </w:pPr>
      <w:r>
        <w:t>Common Questions</w:t>
      </w:r>
    </w:p>
    <w:p>
      <w:r>
        <w:rPr>
          <w:b/>
          <w:color w:val="1F4E79"/>
        </w:rPr>
        <w:t>Q: How far in advance should a laptop be requested?</w:t>
      </w:r>
    </w:p>
    <w:p>
      <w:pPr>
        <w:spacing w:after="140"/>
      </w:pPr>
      <w:r>
        <w:rPr>
          <w:sz w:val="20"/>
        </w:rPr>
        <w:t>A: Standard new-hire laptop requests should be present in the hiring workflow at least seven business days before the employee start date. International shipments, executive hires, and custom software bundles may require ten to fifteen business days.</w:t>
      </w:r>
    </w:p>
    <w:p>
      <w:r>
        <w:rPr>
          <w:b/>
          <w:color w:val="1F4E79"/>
        </w:rPr>
        <w:t>Q: Which team starts the request?</w:t>
      </w:r>
    </w:p>
    <w:p>
      <w:pPr>
        <w:spacing w:after="140"/>
      </w:pPr>
      <w:r>
        <w:rPr>
          <w:sz w:val="20"/>
        </w:rPr>
        <w:t>A: The request begins with the hiring manager through the onboarding workflow, which syncs into AtlasDesk after the employee record is created. IT does not build a device against informal chat messages or spreadsheet lists.</w:t>
      </w:r>
    </w:p>
    <w:p>
      <w:r>
        <w:rPr>
          <w:b/>
          <w:color w:val="1F4E79"/>
        </w:rPr>
        <w:t>Q: What information is required before IT can stage a device?</w:t>
      </w:r>
    </w:p>
    <w:p>
      <w:pPr>
        <w:spacing w:after="140"/>
      </w:pPr>
      <w:r>
        <w:rPr>
          <w:sz w:val="20"/>
        </w:rPr>
        <w:t>A: IT needs the employee name, manager, office or shipping location, employment type, start date, preferred platform when policy allows, cost center, and any approved exceptions such as extra memory or licensed software.</w:t>
      </w:r>
    </w:p>
    <w:p>
      <w:r>
        <w:rPr>
          <w:b/>
          <w:color w:val="1F4E79"/>
        </w:rPr>
        <w:t>Q: Can employees choose any laptop model they want?</w:t>
      </w:r>
    </w:p>
    <w:p>
      <w:pPr>
        <w:spacing w:after="140"/>
      </w:pPr>
      <w:r>
        <w:rPr>
          <w:sz w:val="20"/>
        </w:rPr>
        <w:t>A: No. OrchestrAI uses a standard device catalog to keep support, security baselines, and spare stock manageable. Exceptions are limited to approved engineering, executive, accessibility, or regional procurement cases.</w:t>
      </w:r>
    </w:p>
    <w:p>
      <w:r>
        <w:rPr>
          <w:b/>
          <w:color w:val="1F4E79"/>
        </w:rPr>
        <w:t>Q: What software is installed by default?</w:t>
      </w:r>
    </w:p>
    <w:p>
      <w:pPr>
        <w:spacing w:after="140"/>
      </w:pPr>
      <w:r>
        <w:rPr>
          <w:sz w:val="20"/>
        </w:rPr>
        <w:t>A: Every standard laptop is enrolled in FleetPulse, encrypted, linked to AccessHub, and delivered with collaboration tools, browser baseline, endpoint protection, VPN client, password manager, and approved productivity software.</w:t>
      </w:r>
    </w:p>
    <w:p>
      <w:r>
        <w:rPr>
          <w:b/>
          <w:color w:val="1F4E79"/>
        </w:rPr>
        <w:t>Q: When is manager approval needed?</w:t>
      </w:r>
    </w:p>
    <w:p>
      <w:pPr>
        <w:spacing w:after="140"/>
      </w:pPr>
      <w:r>
        <w:rPr>
          <w:sz w:val="20"/>
        </w:rPr>
        <w:t>A: Manager approval is required for non-standard hardware, rush shipping, cross-region fulfillment, additional peripherals above catalog allowance, or software that is licensed outside the default package.</w:t>
      </w:r>
    </w:p>
    <w:p>
      <w:r>
        <w:rPr>
          <w:b/>
          <w:color w:val="1F4E79"/>
        </w:rPr>
        <w:t>Q: How are remote employees supported?</w:t>
      </w:r>
    </w:p>
    <w:p>
      <w:pPr>
        <w:spacing w:after="140"/>
      </w:pPr>
      <w:r>
        <w:rPr>
          <w:sz w:val="20"/>
        </w:rPr>
        <w:t>A: Remote hires receive direct shipment after identity checks, courier validation, and address confirmation. IT includes first-login instructions and requires device receipt confirmation in AtlasDesk within one business day.</w:t>
      </w:r>
    </w:p>
    <w:p>
      <w:r>
        <w:rPr>
          <w:b/>
          <w:color w:val="1F4E79"/>
        </w:rPr>
        <w:t>Q: What happens if a laptop is not available in local stock?</w:t>
      </w:r>
    </w:p>
    <w:p>
      <w:pPr>
        <w:spacing w:after="140"/>
      </w:pPr>
      <w:r>
        <w:rPr>
          <w:sz w:val="20"/>
        </w:rPr>
        <w:t>A: IT allocates the closest approved catalog model when possible. If no standard device is available, the request is escalated to Procurement and the hiring manager is notified of revised delivery timing and fallback options.</w:t>
      </w:r>
    </w:p>
    <w:p>
      <w:r>
        <w:rPr>
          <w:b/>
          <w:color w:val="1F4E79"/>
        </w:rPr>
        <w:t>Q: Who records the asset tag and serial number?</w:t>
      </w:r>
    </w:p>
    <w:p>
      <w:pPr>
        <w:spacing w:after="140"/>
      </w:pPr>
      <w:r>
        <w:rPr>
          <w:sz w:val="20"/>
        </w:rPr>
        <w:t>A: The asset coordinator records both values in the asset inventory and links them to the employee profile before shipment or pickup. This step must be completed before the device leaves IT custody.</w:t>
      </w:r>
    </w:p>
    <w:p>
      <w:r>
        <w:rPr>
          <w:b/>
          <w:color w:val="1F4E79"/>
        </w:rPr>
        <w:t>Q: What should be done if a new hire receives a damaged or incorrect device?</w:t>
      </w:r>
    </w:p>
    <w:p>
      <w:pPr>
        <w:spacing w:after="140"/>
      </w:pPr>
      <w:r>
        <w:rPr>
          <w:sz w:val="20"/>
        </w:rPr>
        <w:t>A: The employee or local coordinator must open a P2 ticket in AtlasDesk immediately with photos, asset tag, and packaging details. IT will decide whether to replace, repair, or re-image the unit based on the failure type.</w:t>
      </w:r>
    </w:p>
    <w:p>
      <w:pPr>
        <w:pStyle w:val="Heading1"/>
      </w:pPr>
      <w:r>
        <w:t>Decision and Escalation Reference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BFD7EA"/>
            <w:tcMar>
              <w:top w:w="80" w:type="dxa"/>
              <w:start w:w="90" w:type="dxa"/>
              <w:bottom w:w="80" w:type="dxa"/>
              <w:end w:w="90" w:type="dxa"/>
            </w:tcMar>
            <w:vAlign w:val="center"/>
          </w:tcPr>
          <w:p>
            <w:pPr>
              <w:jc w:val="center"/>
            </w:pPr>
            <w:r>
              <w:rPr>
                <w:b/>
                <w:sz w:val="18"/>
              </w:rPr>
              <w:t>Scenario</w:t>
            </w:r>
          </w:p>
        </w:tc>
        <w:tc>
          <w:tcPr>
            <w:tcW w:type="dxa" w:w="3312"/>
            <w:shd w:fill="BFD7EA"/>
            <w:tcMar>
              <w:top w:w="80" w:type="dxa"/>
              <w:start w:w="90" w:type="dxa"/>
              <w:bottom w:w="80" w:type="dxa"/>
              <w:end w:w="90" w:type="dxa"/>
            </w:tcMar>
            <w:vAlign w:val="center"/>
          </w:tcPr>
          <w:p>
            <w:pPr>
              <w:jc w:val="center"/>
            </w:pPr>
            <w:r>
              <w:rPr>
                <w:b/>
                <w:sz w:val="18"/>
              </w:rPr>
              <w:t>Primary Owner</w:t>
            </w:r>
          </w:p>
        </w:tc>
        <w:tc>
          <w:tcPr>
            <w:tcW w:type="dxa" w:w="3312"/>
            <w:shd w:fill="BFD7EA"/>
            <w:tcMar>
              <w:top w:w="80" w:type="dxa"/>
              <w:start w:w="90" w:type="dxa"/>
              <w:bottom w:w="80" w:type="dxa"/>
              <w:end w:w="90" w:type="dxa"/>
            </w:tcMar>
            <w:vAlign w:val="center"/>
          </w:tcPr>
          <w:p>
            <w:pPr>
              <w:jc w:val="center"/>
            </w:pPr>
            <w:r>
              <w:rPr>
                <w:b/>
                <w:sz w:val="18"/>
              </w:rPr>
              <w:t>Escalation Trigger</w:t>
            </w:r>
          </w:p>
        </w:tc>
      </w:tr>
      <w:tr>
        <w:tc>
          <w:tcPr>
            <w:tcW w:type="dxa" w:w="3312"/>
            <w:vAlign w:val="center"/>
            <w:tcMar>
              <w:top w:w="80" w:type="dxa"/>
              <w:start w:w="90" w:type="dxa"/>
              <w:bottom w:w="80" w:type="dxa"/>
              <w:end w:w="90" w:type="dxa"/>
            </w:tcMar>
          </w:tcPr>
          <w:p>
            <w:r>
              <w:rPr>
                <w:sz w:val="18"/>
              </w:rPr>
              <w:t>Start date within 72 hours and no assigned device</w:t>
            </w:r>
          </w:p>
        </w:tc>
        <w:tc>
          <w:tcPr>
            <w:tcW w:type="dxa" w:w="3312"/>
            <w:vAlign w:val="center"/>
            <w:tcMar>
              <w:top w:w="80" w:type="dxa"/>
              <w:start w:w="90" w:type="dxa"/>
              <w:bottom w:w="80" w:type="dxa"/>
              <w:end w:w="90" w:type="dxa"/>
            </w:tcMar>
          </w:tcPr>
          <w:p>
            <w:r>
              <w:rPr>
                <w:sz w:val="18"/>
              </w:rPr>
              <w:t>IT Service Desk Lead</w:t>
            </w:r>
          </w:p>
        </w:tc>
        <w:tc>
          <w:tcPr>
            <w:tcW w:type="dxa" w:w="3312"/>
            <w:vAlign w:val="center"/>
            <w:tcMar>
              <w:top w:w="80" w:type="dxa"/>
              <w:start w:w="90" w:type="dxa"/>
              <w:bottom w:w="80" w:type="dxa"/>
              <w:end w:w="90" w:type="dxa"/>
            </w:tcMar>
          </w:tcPr>
          <w:p>
            <w:r>
              <w:rPr>
                <w:sz w:val="18"/>
              </w:rPr>
              <w:t>Notify hiring manager and regional IT manager</w:t>
            </w:r>
          </w:p>
        </w:tc>
      </w:tr>
      <w:tr>
        <w:tc>
          <w:tcPr>
            <w:tcW w:type="dxa" w:w="3312"/>
            <w:vAlign w:val="center"/>
            <w:tcMar>
              <w:top w:w="80" w:type="dxa"/>
              <w:start w:w="90" w:type="dxa"/>
              <w:bottom w:w="80" w:type="dxa"/>
              <w:end w:w="90" w:type="dxa"/>
            </w:tcMar>
          </w:tcPr>
          <w:p>
            <w:r>
              <w:rPr>
                <w:sz w:val="18"/>
              </w:rPr>
              <w:t>Requested model unavailable in stock</w:t>
            </w:r>
          </w:p>
        </w:tc>
        <w:tc>
          <w:tcPr>
            <w:tcW w:type="dxa" w:w="3312"/>
            <w:vAlign w:val="center"/>
            <w:tcMar>
              <w:top w:w="80" w:type="dxa"/>
              <w:start w:w="90" w:type="dxa"/>
              <w:bottom w:w="80" w:type="dxa"/>
              <w:end w:w="90" w:type="dxa"/>
            </w:tcMar>
          </w:tcPr>
          <w:p>
            <w:r>
              <w:rPr>
                <w:sz w:val="18"/>
              </w:rPr>
              <w:t>Asset Coordinator</w:t>
            </w:r>
          </w:p>
        </w:tc>
        <w:tc>
          <w:tcPr>
            <w:tcW w:type="dxa" w:w="3312"/>
            <w:vAlign w:val="center"/>
            <w:tcMar>
              <w:top w:w="80" w:type="dxa"/>
              <w:start w:w="90" w:type="dxa"/>
              <w:bottom w:w="80" w:type="dxa"/>
              <w:end w:w="90" w:type="dxa"/>
            </w:tcMar>
          </w:tcPr>
          <w:p>
            <w:r>
              <w:rPr>
                <w:sz w:val="18"/>
              </w:rPr>
              <w:t>Escalate to Procurement after 1 business day</w:t>
            </w:r>
          </w:p>
        </w:tc>
      </w:tr>
      <w:tr>
        <w:tc>
          <w:tcPr>
            <w:tcW w:type="dxa" w:w="3312"/>
            <w:vAlign w:val="center"/>
            <w:tcMar>
              <w:top w:w="80" w:type="dxa"/>
              <w:start w:w="90" w:type="dxa"/>
              <w:bottom w:w="80" w:type="dxa"/>
              <w:end w:w="90" w:type="dxa"/>
            </w:tcMar>
          </w:tcPr>
          <w:p>
            <w:r>
              <w:rPr>
                <w:sz w:val="18"/>
              </w:rPr>
              <w:t>Non-standard software or admin rights request</w:t>
            </w:r>
          </w:p>
        </w:tc>
        <w:tc>
          <w:tcPr>
            <w:tcW w:type="dxa" w:w="3312"/>
            <w:vAlign w:val="center"/>
            <w:tcMar>
              <w:top w:w="80" w:type="dxa"/>
              <w:start w:w="90" w:type="dxa"/>
              <w:bottom w:w="80" w:type="dxa"/>
              <w:end w:w="90" w:type="dxa"/>
            </w:tcMar>
          </w:tcPr>
          <w:p>
            <w:r>
              <w:rPr>
                <w:sz w:val="18"/>
              </w:rPr>
              <w:t>Endpoint Engineering</w:t>
            </w:r>
          </w:p>
        </w:tc>
        <w:tc>
          <w:tcPr>
            <w:tcW w:type="dxa" w:w="3312"/>
            <w:vAlign w:val="center"/>
            <w:tcMar>
              <w:top w:w="80" w:type="dxa"/>
              <w:start w:w="90" w:type="dxa"/>
              <w:bottom w:w="80" w:type="dxa"/>
              <w:end w:w="90" w:type="dxa"/>
            </w:tcMar>
          </w:tcPr>
          <w:p>
            <w:r>
              <w:rPr>
                <w:sz w:val="18"/>
              </w:rPr>
              <w:t>Security review required before release</w:t>
            </w:r>
          </w:p>
        </w:tc>
      </w:tr>
      <w:tr>
        <w:tc>
          <w:tcPr>
            <w:tcW w:type="dxa" w:w="3312"/>
            <w:vAlign w:val="center"/>
            <w:tcMar>
              <w:top w:w="80" w:type="dxa"/>
              <w:start w:w="90" w:type="dxa"/>
              <w:bottom w:w="80" w:type="dxa"/>
              <w:end w:w="90" w:type="dxa"/>
            </w:tcMar>
          </w:tcPr>
          <w:p>
            <w:r>
              <w:rPr>
                <w:sz w:val="18"/>
              </w:rPr>
              <w:t>Shipment delay or damaged delivery</w:t>
            </w:r>
          </w:p>
        </w:tc>
        <w:tc>
          <w:tcPr>
            <w:tcW w:type="dxa" w:w="3312"/>
            <w:vAlign w:val="center"/>
            <w:tcMar>
              <w:top w:w="80" w:type="dxa"/>
              <w:start w:w="90" w:type="dxa"/>
              <w:bottom w:w="80" w:type="dxa"/>
              <w:end w:w="90" w:type="dxa"/>
            </w:tcMar>
          </w:tcPr>
          <w:p>
            <w:r>
              <w:rPr>
                <w:sz w:val="18"/>
              </w:rPr>
              <w:t>Regional IT / Logistics</w:t>
            </w:r>
          </w:p>
        </w:tc>
        <w:tc>
          <w:tcPr>
            <w:tcW w:type="dxa" w:w="3312"/>
            <w:vAlign w:val="center"/>
            <w:tcMar>
              <w:top w:w="80" w:type="dxa"/>
              <w:start w:w="90" w:type="dxa"/>
              <w:bottom w:w="80" w:type="dxa"/>
              <w:end w:w="90" w:type="dxa"/>
            </w:tcMar>
          </w:tcPr>
          <w:p>
            <w:r>
              <w:rPr>
                <w:sz w:val="18"/>
              </w:rPr>
              <w:t>Escalate when delivery risk affects start date</w:t>
            </w:r>
          </w:p>
        </w:tc>
      </w:tr>
    </w:tbl>
    <w:p/>
    <w:p>
      <w:r>
        <w:rPr>
          <w:b/>
        </w:rPr>
        <w:t xml:space="preserve">Search terms: </w:t>
      </w:r>
      <w:r>
        <w:t>laptop provisioning, device staging, new hire laptop, asset tag, FleetPulse, AccessHub, remote shipment, catalog model, rush request, replacement device</w:t>
      </w:r>
    </w:p>
    <w:p>
      <w:r>
        <w:rPr>
          <w:b/>
        </w:rPr>
        <w:t xml:space="preserve">Related references: </w:t>
      </w:r>
      <w:r>
        <w:t>IT Workplace and Service Desk Handbook; MFA Enrollment Guide; Service Desk Priority Matrix.</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