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E1FB" w14:textId="77777777" w:rsidR="00EC602E" w:rsidRDefault="00000000">
      <w:pPr>
        <w:jc w:val="center"/>
      </w:pPr>
      <w:r>
        <w:rPr>
          <w:rFonts w:ascii="Aptos Display" w:hAnsi="Aptos Display"/>
          <w:b/>
          <w:color w:val="173F5F"/>
          <w:sz w:val="40"/>
        </w:rPr>
        <w:t>OrchestrAI</w:t>
      </w:r>
    </w:p>
    <w:p w14:paraId="41701A8C" w14:textId="77777777" w:rsidR="00EC602E" w:rsidRDefault="00000000">
      <w:pPr>
        <w:spacing w:after="80"/>
        <w:jc w:val="center"/>
      </w:pPr>
      <w:r>
        <w:rPr>
          <w:rFonts w:ascii="Aptos Display" w:hAnsi="Aptos Display"/>
          <w:b/>
          <w:color w:val="173F5F"/>
          <w:sz w:val="30"/>
        </w:rPr>
        <w:t>Reverse Logistics Routing Memo</w:t>
      </w:r>
    </w:p>
    <w:p w14:paraId="04B747D4" w14:textId="77777777" w:rsidR="00EC602E" w:rsidRDefault="00000000">
      <w:pPr>
        <w:spacing w:after="40" w:line="269" w:lineRule="auto"/>
        <w:jc w:val="center"/>
      </w:pPr>
      <w:r>
        <w:rPr>
          <w:rFonts w:ascii="Aptos" w:hAnsi="Aptos"/>
          <w:color w:val="5B6570"/>
          <w:sz w:val="18"/>
        </w:rPr>
        <w:t>Document ID: VAL-LOG-005   |   Department: Logistics and Field Fulfillment   |   Version: 1.0   |   Effective Date: 2026-02-10</w:t>
      </w:r>
    </w:p>
    <w:p w14:paraId="064B47C4" w14:textId="77777777" w:rsidR="00EC602E" w:rsidRDefault="00000000">
      <w:pPr>
        <w:spacing w:after="240" w:line="269" w:lineRule="auto"/>
        <w:jc w:val="center"/>
      </w:pPr>
      <w:r>
        <w:rPr>
          <w:rFonts w:ascii="Aptos" w:hAnsi="Aptos"/>
          <w:color w:val="5B6570"/>
          <w:sz w:val="18"/>
        </w:rPr>
        <w:t>Owner: Reverse Logistics Program Office   |   Confidentiality: Internal Use Only   |   Review Date: 2026-08-10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EC602E" w14:paraId="36702492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CE314" w14:textId="77777777" w:rsidR="00EC602E" w:rsidRDefault="00000000">
            <w:pPr>
              <w:spacing w:after="0" w:line="240" w:lineRule="auto"/>
            </w:pPr>
            <w:r>
              <w:rPr>
                <w:rFonts w:ascii="Aptos" w:hAnsi="Aptos"/>
                <w:color w:val="222222"/>
                <w:sz w:val="19"/>
              </w:rPr>
              <w:t>Purpose: Clarifies how returned OrchestrAI equipment should be routed after customer pickup, field swap, or failed deployment. Use this memo when deciding whether a unit must move to a repair depot, quarantine cage, refurbishment queue, engineering hold, or certified disposal stream.</w:t>
            </w:r>
          </w:p>
        </w:tc>
      </w:tr>
    </w:tbl>
    <w:p w14:paraId="0737D89F" w14:textId="77777777" w:rsidR="00EC602E" w:rsidRDefault="00000000">
      <w:pPr>
        <w:spacing w:before="200" w:after="80" w:line="269" w:lineRule="auto"/>
      </w:pPr>
      <w:r>
        <w:rPr>
          <w:rFonts w:ascii="Aptos" w:hAnsi="Aptos"/>
          <w:b/>
          <w:color w:val="173F5F"/>
        </w:rPr>
        <w:t>Routing policy summary</w:t>
      </w:r>
    </w:p>
    <w:p w14:paraId="047E0E9A" w14:textId="77777777" w:rsidR="00EC602E" w:rsidRDefault="00000000">
      <w:pPr>
        <w:spacing w:after="160" w:line="269" w:lineRule="auto"/>
      </w:pPr>
      <w:r>
        <w:rPr>
          <w:rFonts w:ascii="Aptos" w:hAnsi="Aptos"/>
          <w:color w:val="333333"/>
          <w:sz w:val="19"/>
        </w:rPr>
        <w:t>All reverse-logistics movements must begin with an approved RMA or field-recovery reference in HubFlow. Units may not be shipped directly from a customer site to engineering or local office storage without a routing decision recorded in the return case. The return label, handling code, and chain-of-custody requirements depend on both product type and return reason.</w:t>
      </w:r>
    </w:p>
    <w:p w14:paraId="7302DE51" w14:textId="77777777" w:rsidR="00EC602E" w:rsidRDefault="00000000">
      <w:pPr>
        <w:spacing w:before="40" w:after="100" w:line="269" w:lineRule="auto"/>
      </w:pPr>
      <w:r>
        <w:rPr>
          <w:rFonts w:ascii="Aptos" w:hAnsi="Aptos"/>
          <w:b/>
          <w:color w:val="173F5F"/>
        </w:rPr>
        <w:t>Standard route selection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088"/>
        <w:gridCol w:w="1296"/>
        <w:gridCol w:w="3816"/>
      </w:tblGrid>
      <w:tr w:rsidR="00EC602E" w14:paraId="41D164DE" w14:textId="77777777">
        <w:trPr>
          <w:jc w:val="center"/>
        </w:trPr>
        <w:tc>
          <w:tcPr>
            <w:tcW w:w="2304" w:type="dxa"/>
            <w:shd w:val="clear" w:color="auto" w:fill="173F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7C85B" w14:textId="77777777" w:rsidR="00EC602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Return scenario</w:t>
            </w:r>
          </w:p>
        </w:tc>
        <w:tc>
          <w:tcPr>
            <w:tcW w:w="2088" w:type="dxa"/>
            <w:shd w:val="clear" w:color="auto" w:fill="173F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E195C" w14:textId="77777777" w:rsidR="00EC602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Default destination</w:t>
            </w:r>
          </w:p>
        </w:tc>
        <w:tc>
          <w:tcPr>
            <w:tcW w:w="1296" w:type="dxa"/>
            <w:shd w:val="clear" w:color="auto" w:fill="173F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FB125" w14:textId="77777777" w:rsidR="00EC602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Handling code</w:t>
            </w:r>
          </w:p>
        </w:tc>
        <w:tc>
          <w:tcPr>
            <w:tcW w:w="3816" w:type="dxa"/>
            <w:shd w:val="clear" w:color="auto" w:fill="173F5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BA04B" w14:textId="77777777" w:rsidR="00EC602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Routing note</w:t>
            </w:r>
          </w:p>
        </w:tc>
      </w:tr>
      <w:tr w:rsidR="00EC602E" w14:paraId="4385CC35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769A6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Customer hardware failure with visible damage</w:t>
            </w:r>
          </w:p>
        </w:tc>
        <w:tc>
          <w:tcPr>
            <w:tcW w:w="2088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CC658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Regional quarantine cage</w:t>
            </w:r>
          </w:p>
        </w:tc>
        <w:tc>
          <w:tcPr>
            <w:tcW w:w="1296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1EAEB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QH-RED</w:t>
            </w:r>
          </w:p>
        </w:tc>
        <w:tc>
          <w:tcPr>
            <w:tcW w:w="3816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E281D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Do not forward to depot until photos, serial check, and battery condition review are complete.</w:t>
            </w:r>
          </w:p>
        </w:tc>
      </w:tr>
      <w:tr w:rsidR="00EC602E" w14:paraId="5FA09D80" w14:textId="77777777">
        <w:trPr>
          <w:jc w:val="center"/>
        </w:trPr>
        <w:tc>
          <w:tcPr>
            <w:tcW w:w="2304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7E7C4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Customer hardware failure without visible damage</w:t>
            </w:r>
          </w:p>
        </w:tc>
        <w:tc>
          <w:tcPr>
            <w:tcW w:w="2088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3343B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Authorized repair depot</w:t>
            </w:r>
          </w:p>
        </w:tc>
        <w:tc>
          <w:tcPr>
            <w:tcW w:w="1296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76FCF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RP-BLUE</w:t>
            </w:r>
          </w:p>
        </w:tc>
        <w:tc>
          <w:tcPr>
            <w:tcW w:w="3816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930C4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Attach failure summary and field swap reference if a replacement was already issued.</w:t>
            </w:r>
          </w:p>
        </w:tc>
      </w:tr>
      <w:tr w:rsidR="00EC602E" w14:paraId="0432489A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73096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No-fault return within deployment window</w:t>
            </w:r>
          </w:p>
        </w:tc>
        <w:tc>
          <w:tcPr>
            <w:tcW w:w="2088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FB25A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Refurbishment intake lane</w:t>
            </w:r>
          </w:p>
        </w:tc>
        <w:tc>
          <w:tcPr>
            <w:tcW w:w="1296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9E198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RF-GREEN</w:t>
            </w:r>
          </w:p>
        </w:tc>
        <w:tc>
          <w:tcPr>
            <w:tcW w:w="3816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02EDB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Accessories, rails, and power modules must travel with the base unit unless waived in the RMA.</w:t>
            </w:r>
          </w:p>
        </w:tc>
      </w:tr>
      <w:tr w:rsidR="00EC602E" w14:paraId="3CA28667" w14:textId="77777777">
        <w:trPr>
          <w:jc w:val="center"/>
        </w:trPr>
        <w:tc>
          <w:tcPr>
            <w:tcW w:w="2304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7E289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Suspected security or tamper event</w:t>
            </w:r>
          </w:p>
        </w:tc>
        <w:tc>
          <w:tcPr>
            <w:tcW w:w="2088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A6A26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Security evidence hold</w:t>
            </w:r>
          </w:p>
        </w:tc>
        <w:tc>
          <w:tcPr>
            <w:tcW w:w="1296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71F7B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SE-BLACK</w:t>
            </w:r>
          </w:p>
        </w:tc>
        <w:tc>
          <w:tcPr>
            <w:tcW w:w="3816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F65D6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Use tamper bag and sealed container. Security Operations approves every subsequent movement.</w:t>
            </w:r>
          </w:p>
        </w:tc>
      </w:tr>
      <w:tr w:rsidR="00EC602E" w14:paraId="76ECFAA3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AF815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Engineering investigation request</w:t>
            </w:r>
          </w:p>
        </w:tc>
        <w:tc>
          <w:tcPr>
            <w:tcW w:w="2088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C0F3A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Engineering hold bench</w:t>
            </w:r>
          </w:p>
        </w:tc>
        <w:tc>
          <w:tcPr>
            <w:tcW w:w="1296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0F67E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EH-AMBER</w:t>
            </w:r>
          </w:p>
        </w:tc>
        <w:tc>
          <w:tcPr>
            <w:tcW w:w="3816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D121F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Only valid when linked to an incident, bug ticket, or signed analysis request from Platform Engineering.</w:t>
            </w:r>
          </w:p>
        </w:tc>
      </w:tr>
      <w:tr w:rsidR="00EC602E" w14:paraId="2FA2C33A" w14:textId="77777777">
        <w:trPr>
          <w:jc w:val="center"/>
        </w:trPr>
        <w:tc>
          <w:tcPr>
            <w:tcW w:w="2304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83513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End-of-life or non-repairable unit</w:t>
            </w:r>
          </w:p>
        </w:tc>
        <w:tc>
          <w:tcPr>
            <w:tcW w:w="2088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90F77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Certified disposal partner</w:t>
            </w:r>
          </w:p>
        </w:tc>
        <w:tc>
          <w:tcPr>
            <w:tcW w:w="1296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321EC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DS-GREY</w:t>
            </w:r>
          </w:p>
        </w:tc>
        <w:tc>
          <w:tcPr>
            <w:tcW w:w="3816" w:type="dxa"/>
            <w:shd w:val="clear" w:color="auto" w:fill="EDF3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91E79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Sanitization record and asset retirement approval must be completed before release.</w:t>
            </w:r>
          </w:p>
        </w:tc>
      </w:tr>
    </w:tbl>
    <w:p w14:paraId="1228558D" w14:textId="77777777" w:rsidR="00EC602E" w:rsidRDefault="00000000">
      <w:pPr>
        <w:spacing w:before="160" w:after="80" w:line="269" w:lineRule="auto"/>
      </w:pPr>
      <w:r>
        <w:rPr>
          <w:rFonts w:ascii="Aptos" w:hAnsi="Aptos"/>
          <w:b/>
          <w:color w:val="173F5F"/>
        </w:rPr>
        <w:t>Decision rules</w:t>
      </w:r>
    </w:p>
    <w:p w14:paraId="3066AEA8" w14:textId="77777777" w:rsidR="00EC602E" w:rsidRDefault="00000000">
      <w:pPr>
        <w:spacing w:after="40" w:line="259" w:lineRule="auto"/>
        <w:ind w:left="230"/>
      </w:pPr>
      <w:r>
        <w:rPr>
          <w:rFonts w:ascii="Aptos" w:hAnsi="Aptos"/>
          <w:color w:val="333333"/>
          <w:sz w:val="19"/>
        </w:rPr>
        <w:t>• Returned edge gateways with swollen batteries, liquid exposure, or burn marks must remain in local hazardous-goods isolation until Carrier Safety confirms the correct movement method.</w:t>
      </w:r>
    </w:p>
    <w:p w14:paraId="6E4731DA" w14:textId="77777777" w:rsidR="00EC602E" w:rsidRDefault="00000000">
      <w:pPr>
        <w:spacing w:after="40" w:line="259" w:lineRule="auto"/>
        <w:ind w:left="230"/>
      </w:pPr>
      <w:r>
        <w:rPr>
          <w:rFonts w:ascii="Aptos" w:hAnsi="Aptos"/>
          <w:color w:val="333333"/>
          <w:sz w:val="19"/>
        </w:rPr>
        <w:t>• Any asset associated with suspected credential compromise, unauthorized chassis opening, or sealed-drive tampering is routed to Security evidence hold, not to standard repair.</w:t>
      </w:r>
    </w:p>
    <w:p w14:paraId="3C507BB2" w14:textId="77777777" w:rsidR="00EC602E" w:rsidRDefault="00000000">
      <w:pPr>
        <w:spacing w:after="40" w:line="259" w:lineRule="auto"/>
        <w:ind w:left="230"/>
      </w:pPr>
      <w:r>
        <w:rPr>
          <w:rFonts w:ascii="Aptos" w:hAnsi="Aptos"/>
          <w:color w:val="333333"/>
          <w:sz w:val="19"/>
        </w:rPr>
        <w:t>• Mixed-return cartons are not allowed. Accessories may be consolidated only when all items share the same RMA and final destination code.</w:t>
      </w:r>
    </w:p>
    <w:p w14:paraId="76A62D1C" w14:textId="77777777" w:rsidR="00EC602E" w:rsidRDefault="00000000">
      <w:pPr>
        <w:spacing w:after="40" w:line="259" w:lineRule="auto"/>
        <w:ind w:left="230"/>
      </w:pPr>
      <w:r>
        <w:rPr>
          <w:rFonts w:ascii="Aptos" w:hAnsi="Aptos"/>
          <w:color w:val="333333"/>
          <w:sz w:val="19"/>
        </w:rPr>
        <w:t>• Field technicians must photograph shipping labels and pallet condition before handoff when the destination is quarantine, engineering hold, or disposal.</w:t>
      </w:r>
    </w:p>
    <w:p w14:paraId="601D7605" w14:textId="77777777" w:rsidR="00EC602E" w:rsidRDefault="00000000">
      <w:pPr>
        <w:spacing w:before="160" w:after="80" w:line="269" w:lineRule="auto"/>
      </w:pPr>
      <w:r>
        <w:rPr>
          <w:rFonts w:ascii="Aptos" w:hAnsi="Aptos"/>
          <w:b/>
          <w:color w:val="173F5F"/>
        </w:rPr>
        <w:t>Escalation and ownership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880"/>
        <w:gridCol w:w="2232"/>
      </w:tblGrid>
      <w:tr w:rsidR="00EC602E" w14:paraId="3676F3E9" w14:textId="77777777">
        <w:trPr>
          <w:jc w:val="center"/>
        </w:trPr>
        <w:tc>
          <w:tcPr>
            <w:tcW w:w="4320" w:type="dxa"/>
            <w:shd w:val="clear" w:color="auto" w:fill="2D6A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57867" w14:textId="77777777" w:rsidR="00EC602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  <w:tc>
          <w:tcPr>
            <w:tcW w:w="2880" w:type="dxa"/>
            <w:shd w:val="clear" w:color="auto" w:fill="2D6A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8F869" w14:textId="77777777" w:rsidR="00EC602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  <w:tc>
          <w:tcPr>
            <w:tcW w:w="2232" w:type="dxa"/>
            <w:shd w:val="clear" w:color="auto" w:fill="2D6A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EAAAF" w14:textId="77777777" w:rsidR="00EC602E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Target response</w:t>
            </w:r>
          </w:p>
        </w:tc>
      </w:tr>
      <w:tr w:rsidR="00EC602E" w14:paraId="432C977E" w14:textId="77777777">
        <w:trPr>
          <w:jc w:val="center"/>
        </w:trPr>
        <w:tc>
          <w:tcPr>
            <w:tcW w:w="43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8008C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Routing conflict between repair and engineering hold</w:t>
            </w:r>
          </w:p>
        </w:tc>
        <w:tc>
          <w:tcPr>
            <w:tcW w:w="288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9B899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Reverse Logistics Lead</w:t>
            </w:r>
          </w:p>
        </w:tc>
        <w:tc>
          <w:tcPr>
            <w:tcW w:w="223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BB932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Within 2 business hours</w:t>
            </w:r>
          </w:p>
        </w:tc>
      </w:tr>
      <w:tr w:rsidR="00EC602E" w14:paraId="3D049B2D" w14:textId="77777777">
        <w:trPr>
          <w:jc w:val="center"/>
        </w:trPr>
        <w:tc>
          <w:tcPr>
            <w:tcW w:w="43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C9EEF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lastRenderedPageBreak/>
              <w:t>Security/tamper classification dispute</w:t>
            </w:r>
          </w:p>
        </w:tc>
        <w:tc>
          <w:tcPr>
            <w:tcW w:w="288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9E859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Security Operations + Reverse Logistics</w:t>
            </w:r>
          </w:p>
        </w:tc>
        <w:tc>
          <w:tcPr>
            <w:tcW w:w="22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3A103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Within 1 business hour</w:t>
            </w:r>
          </w:p>
        </w:tc>
      </w:tr>
      <w:tr w:rsidR="00EC602E" w14:paraId="3B31D59F" w14:textId="77777777">
        <w:trPr>
          <w:jc w:val="center"/>
        </w:trPr>
        <w:tc>
          <w:tcPr>
            <w:tcW w:w="43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1D1D4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Disposal requested before sanitization approval</w:t>
            </w:r>
          </w:p>
        </w:tc>
        <w:tc>
          <w:tcPr>
            <w:tcW w:w="288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BB2F8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Asset Governance Analyst</w:t>
            </w:r>
          </w:p>
        </w:tc>
        <w:tc>
          <w:tcPr>
            <w:tcW w:w="223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D9ECC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Before shipment release</w:t>
            </w:r>
          </w:p>
        </w:tc>
      </w:tr>
      <w:tr w:rsidR="00EC602E" w14:paraId="4422CB2B" w14:textId="77777777">
        <w:trPr>
          <w:jc w:val="center"/>
        </w:trPr>
        <w:tc>
          <w:tcPr>
            <w:tcW w:w="43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D029E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Returned unit missing asset tag or serial match</w:t>
            </w:r>
          </w:p>
        </w:tc>
        <w:tc>
          <w:tcPr>
            <w:tcW w:w="288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A1050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Regional Warehouse Supervisor</w:t>
            </w:r>
          </w:p>
        </w:tc>
        <w:tc>
          <w:tcPr>
            <w:tcW w:w="22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08748" w14:textId="77777777" w:rsidR="00EC602E" w:rsidRDefault="00000000">
            <w:r>
              <w:rPr>
                <w:rFonts w:ascii="Aptos" w:hAnsi="Aptos"/>
                <w:color w:val="222222"/>
                <w:sz w:val="18"/>
              </w:rPr>
              <w:t>Same business day</w:t>
            </w:r>
          </w:p>
        </w:tc>
      </w:tr>
    </w:tbl>
    <w:p w14:paraId="05D90DC3" w14:textId="77777777" w:rsidR="00EC602E" w:rsidRDefault="00000000">
      <w:pPr>
        <w:spacing w:before="160" w:after="0" w:line="269" w:lineRule="auto"/>
      </w:pPr>
      <w:r>
        <w:rPr>
          <w:rFonts w:ascii="Aptos" w:hAnsi="Aptos"/>
          <w:color w:val="66707A"/>
          <w:sz w:val="17"/>
        </w:rPr>
        <w:t>Related systems: HubFlow, AssetSphere, CaseBridge, SecureChain. Related documents: TEAMQA-LOG-001 Logistics and Field Fulfillment Handbook; VAL-LOG-003 Damaged Goods Handling SOP.</w:t>
      </w:r>
    </w:p>
    <w:sectPr w:rsidR="00EC602E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930659">
    <w:abstractNumId w:val="8"/>
  </w:num>
  <w:num w:numId="2" w16cid:durableId="1279920520">
    <w:abstractNumId w:val="6"/>
  </w:num>
  <w:num w:numId="3" w16cid:durableId="296565366">
    <w:abstractNumId w:val="5"/>
  </w:num>
  <w:num w:numId="4" w16cid:durableId="626737508">
    <w:abstractNumId w:val="4"/>
  </w:num>
  <w:num w:numId="5" w16cid:durableId="1606843063">
    <w:abstractNumId w:val="7"/>
  </w:num>
  <w:num w:numId="6" w16cid:durableId="255288052">
    <w:abstractNumId w:val="3"/>
  </w:num>
  <w:num w:numId="7" w16cid:durableId="1814760301">
    <w:abstractNumId w:val="2"/>
  </w:num>
  <w:num w:numId="8" w16cid:durableId="4745557">
    <w:abstractNumId w:val="1"/>
  </w:num>
  <w:num w:numId="9" w16cid:durableId="104093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5EB"/>
    <w:rsid w:val="0029639D"/>
    <w:rsid w:val="00326F90"/>
    <w:rsid w:val="006E4BC8"/>
    <w:rsid w:val="0098077E"/>
    <w:rsid w:val="00AA1D8D"/>
    <w:rsid w:val="00B47730"/>
    <w:rsid w:val="00CB0664"/>
    <w:rsid w:val="00EC60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33723"/>
  <w14:defaultImageDpi w14:val="300"/>
  <w15:docId w15:val="{E15E092F-1572-B641-9A4F-0E08D09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2913</Characters>
  <Application>Microsoft Office Word</Application>
  <DocSecurity>0</DocSecurity>
  <Lines>104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Nikos Kalogirou</cp:lastModifiedBy>
  <cp:revision>3</cp:revision>
  <dcterms:created xsi:type="dcterms:W3CDTF">2013-12-23T23:15:00Z</dcterms:created>
  <dcterms:modified xsi:type="dcterms:W3CDTF">2026-03-24T12:40:00Z</dcterms:modified>
  <cp:category/>
</cp:coreProperties>
</file>