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4E79"/>
          <w:sz w:val="19"/>
        </w:rPr>
        <w:t>OrchestrAI Team Knowledge Base</w:t>
      </w:r>
    </w:p>
    <w:p>
      <w:pPr>
        <w:spacing w:after="40"/>
      </w:pPr>
      <w:r>
        <w:rPr>
          <w:b/>
          <w:color w:val="222222"/>
          <w:sz w:val="38"/>
        </w:rPr>
        <w:t>Launch Readiness Checklist</w:t>
      </w:r>
    </w:p>
    <w:p>
      <w:pPr>
        <w:spacing w:after="180"/>
      </w:pPr>
      <w:r>
        <w:rPr>
          <w:color w:val="666666"/>
          <w:sz w:val="20"/>
        </w:rPr>
        <w:t>Operational checklist used by Product and PMO to confirm whether a customer-facing release may proceed to go-live.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Document ID</w:t>
              <w:br/>
            </w:r>
            <w:r>
              <w:rPr>
                <w:color w:val="222222"/>
                <w:sz w:val="19"/>
              </w:rPr>
              <w:t>VAL-PROD-001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Department</w:t>
              <w:br/>
            </w:r>
            <w:r>
              <w:rPr>
                <w:color w:val="222222"/>
                <w:sz w:val="19"/>
              </w:rPr>
              <w:t>Product &amp; Program Management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Owner</w:t>
              <w:br/>
            </w:r>
            <w:r>
              <w:rPr>
                <w:color w:val="222222"/>
                <w:sz w:val="19"/>
              </w:rPr>
              <w:t>Program Management Office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Version</w:t>
              <w:br/>
            </w:r>
            <w:r>
              <w:rPr>
                <w:color w:val="222222"/>
                <w:sz w:val="19"/>
              </w:rPr>
              <w:t>1.0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Effective Date</w:t>
              <w:br/>
            </w:r>
            <w:r>
              <w:rPr>
                <w:color w:val="222222"/>
                <w:sz w:val="19"/>
              </w:rPr>
              <w:t>2026-03-24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Review Cycle</w:t>
              <w:br/>
            </w:r>
            <w:r>
              <w:rPr>
                <w:color w:val="222222"/>
                <w:sz w:val="19"/>
              </w:rPr>
              <w:t>Quarterly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Audience</w:t>
              <w:br/>
            </w:r>
            <w:r>
              <w:rPr>
                <w:color w:val="222222"/>
                <w:sz w:val="19"/>
              </w:rPr>
              <w:t>PMO, Product, Engineering, Support, Sales Enablement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Classification</w:t>
              <w:br/>
            </w:r>
            <w:r>
              <w:rPr>
                <w:color w:val="222222"/>
                <w:sz w:val="19"/>
              </w:rPr>
              <w:t>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6F2"/>
            <w:tcMar>
              <w:top w:w="125" w:type="dxa"/>
              <w:start w:w="125" w:type="dxa"/>
              <w:bottom w:w="120" w:type="dxa"/>
              <w:end w:w="125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22222"/>
                <w:sz w:val="20"/>
              </w:rPr>
              <w:t xml:space="preserve">Use case. </w:t>
            </w:r>
            <w:r>
              <w:rPr>
                <w:color w:val="222222"/>
                <w:sz w:val="20"/>
              </w:rPr>
              <w:t>This checklist is completed for every OrchestrAI cloud release, edge-firmware rollout, and hardware-adjacent launch where customer communication, support preparation, or operational readiness must be confirmed before go-live.</w:t>
            </w:r>
          </w:p>
        </w:tc>
      </w:tr>
    </w:tbl>
    <w:p/>
    <w:p>
      <w:pPr>
        <w:spacing w:before="100" w:after="80"/>
      </w:pPr>
      <w:r>
        <w:rPr>
          <w:rFonts w:ascii="Aptos" w:hAnsi="Aptos"/>
          <w:b/>
          <w:color w:val="1F4E79"/>
          <w:sz w:val="24"/>
        </w:rPr>
        <w:t>Readiness gate rules</w:t>
      </w:r>
    </w:p>
    <w:p>
      <w:pPr>
        <w:spacing w:after="80" w:line="269" w:lineRule="auto"/>
      </w:pPr>
      <w:r>
        <w:rPr>
          <w:rFonts w:ascii="Aptos" w:hAnsi="Aptos"/>
          <w:color w:val="222222"/>
          <w:sz w:val="20"/>
        </w:rPr>
        <w:t>A release is considered ready only when all mandatory items are marked Complete, every conditional item has either been completed or formally waived, and the launch owner has recorded a go or no-go decision in LaunchHub. Open critical risks, unapproved customer communications, and incomplete rollback plans automatically block launch approval.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Mandatory blockers require sign-off from the accountable owner listed in the checklist; verbal confirmation is not enough.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If a release includes warehouse workflow changes or field device behavior changes, Logistics and Customer Success readiness checks become mandatory.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Any exception must include an owner, expiry date, impact statement, and approved mitigation.</w:t>
      </w:r>
    </w:p>
    <w:p>
      <w:pPr>
        <w:spacing w:before="100" w:after="80"/>
      </w:pPr>
      <w:r>
        <w:rPr>
          <w:rFonts w:ascii="Aptos" w:hAnsi="Aptos"/>
          <w:b/>
          <w:color w:val="1F4E79"/>
          <w:sz w:val="24"/>
        </w:rPr>
        <w:t>Launch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736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Checklist item</w:t>
            </w:r>
          </w:p>
        </w:tc>
        <w:tc>
          <w:tcPr>
            <w:tcW w:type="dxa" w:w="1584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Owner</w:t>
            </w:r>
          </w:p>
        </w:tc>
        <w:tc>
          <w:tcPr>
            <w:tcW w:type="dxa" w:w="1296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Type</w:t>
            </w:r>
          </w:p>
        </w:tc>
        <w:tc>
          <w:tcPr>
            <w:tcW w:type="dxa" w:w="4031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Acceptance criteria</w:t>
            </w:r>
          </w:p>
        </w:tc>
        <w:tc>
          <w:tcPr>
            <w:tcW w:type="dxa" w:w="1296"/>
            <w:tcMar>
              <w:top w:w="94" w:type="dxa"/>
              <w:start w:w="86" w:type="dxa"/>
              <w:bottom w:w="94" w:type="dxa"/>
              <w:end w:w="86" w:type="dxa"/>
            </w:tcMar>
            <w:shd w:fill="D4E2F1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Status</w:t>
            </w:r>
          </w:p>
        </w:tc>
      </w:tr>
      <w:tr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Scope and release notes validated</w:t>
            </w:r>
          </w:p>
        </w:tc>
        <w:tc>
          <w:tcPr>
            <w:tcW w:type="dxa" w:w="158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Product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Required</w:t>
            </w:r>
          </w:p>
        </w:tc>
        <w:tc>
          <w:tcPr>
            <w:tcW w:type="dxa" w:w="4031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Customer-facing scope matches build and release notes have final wording.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Open</w:t>
            </w:r>
          </w:p>
        </w:tc>
      </w:tr>
      <w:tr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Build approved for production</w:t>
            </w:r>
          </w:p>
        </w:tc>
        <w:tc>
          <w:tcPr>
            <w:tcW w:type="dxa" w:w="1584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Engineering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Required</w:t>
            </w:r>
          </w:p>
        </w:tc>
        <w:tc>
          <w:tcPr>
            <w:tcW w:type="dxa" w:w="4031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Production artifact is signed, tested, and associated to the release record.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Open</w:t>
            </w:r>
          </w:p>
        </w:tc>
      </w:tr>
      <w:tr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Rollback plan documented</w:t>
            </w:r>
          </w:p>
        </w:tc>
        <w:tc>
          <w:tcPr>
            <w:tcW w:type="dxa" w:w="158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Engineering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Required</w:t>
            </w:r>
          </w:p>
        </w:tc>
        <w:tc>
          <w:tcPr>
            <w:tcW w:type="dxa" w:w="4031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Rollback path, owner, time-to-recover estimate, and data-recovery assumptions are recorded.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Open</w:t>
            </w:r>
          </w:p>
        </w:tc>
      </w:tr>
      <w:tr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Security review closed</w:t>
            </w:r>
          </w:p>
        </w:tc>
        <w:tc>
          <w:tcPr>
            <w:tcW w:type="dxa" w:w="1584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Security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Conditional</w:t>
            </w:r>
          </w:p>
        </w:tc>
        <w:tc>
          <w:tcPr>
            <w:tcW w:type="dxa" w:w="4031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Required for auth changes, new integrations, public API changes, or elevated data access.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Open</w:t>
            </w:r>
          </w:p>
        </w:tc>
      </w:tr>
      <w:tr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Support runbook published</w:t>
            </w:r>
          </w:p>
        </w:tc>
        <w:tc>
          <w:tcPr>
            <w:tcW w:type="dxa" w:w="158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Customer Success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Required</w:t>
            </w:r>
          </w:p>
        </w:tc>
        <w:tc>
          <w:tcPr>
            <w:tcW w:type="dxa" w:w="4031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Known issues, escalation contacts, and triage guidance exist in the KB.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Open</w:t>
            </w:r>
          </w:p>
        </w:tc>
      </w:tr>
      <w:tr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Enablement complete</w:t>
            </w:r>
          </w:p>
        </w:tc>
        <w:tc>
          <w:tcPr>
            <w:tcW w:type="dxa" w:w="1584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Sales Enablement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Conditional</w:t>
            </w:r>
          </w:p>
        </w:tc>
        <w:tc>
          <w:tcPr>
            <w:tcW w:type="dxa" w:w="4031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Required when launch changes packaging, demos, or customer positioning.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Open</w:t>
            </w:r>
          </w:p>
        </w:tc>
      </w:tr>
      <w:tr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Usage analytics ready</w:t>
            </w:r>
          </w:p>
        </w:tc>
        <w:tc>
          <w:tcPr>
            <w:tcW w:type="dxa" w:w="158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Product Ops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Required</w:t>
            </w:r>
          </w:p>
        </w:tc>
        <w:tc>
          <w:tcPr>
            <w:tcW w:type="dxa" w:w="4031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Event tracking, dashboards, and adoption KPI definitions are verified.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Open</w:t>
            </w:r>
          </w:p>
        </w:tc>
      </w:tr>
      <w:tr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Customer communication approved</w:t>
            </w:r>
          </w:p>
        </w:tc>
        <w:tc>
          <w:tcPr>
            <w:tcW w:type="dxa" w:w="1584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PMO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Required</w:t>
            </w:r>
          </w:p>
        </w:tc>
        <w:tc>
          <w:tcPr>
            <w:tcW w:type="dxa" w:w="4031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Launch email, status-page content, and account-team brief are reviewed.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Open</w:t>
            </w:r>
          </w:p>
        </w:tc>
      </w:tr>
      <w:tr>
        <w:tc>
          <w:tcPr>
            <w:tcW w:type="dxa" w:w="273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Operational dependencies clear</w:t>
            </w:r>
          </w:p>
        </w:tc>
        <w:tc>
          <w:tcPr>
            <w:tcW w:type="dxa" w:w="1584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PMO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Required</w:t>
            </w:r>
          </w:p>
        </w:tc>
        <w:tc>
          <w:tcPr>
            <w:tcW w:type="dxa" w:w="4031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No unresolved change conflicts, release-freeze conflicts, or vendor dependencies remain.</w:t>
            </w:r>
          </w:p>
        </w:tc>
        <w:tc>
          <w:tcPr>
            <w:tcW w:type="dxa" w:w="1296"/>
            <w:tcMar>
              <w:top w:w="88" w:type="dxa"/>
              <w:start w:w="84" w:type="dxa"/>
              <w:bottom w:w="88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Open</w:t>
            </w:r>
          </w:p>
        </w:tc>
      </w:tr>
    </w:tbl>
    <w:p/>
    <w:p>
      <w:pPr>
        <w:spacing w:before="100" w:after="80"/>
      </w:pPr>
      <w:r>
        <w:rPr>
          <w:rFonts w:ascii="Aptos" w:hAnsi="Aptos"/>
          <w:b/>
          <w:color w:val="1F4E79"/>
          <w:sz w:val="24"/>
        </w:rPr>
        <w:t>Go/no-go meeting outputs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Final risk posture: list any open items that leadership is explicitly accepting at launch time.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Decision record: capture go, no-go, or delayed-go-live outcome with timestamp and approver name.</w:t>
      </w:r>
    </w:p>
    <w:p>
      <w:pPr>
        <w:pStyle w:val="ListBullet"/>
        <w:spacing w:after="40" w:line="259" w:lineRule="auto"/>
      </w:pPr>
      <w:r>
        <w:rPr>
          <w:rFonts w:ascii="Aptos" w:hAnsi="Aptos"/>
          <w:color w:val="222222"/>
          <w:sz w:val="20"/>
        </w:rPr>
        <w:t>Communication release: confirm who sends customer-facing updates if the launch window changes.</w:t>
      </w:r>
    </w:p>
    <w:p>
      <w:pPr>
        <w:spacing w:before="100" w:after="80"/>
      </w:pPr>
      <w:r>
        <w:rPr>
          <w:rFonts w:ascii="Aptos" w:hAnsi="Aptos"/>
          <w:b/>
          <w:color w:val="1F4E79"/>
          <w:sz w:val="24"/>
        </w:rPr>
        <w:t>Common retrieval phrases</w:t>
      </w:r>
    </w:p>
    <w:p>
      <w:pPr>
        <w:spacing w:after="80" w:line="269" w:lineRule="auto"/>
      </w:pPr>
      <w:r>
        <w:rPr>
          <w:rFonts w:ascii="Aptos" w:hAnsi="Aptos"/>
          <w:color w:val="222222"/>
          <w:sz w:val="20"/>
        </w:rPr>
        <w:t>Useful search cues for RAG validation include launch readiness, go-no-go, release checklist, support runbook, rollback owner, launch blocker, and LaunchHub approval.</w:t>
      </w:r>
    </w:p>
    <w:sectPr w:rsidR="00FC693F" w:rsidRPr="0006063C" w:rsidSect="00034616"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