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color w:val="1F4E79"/>
          <w:sz w:val="19"/>
        </w:rPr>
        <w:t>OrchestrAI Team Knowledge Base</w:t>
      </w:r>
    </w:p>
    <w:p>
      <w:pPr>
        <w:spacing w:after="40"/>
      </w:pPr>
      <w:r>
        <w:rPr>
          <w:b/>
          <w:color w:val="222222"/>
          <w:sz w:val="38"/>
        </w:rPr>
        <w:t>Dependency Risk Register Summary</w:t>
      </w:r>
    </w:p>
    <w:p>
      <w:pPr>
        <w:spacing w:after="180"/>
      </w:pPr>
      <w:r>
        <w:rPr>
          <w:color w:val="666666"/>
          <w:sz w:val="20"/>
        </w:rPr>
        <w:t>Condensed risk summary used by PMO to track cross-functional blockers that can delay launches or reduce release readiness.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b/>
                <w:color w:val="1F4E79"/>
                <w:sz w:val="17"/>
              </w:rPr>
              <w:t>Document ID</w:t>
              <w:br/>
            </w:r>
            <w:r>
              <w:rPr>
                <w:color w:val="222222"/>
                <w:sz w:val="19"/>
              </w:rPr>
              <w:t>VAL-PROD-004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b/>
                <w:color w:val="1F4E79"/>
                <w:sz w:val="17"/>
              </w:rPr>
              <w:t>Department</w:t>
              <w:br/>
            </w:r>
            <w:r>
              <w:rPr>
                <w:color w:val="222222"/>
                <w:sz w:val="19"/>
              </w:rPr>
              <w:t>Product &amp; Program Management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b/>
                <w:color w:val="1F4E79"/>
                <w:sz w:val="17"/>
              </w:rPr>
              <w:t>Owner</w:t>
              <w:br/>
            </w:r>
            <w:r>
              <w:rPr>
                <w:color w:val="222222"/>
                <w:sz w:val="19"/>
              </w:rPr>
              <w:t>PMO Risk Coordinator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b/>
                <w:color w:val="1F4E79"/>
                <w:sz w:val="17"/>
              </w:rPr>
              <w:t>Version</w:t>
              <w:br/>
            </w:r>
            <w:r>
              <w:rPr>
                <w:color w:val="222222"/>
                <w:sz w:val="19"/>
              </w:rPr>
              <w:t>1.0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b/>
                <w:color w:val="1F4E79"/>
                <w:sz w:val="17"/>
              </w:rPr>
              <w:t>Effective Date</w:t>
              <w:br/>
            </w:r>
            <w:r>
              <w:rPr>
                <w:color w:val="222222"/>
                <w:sz w:val="19"/>
              </w:rPr>
              <w:t>2026-03-24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b/>
                <w:color w:val="1F4E79"/>
                <w:sz w:val="17"/>
              </w:rPr>
              <w:t>Review Cycle</w:t>
              <w:br/>
            </w:r>
            <w:r>
              <w:rPr>
                <w:color w:val="222222"/>
                <w:sz w:val="19"/>
              </w:rPr>
              <w:t>Quarterly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b/>
                <w:color w:val="1F4E79"/>
                <w:sz w:val="17"/>
              </w:rPr>
              <w:t>Audience</w:t>
              <w:br/>
            </w:r>
            <w:r>
              <w:rPr>
                <w:color w:val="222222"/>
                <w:sz w:val="19"/>
              </w:rPr>
              <w:t>PMO, Product, Engineering Leadership, Support, Operations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b/>
                <w:color w:val="1F4E79"/>
                <w:sz w:val="17"/>
              </w:rPr>
              <w:t>Classification</w:t>
              <w:br/>
            </w:r>
            <w:r>
              <w:rPr>
                <w:color w:val="222222"/>
                <w:sz w:val="19"/>
              </w:rPr>
              <w:t>Internal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D9E6F2"/>
            <w:tcMar>
              <w:top w:w="125" w:type="dxa"/>
              <w:start w:w="125" w:type="dxa"/>
              <w:bottom w:w="120" w:type="dxa"/>
              <w:end w:w="125" w:type="dxa"/>
            </w:tcMar>
          </w:tcPr>
          <w:p>
            <w:pPr>
              <w:spacing w:after="0" w:line="269" w:lineRule="auto"/>
            </w:pPr>
            <w:r>
              <w:rPr>
                <w:b/>
                <w:color w:val="222222"/>
                <w:sz w:val="20"/>
              </w:rPr>
              <w:t xml:space="preserve">Scope. </w:t>
            </w:r>
            <w:r>
              <w:rPr>
                <w:color w:val="222222"/>
                <w:sz w:val="20"/>
              </w:rPr>
              <w:t>This summary is not a full portfolio register. It highlights only active risks that affect committed launches, compliance-sensitive work, shared dependencies, or customer enablement timelines.</w:t>
            </w:r>
          </w:p>
        </w:tc>
      </w:tr>
    </w:tbl>
    <w:p/>
    <w:p>
      <w:pPr>
        <w:spacing w:before="100" w:after="80"/>
      </w:pPr>
      <w:r>
        <w:rPr>
          <w:rFonts w:ascii="Aptos" w:hAnsi="Aptos"/>
          <w:b/>
          <w:color w:val="1F4E79"/>
          <w:sz w:val="24"/>
        </w:rPr>
        <w:t>Active dependency risks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6"/>
        <w:gridCol w:w="1666"/>
        <w:gridCol w:w="1666"/>
        <w:gridCol w:w="1666"/>
        <w:gridCol w:w="1666"/>
        <w:gridCol w:w="1666"/>
      </w:tblGrid>
      <w:tr>
        <w:trPr>
          <w:tblHeader w:val="true"/>
        </w:trPr>
        <w:tc>
          <w:tcPr>
            <w:tcW w:type="dxa" w:w="1152"/>
            <w:tcMar>
              <w:top w:w="94" w:type="dxa"/>
              <w:start w:w="86" w:type="dxa"/>
              <w:bottom w:w="94" w:type="dxa"/>
              <w:end w:w="86" w:type="dxa"/>
            </w:tcMar>
            <w:shd w:fill="D4E2F1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222222"/>
                <w:sz w:val="17"/>
              </w:rPr>
              <w:t>Risk ID</w:t>
            </w:r>
          </w:p>
        </w:tc>
        <w:tc>
          <w:tcPr>
            <w:tcW w:type="dxa" w:w="3528"/>
            <w:tcMar>
              <w:top w:w="94" w:type="dxa"/>
              <w:start w:w="86" w:type="dxa"/>
              <w:bottom w:w="94" w:type="dxa"/>
              <w:end w:w="86" w:type="dxa"/>
            </w:tcMar>
            <w:shd w:fill="D4E2F1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222222"/>
                <w:sz w:val="17"/>
              </w:rPr>
              <w:t>Description</w:t>
            </w:r>
          </w:p>
        </w:tc>
        <w:tc>
          <w:tcPr>
            <w:tcW w:type="dxa" w:w="1152"/>
            <w:tcMar>
              <w:top w:w="94" w:type="dxa"/>
              <w:start w:w="86" w:type="dxa"/>
              <w:bottom w:w="94" w:type="dxa"/>
              <w:end w:w="86" w:type="dxa"/>
            </w:tcMar>
            <w:shd w:fill="D4E2F1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222222"/>
                <w:sz w:val="17"/>
              </w:rPr>
              <w:t>Severity</w:t>
            </w:r>
          </w:p>
        </w:tc>
        <w:tc>
          <w:tcPr>
            <w:tcW w:type="dxa" w:w="2232"/>
            <w:tcMar>
              <w:top w:w="94" w:type="dxa"/>
              <w:start w:w="86" w:type="dxa"/>
              <w:bottom w:w="94" w:type="dxa"/>
              <w:end w:w="86" w:type="dxa"/>
            </w:tcMar>
            <w:shd w:fill="D4E2F1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222222"/>
                <w:sz w:val="17"/>
              </w:rPr>
              <w:t>Affected launch</w:t>
            </w:r>
          </w:p>
        </w:tc>
        <w:tc>
          <w:tcPr>
            <w:tcW w:type="dxa" w:w="2664"/>
            <w:tcMar>
              <w:top w:w="94" w:type="dxa"/>
              <w:start w:w="86" w:type="dxa"/>
              <w:bottom w:w="94" w:type="dxa"/>
              <w:end w:w="86" w:type="dxa"/>
            </w:tcMar>
            <w:shd w:fill="D4E2F1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222222"/>
                <w:sz w:val="17"/>
              </w:rPr>
              <w:t>Current mitigation</w:t>
            </w:r>
          </w:p>
        </w:tc>
        <w:tc>
          <w:tcPr>
            <w:tcW w:type="dxa" w:w="1296"/>
            <w:tcMar>
              <w:top w:w="94" w:type="dxa"/>
              <w:start w:w="86" w:type="dxa"/>
              <w:bottom w:w="94" w:type="dxa"/>
              <w:end w:w="86" w:type="dxa"/>
            </w:tcMar>
            <w:shd w:fill="D4E2F1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222222"/>
                <w:sz w:val="17"/>
              </w:rPr>
              <w:t>Lead owner</w:t>
            </w:r>
          </w:p>
        </w:tc>
      </w:tr>
      <w:tr>
        <w:tc>
          <w:tcPr>
            <w:tcW w:type="dxa" w:w="1152"/>
            <w:tcMar>
              <w:top w:w="88" w:type="dxa"/>
              <w:start w:w="84" w:type="dxa"/>
              <w:bottom w:w="88" w:type="dxa"/>
              <w:end w:w="84" w:type="dxa"/>
            </w:tcMar>
            <w:shd w:fill="F8FBFD"/>
            <w:vAlign w:val="center"/>
          </w:tcPr>
          <w:p>
            <w:pPr>
              <w:spacing w:after="0"/>
              <w:jc w:val="center"/>
            </w:pPr>
            <w:r>
              <w:rPr>
                <w:color w:val="222222"/>
                <w:sz w:val="17"/>
              </w:rPr>
              <w:t>PR-17</w:t>
            </w:r>
          </w:p>
        </w:tc>
        <w:tc>
          <w:tcPr>
            <w:tcW w:type="dxa" w:w="3528"/>
            <w:tcMar>
              <w:top w:w="88" w:type="dxa"/>
              <w:start w:w="84" w:type="dxa"/>
              <w:bottom w:w="88" w:type="dxa"/>
              <w:end w:w="84" w:type="dxa"/>
            </w:tcMar>
            <w:shd w:fill="F8FBFD"/>
            <w:vAlign w:val="center"/>
          </w:tcPr>
          <w:p>
            <w:pPr>
              <w:spacing w:after="0"/>
              <w:jc w:val="left"/>
            </w:pPr>
            <w:r>
              <w:rPr>
                <w:color w:val="222222"/>
                <w:sz w:val="17"/>
              </w:rPr>
              <w:t>Warehouse gateway vendor lead time may delay field pilot hardware availability.</w:t>
            </w:r>
          </w:p>
        </w:tc>
        <w:tc>
          <w:tcPr>
            <w:tcW w:type="dxa" w:w="1152"/>
            <w:tcMar>
              <w:top w:w="88" w:type="dxa"/>
              <w:start w:w="84" w:type="dxa"/>
              <w:bottom w:w="88" w:type="dxa"/>
              <w:end w:w="84" w:type="dxa"/>
            </w:tcMar>
            <w:shd w:fill="F8FBFD"/>
            <w:vAlign w:val="center"/>
          </w:tcPr>
          <w:p>
            <w:pPr>
              <w:spacing w:after="0"/>
              <w:jc w:val="center"/>
            </w:pPr>
            <w:r>
              <w:rPr>
                <w:color w:val="222222"/>
                <w:sz w:val="17"/>
              </w:rPr>
              <w:t>Medium</w:t>
            </w:r>
          </w:p>
        </w:tc>
        <w:tc>
          <w:tcPr>
            <w:tcW w:type="dxa" w:w="2232"/>
            <w:tcMar>
              <w:top w:w="88" w:type="dxa"/>
              <w:start w:w="84" w:type="dxa"/>
              <w:bottom w:w="88" w:type="dxa"/>
              <w:end w:w="84" w:type="dxa"/>
            </w:tcMar>
            <w:shd w:fill="F8FBFD"/>
            <w:vAlign w:val="center"/>
          </w:tcPr>
          <w:p>
            <w:pPr>
              <w:spacing w:after="0"/>
              <w:jc w:val="left"/>
            </w:pPr>
            <w:r>
              <w:rPr>
                <w:color w:val="222222"/>
                <w:sz w:val="17"/>
              </w:rPr>
              <w:t>2026-04-15 edge pilot</w:t>
            </w:r>
          </w:p>
        </w:tc>
        <w:tc>
          <w:tcPr>
            <w:tcW w:type="dxa" w:w="2664"/>
            <w:tcMar>
              <w:top w:w="88" w:type="dxa"/>
              <w:start w:w="84" w:type="dxa"/>
              <w:bottom w:w="88" w:type="dxa"/>
              <w:end w:w="84" w:type="dxa"/>
            </w:tcMar>
            <w:shd w:fill="F8FBFD"/>
            <w:vAlign w:val="center"/>
          </w:tcPr>
          <w:p>
            <w:pPr>
              <w:spacing w:after="0"/>
              <w:jc w:val="left"/>
            </w:pPr>
            <w:r>
              <w:rPr>
                <w:color w:val="222222"/>
                <w:sz w:val="17"/>
              </w:rPr>
              <w:t>Track alternate stock and reserve demo units.</w:t>
            </w:r>
          </w:p>
        </w:tc>
        <w:tc>
          <w:tcPr>
            <w:tcW w:type="dxa" w:w="1296"/>
            <w:tcMar>
              <w:top w:w="88" w:type="dxa"/>
              <w:start w:w="84" w:type="dxa"/>
              <w:bottom w:w="88" w:type="dxa"/>
              <w:end w:w="84" w:type="dxa"/>
            </w:tcMar>
            <w:shd w:fill="F8FBFD"/>
            <w:vAlign w:val="center"/>
          </w:tcPr>
          <w:p>
            <w:pPr>
              <w:spacing w:after="0"/>
              <w:jc w:val="center"/>
            </w:pPr>
            <w:r>
              <w:rPr>
                <w:color w:val="222222"/>
                <w:sz w:val="17"/>
              </w:rPr>
              <w:t>Logistics</w:t>
            </w:r>
          </w:p>
        </w:tc>
      </w:tr>
      <w:tr>
        <w:tc>
          <w:tcPr>
            <w:tcW w:type="dxa" w:w="1152"/>
            <w:tcMar>
              <w:top w:w="88" w:type="dxa"/>
              <w:start w:w="84" w:type="dxa"/>
              <w:bottom w:w="88" w:type="dxa"/>
              <w:end w:w="84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color w:val="222222"/>
                <w:sz w:val="17"/>
              </w:rPr>
              <w:t>PR-22</w:t>
            </w:r>
          </w:p>
        </w:tc>
        <w:tc>
          <w:tcPr>
            <w:tcW w:type="dxa" w:w="3528"/>
            <w:tcMar>
              <w:top w:w="88" w:type="dxa"/>
              <w:start w:w="84" w:type="dxa"/>
              <w:bottom w:w="88" w:type="dxa"/>
              <w:end w:w="84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color w:val="222222"/>
                <w:sz w:val="17"/>
              </w:rPr>
              <w:t>Security review queue for external API enhancements is longer than plan baseline assumed.</w:t>
            </w:r>
          </w:p>
        </w:tc>
        <w:tc>
          <w:tcPr>
            <w:tcW w:type="dxa" w:w="1152"/>
            <w:tcMar>
              <w:top w:w="88" w:type="dxa"/>
              <w:start w:w="84" w:type="dxa"/>
              <w:bottom w:w="88" w:type="dxa"/>
              <w:end w:w="84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color w:val="222222"/>
                <w:sz w:val="17"/>
              </w:rPr>
              <w:t>High</w:t>
            </w:r>
          </w:p>
        </w:tc>
        <w:tc>
          <w:tcPr>
            <w:tcW w:type="dxa" w:w="2232"/>
            <w:tcMar>
              <w:top w:w="88" w:type="dxa"/>
              <w:start w:w="84" w:type="dxa"/>
              <w:bottom w:w="88" w:type="dxa"/>
              <w:end w:w="84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color w:val="222222"/>
                <w:sz w:val="17"/>
              </w:rPr>
              <w:t>Cloud control plane 4.2</w:t>
            </w:r>
          </w:p>
        </w:tc>
        <w:tc>
          <w:tcPr>
            <w:tcW w:type="dxa" w:w="2664"/>
            <w:tcMar>
              <w:top w:w="88" w:type="dxa"/>
              <w:start w:w="84" w:type="dxa"/>
              <w:bottom w:w="88" w:type="dxa"/>
              <w:end w:w="84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color w:val="222222"/>
                <w:sz w:val="17"/>
              </w:rPr>
              <w:t>Move review earlier and assign named backup reviewer.</w:t>
            </w:r>
          </w:p>
        </w:tc>
        <w:tc>
          <w:tcPr>
            <w:tcW w:type="dxa" w:w="1296"/>
            <w:tcMar>
              <w:top w:w="88" w:type="dxa"/>
              <w:start w:w="84" w:type="dxa"/>
              <w:bottom w:w="88" w:type="dxa"/>
              <w:end w:w="84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color w:val="222222"/>
                <w:sz w:val="17"/>
              </w:rPr>
              <w:t>Security</w:t>
            </w:r>
          </w:p>
        </w:tc>
      </w:tr>
      <w:tr>
        <w:tc>
          <w:tcPr>
            <w:tcW w:type="dxa" w:w="1152"/>
            <w:tcMar>
              <w:top w:w="88" w:type="dxa"/>
              <w:start w:w="84" w:type="dxa"/>
              <w:bottom w:w="88" w:type="dxa"/>
              <w:end w:w="84" w:type="dxa"/>
            </w:tcMar>
            <w:shd w:fill="F8FBFD"/>
            <w:vAlign w:val="center"/>
          </w:tcPr>
          <w:p>
            <w:pPr>
              <w:spacing w:after="0"/>
              <w:jc w:val="center"/>
            </w:pPr>
            <w:r>
              <w:rPr>
                <w:color w:val="222222"/>
                <w:sz w:val="17"/>
              </w:rPr>
              <w:t>PR-24</w:t>
            </w:r>
          </w:p>
        </w:tc>
        <w:tc>
          <w:tcPr>
            <w:tcW w:type="dxa" w:w="3528"/>
            <w:tcMar>
              <w:top w:w="88" w:type="dxa"/>
              <w:start w:w="84" w:type="dxa"/>
              <w:bottom w:w="88" w:type="dxa"/>
              <w:end w:w="84" w:type="dxa"/>
            </w:tcMar>
            <w:shd w:fill="F8FBFD"/>
            <w:vAlign w:val="center"/>
          </w:tcPr>
          <w:p>
            <w:pPr>
              <w:spacing w:after="0"/>
              <w:jc w:val="left"/>
            </w:pPr>
            <w:r>
              <w:rPr>
                <w:color w:val="222222"/>
                <w:sz w:val="17"/>
              </w:rPr>
              <w:t>Support content for returns workflow has not completed scenario-based macro updates.</w:t>
            </w:r>
          </w:p>
        </w:tc>
        <w:tc>
          <w:tcPr>
            <w:tcW w:type="dxa" w:w="1152"/>
            <w:tcMar>
              <w:top w:w="88" w:type="dxa"/>
              <w:start w:w="84" w:type="dxa"/>
              <w:bottom w:w="88" w:type="dxa"/>
              <w:end w:w="84" w:type="dxa"/>
            </w:tcMar>
            <w:shd w:fill="F8FBFD"/>
            <w:vAlign w:val="center"/>
          </w:tcPr>
          <w:p>
            <w:pPr>
              <w:spacing w:after="0"/>
              <w:jc w:val="center"/>
            </w:pPr>
            <w:r>
              <w:rPr>
                <w:color w:val="222222"/>
                <w:sz w:val="17"/>
              </w:rPr>
              <w:t>Medium</w:t>
            </w:r>
          </w:p>
        </w:tc>
        <w:tc>
          <w:tcPr>
            <w:tcW w:type="dxa" w:w="2232"/>
            <w:tcMar>
              <w:top w:w="88" w:type="dxa"/>
              <w:start w:w="84" w:type="dxa"/>
              <w:bottom w:w="88" w:type="dxa"/>
              <w:end w:w="84" w:type="dxa"/>
            </w:tcMar>
            <w:shd w:fill="F8FBFD"/>
            <w:vAlign w:val="center"/>
          </w:tcPr>
          <w:p>
            <w:pPr>
              <w:spacing w:after="0"/>
              <w:jc w:val="left"/>
            </w:pPr>
            <w:r>
              <w:rPr>
                <w:color w:val="222222"/>
                <w:sz w:val="17"/>
              </w:rPr>
              <w:t>Returns orchestration workflow</w:t>
            </w:r>
          </w:p>
        </w:tc>
        <w:tc>
          <w:tcPr>
            <w:tcW w:type="dxa" w:w="2664"/>
            <w:tcMar>
              <w:top w:w="88" w:type="dxa"/>
              <w:start w:w="84" w:type="dxa"/>
              <w:bottom w:w="88" w:type="dxa"/>
              <w:end w:w="84" w:type="dxa"/>
            </w:tcMar>
            <w:shd w:fill="F8FBFD"/>
            <w:vAlign w:val="center"/>
          </w:tcPr>
          <w:p>
            <w:pPr>
              <w:spacing w:after="0"/>
              <w:jc w:val="left"/>
            </w:pPr>
            <w:r>
              <w:rPr>
                <w:color w:val="222222"/>
                <w:sz w:val="17"/>
              </w:rPr>
              <w:t>Add weekly checkpoint with CS enablement owner.</w:t>
            </w:r>
          </w:p>
        </w:tc>
        <w:tc>
          <w:tcPr>
            <w:tcW w:type="dxa" w:w="1296"/>
            <w:tcMar>
              <w:top w:w="88" w:type="dxa"/>
              <w:start w:w="84" w:type="dxa"/>
              <w:bottom w:w="88" w:type="dxa"/>
              <w:end w:w="84" w:type="dxa"/>
            </w:tcMar>
            <w:shd w:fill="F8FBFD"/>
            <w:vAlign w:val="center"/>
          </w:tcPr>
          <w:p>
            <w:pPr>
              <w:spacing w:after="0"/>
              <w:jc w:val="center"/>
            </w:pPr>
            <w:r>
              <w:rPr>
                <w:color w:val="222222"/>
                <w:sz w:val="17"/>
              </w:rPr>
              <w:t>Customer Success</w:t>
            </w:r>
          </w:p>
        </w:tc>
      </w:tr>
      <w:tr>
        <w:tc>
          <w:tcPr>
            <w:tcW w:type="dxa" w:w="1152"/>
            <w:tcMar>
              <w:top w:w="88" w:type="dxa"/>
              <w:start w:w="84" w:type="dxa"/>
              <w:bottom w:w="88" w:type="dxa"/>
              <w:end w:w="84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color w:val="222222"/>
                <w:sz w:val="17"/>
              </w:rPr>
              <w:t>PR-28</w:t>
            </w:r>
          </w:p>
        </w:tc>
        <w:tc>
          <w:tcPr>
            <w:tcW w:type="dxa" w:w="3528"/>
            <w:tcMar>
              <w:top w:w="88" w:type="dxa"/>
              <w:start w:w="84" w:type="dxa"/>
              <w:bottom w:w="88" w:type="dxa"/>
              <w:end w:w="84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color w:val="222222"/>
                <w:sz w:val="17"/>
              </w:rPr>
              <w:t>Telemetry event schema is not yet final, which blocks adoption dashboard configuration.</w:t>
            </w:r>
          </w:p>
        </w:tc>
        <w:tc>
          <w:tcPr>
            <w:tcW w:type="dxa" w:w="1152"/>
            <w:tcMar>
              <w:top w:w="88" w:type="dxa"/>
              <w:start w:w="84" w:type="dxa"/>
              <w:bottom w:w="88" w:type="dxa"/>
              <w:end w:w="84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color w:val="222222"/>
                <w:sz w:val="17"/>
              </w:rPr>
              <w:t>High</w:t>
            </w:r>
          </w:p>
        </w:tc>
        <w:tc>
          <w:tcPr>
            <w:tcW w:type="dxa" w:w="2232"/>
            <w:tcMar>
              <w:top w:w="88" w:type="dxa"/>
              <w:start w:w="84" w:type="dxa"/>
              <w:bottom w:w="88" w:type="dxa"/>
              <w:end w:w="84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color w:val="222222"/>
                <w:sz w:val="17"/>
              </w:rPr>
              <w:t>Device onboarding UX refresh</w:t>
            </w:r>
          </w:p>
        </w:tc>
        <w:tc>
          <w:tcPr>
            <w:tcW w:type="dxa" w:w="2664"/>
            <w:tcMar>
              <w:top w:w="88" w:type="dxa"/>
              <w:start w:w="84" w:type="dxa"/>
              <w:bottom w:w="88" w:type="dxa"/>
              <w:end w:w="84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color w:val="222222"/>
                <w:sz w:val="17"/>
              </w:rPr>
              <w:t>Freeze metric definitions before UAT exit.</w:t>
            </w:r>
          </w:p>
        </w:tc>
        <w:tc>
          <w:tcPr>
            <w:tcW w:type="dxa" w:w="1296"/>
            <w:tcMar>
              <w:top w:w="88" w:type="dxa"/>
              <w:start w:w="84" w:type="dxa"/>
              <w:bottom w:w="88" w:type="dxa"/>
              <w:end w:w="84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color w:val="222222"/>
                <w:sz w:val="17"/>
              </w:rPr>
              <w:t>Product Ops</w:t>
            </w:r>
          </w:p>
        </w:tc>
      </w:tr>
      <w:tr>
        <w:tc>
          <w:tcPr>
            <w:tcW w:type="dxa" w:w="1152"/>
            <w:tcMar>
              <w:top w:w="88" w:type="dxa"/>
              <w:start w:w="84" w:type="dxa"/>
              <w:bottom w:w="88" w:type="dxa"/>
              <w:end w:w="84" w:type="dxa"/>
            </w:tcMar>
            <w:shd w:fill="F8FBFD"/>
            <w:vAlign w:val="center"/>
          </w:tcPr>
          <w:p>
            <w:pPr>
              <w:spacing w:after="0"/>
              <w:jc w:val="center"/>
            </w:pPr>
            <w:r>
              <w:rPr>
                <w:color w:val="222222"/>
                <w:sz w:val="17"/>
              </w:rPr>
              <w:t>PR-31</w:t>
            </w:r>
          </w:p>
        </w:tc>
        <w:tc>
          <w:tcPr>
            <w:tcW w:type="dxa" w:w="3528"/>
            <w:tcMar>
              <w:top w:w="88" w:type="dxa"/>
              <w:start w:w="84" w:type="dxa"/>
              <w:bottom w:w="88" w:type="dxa"/>
              <w:end w:w="84" w:type="dxa"/>
            </w:tcMar>
            <w:shd w:fill="F8FBFD"/>
            <w:vAlign w:val="center"/>
          </w:tcPr>
          <w:p>
            <w:pPr>
              <w:spacing w:after="0"/>
              <w:jc w:val="left"/>
            </w:pPr>
            <w:r>
              <w:rPr>
                <w:color w:val="222222"/>
                <w:sz w:val="17"/>
              </w:rPr>
              <w:t>Sales demo environment refresh overlaps with launch training window.</w:t>
            </w:r>
          </w:p>
        </w:tc>
        <w:tc>
          <w:tcPr>
            <w:tcW w:type="dxa" w:w="1152"/>
            <w:tcMar>
              <w:top w:w="88" w:type="dxa"/>
              <w:start w:w="84" w:type="dxa"/>
              <w:bottom w:w="88" w:type="dxa"/>
              <w:end w:w="84" w:type="dxa"/>
            </w:tcMar>
            <w:shd w:fill="F8FBFD"/>
            <w:vAlign w:val="center"/>
          </w:tcPr>
          <w:p>
            <w:pPr>
              <w:spacing w:after="0"/>
              <w:jc w:val="center"/>
            </w:pPr>
            <w:r>
              <w:rPr>
                <w:color w:val="222222"/>
                <w:sz w:val="17"/>
              </w:rPr>
              <w:t>Low</w:t>
            </w:r>
          </w:p>
        </w:tc>
        <w:tc>
          <w:tcPr>
            <w:tcW w:type="dxa" w:w="2232"/>
            <w:tcMar>
              <w:top w:w="88" w:type="dxa"/>
              <w:start w:w="84" w:type="dxa"/>
              <w:bottom w:w="88" w:type="dxa"/>
              <w:end w:w="84" w:type="dxa"/>
            </w:tcMar>
            <w:shd w:fill="F8FBFD"/>
            <w:vAlign w:val="center"/>
          </w:tcPr>
          <w:p>
            <w:pPr>
              <w:spacing w:after="0"/>
              <w:jc w:val="left"/>
            </w:pPr>
            <w:r>
              <w:rPr>
                <w:color w:val="222222"/>
                <w:sz w:val="17"/>
              </w:rPr>
              <w:t>Device onboarding UX refresh</w:t>
            </w:r>
          </w:p>
        </w:tc>
        <w:tc>
          <w:tcPr>
            <w:tcW w:type="dxa" w:w="2664"/>
            <w:tcMar>
              <w:top w:w="88" w:type="dxa"/>
              <w:start w:w="84" w:type="dxa"/>
              <w:bottom w:w="88" w:type="dxa"/>
              <w:end w:w="84" w:type="dxa"/>
            </w:tcMar>
            <w:shd w:fill="F8FBFD"/>
            <w:vAlign w:val="center"/>
          </w:tcPr>
          <w:p>
            <w:pPr>
              <w:spacing w:after="0"/>
              <w:jc w:val="left"/>
            </w:pPr>
            <w:r>
              <w:rPr>
                <w:color w:val="222222"/>
                <w:sz w:val="17"/>
              </w:rPr>
              <w:t>Publish staggered enablement schedule.</w:t>
            </w:r>
          </w:p>
        </w:tc>
        <w:tc>
          <w:tcPr>
            <w:tcW w:type="dxa" w:w="1296"/>
            <w:tcMar>
              <w:top w:w="88" w:type="dxa"/>
              <w:start w:w="84" w:type="dxa"/>
              <w:bottom w:w="88" w:type="dxa"/>
              <w:end w:w="84" w:type="dxa"/>
            </w:tcMar>
            <w:shd w:fill="F8FBFD"/>
            <w:vAlign w:val="center"/>
          </w:tcPr>
          <w:p>
            <w:pPr>
              <w:spacing w:after="0"/>
              <w:jc w:val="center"/>
            </w:pPr>
            <w:r>
              <w:rPr>
                <w:color w:val="222222"/>
                <w:sz w:val="17"/>
              </w:rPr>
              <w:t>Sales Enablement</w:t>
            </w:r>
          </w:p>
        </w:tc>
      </w:tr>
    </w:tbl>
    <w:p/>
    <w:p>
      <w:pPr>
        <w:spacing w:before="100" w:after="80"/>
      </w:pPr>
      <w:r>
        <w:rPr>
          <w:rFonts w:ascii="Aptos" w:hAnsi="Aptos"/>
          <w:b/>
          <w:color w:val="1F4E79"/>
          <w:sz w:val="24"/>
        </w:rPr>
        <w:t>Escalation thresholds</w:t>
      </w:r>
    </w:p>
    <w:p>
      <w:pPr>
        <w:pStyle w:val="ListBullet"/>
        <w:spacing w:after="40" w:line="259" w:lineRule="auto"/>
      </w:pPr>
      <w:r>
        <w:rPr>
          <w:rFonts w:ascii="Aptos" w:hAnsi="Aptos"/>
          <w:color w:val="222222"/>
          <w:sz w:val="20"/>
        </w:rPr>
        <w:t>High-severity risks with no credible mitigation by the weekly launch review must be escalated to the PMO governance chair.</w:t>
      </w:r>
    </w:p>
    <w:p>
      <w:pPr>
        <w:pStyle w:val="ListBullet"/>
        <w:spacing w:after="40" w:line="259" w:lineRule="auto"/>
      </w:pPr>
      <w:r>
        <w:rPr>
          <w:rFonts w:ascii="Aptos" w:hAnsi="Aptos"/>
          <w:color w:val="222222"/>
          <w:sz w:val="20"/>
        </w:rPr>
        <w:t>Any dependency that threatens a customer-announced date requires same-day notification to the owning product manager and revenue lead.</w:t>
      </w:r>
    </w:p>
    <w:p>
      <w:pPr>
        <w:pStyle w:val="ListBullet"/>
        <w:spacing w:after="40" w:line="259" w:lineRule="auto"/>
      </w:pPr>
      <w:r>
        <w:rPr>
          <w:rFonts w:ascii="Aptos" w:hAnsi="Aptos"/>
          <w:color w:val="222222"/>
          <w:sz w:val="20"/>
        </w:rPr>
        <w:t>Risks may not be downgraded without evidence that the triggering condition is removed, not merely less visible.</w:t>
      </w:r>
    </w:p>
    <w:p>
      <w:pPr>
        <w:spacing w:before="100" w:after="80"/>
      </w:pPr>
      <w:r>
        <w:rPr>
          <w:rFonts w:ascii="Aptos" w:hAnsi="Aptos"/>
          <w:b/>
          <w:color w:val="1F4E79"/>
          <w:sz w:val="24"/>
        </w:rPr>
        <w:t>Common retrieval phrases</w:t>
      </w:r>
    </w:p>
    <w:p>
      <w:pPr>
        <w:spacing w:after="80" w:line="269" w:lineRule="auto"/>
      </w:pPr>
      <w:r>
        <w:rPr>
          <w:rFonts w:ascii="Aptos" w:hAnsi="Aptos"/>
          <w:color w:val="222222"/>
          <w:sz w:val="20"/>
        </w:rPr>
        <w:t>Useful search cues include dependency risk, affected launch, mitigation owner, portfolio risk register, severity escalation, and weekly launch review.</w:t>
      </w:r>
    </w:p>
    <w:sectPr w:rsidR="00FC693F" w:rsidRPr="0006063C" w:rsidSect="00034616">
      <w:pgSz w:w="12240" w:h="15840"/>
      <w:pgMar w:top="893" w:right="1123" w:bottom="893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