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4E79"/>
          <w:sz w:val="19"/>
        </w:rPr>
        <w:t>OrchestrAI Team Knowledge Base</w:t>
      </w:r>
    </w:p>
    <w:p>
      <w:pPr>
        <w:spacing w:after="40"/>
      </w:pPr>
      <w:r>
        <w:rPr>
          <w:b/>
          <w:color w:val="222222"/>
          <w:sz w:val="38"/>
        </w:rPr>
        <w:t>Sprint Review Brief</w:t>
      </w:r>
    </w:p>
    <w:p>
      <w:pPr>
        <w:spacing w:after="180"/>
      </w:pPr>
      <w:r>
        <w:rPr>
          <w:color w:val="666666"/>
          <w:sz w:val="20"/>
        </w:rPr>
        <w:t>Short briefing template used by Product and PMO to summarize completed work, open risks, and next-step decisions after a sprint review.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Mar>
              <w:top w:w="90" w:type="dxa"/>
              <w:start w:w="110" w:type="dxa"/>
              <w:bottom w:w="90" w:type="dxa"/>
              <w:end w:w="110" w:type="dxa"/>
            </w:tcMar>
            <w:vAlign w:val="center"/>
            <w:shd w:fill="EEF4F8"/>
          </w:tcPr>
          <w:p>
            <w:pPr>
              <w:spacing w:after="0"/>
            </w:pPr>
            <w:r>
              <w:rPr>
                <w:b/>
                <w:color w:val="1F4E79"/>
                <w:sz w:val="17"/>
              </w:rPr>
              <w:t>Document ID</w:t>
              <w:br/>
            </w:r>
            <w:r>
              <w:rPr>
                <w:color w:val="222222"/>
                <w:sz w:val="19"/>
              </w:rPr>
              <w:t>VAL-PROD-005</w:t>
            </w:r>
          </w:p>
        </w:tc>
        <w:tc>
          <w:tcPr>
            <w:tcW w:type="dxa" w:w="2498"/>
            <w:tcMar>
              <w:top w:w="90" w:type="dxa"/>
              <w:start w:w="110" w:type="dxa"/>
              <w:bottom w:w="90" w:type="dxa"/>
              <w:end w:w="110" w:type="dxa"/>
            </w:tcMar>
            <w:vAlign w:val="center"/>
            <w:shd w:fill="FFFFFF"/>
          </w:tcPr>
          <w:p>
            <w:pPr>
              <w:spacing w:after="0"/>
            </w:pPr>
            <w:r>
              <w:rPr>
                <w:b/>
                <w:color w:val="1F4E79"/>
                <w:sz w:val="17"/>
              </w:rPr>
              <w:t>Department</w:t>
              <w:br/>
            </w:r>
            <w:r>
              <w:rPr>
                <w:color w:val="222222"/>
                <w:sz w:val="19"/>
              </w:rPr>
              <w:t>Product &amp; Program Management</w:t>
            </w:r>
          </w:p>
        </w:tc>
        <w:tc>
          <w:tcPr>
            <w:tcW w:type="dxa" w:w="2498"/>
            <w:tcMar>
              <w:top w:w="90" w:type="dxa"/>
              <w:start w:w="110" w:type="dxa"/>
              <w:bottom w:w="90" w:type="dxa"/>
              <w:end w:w="110" w:type="dxa"/>
            </w:tcMar>
            <w:vAlign w:val="center"/>
            <w:shd w:fill="EEF4F8"/>
          </w:tcPr>
          <w:p>
            <w:pPr>
              <w:spacing w:after="0"/>
            </w:pPr>
            <w:r>
              <w:rPr>
                <w:b/>
                <w:color w:val="1F4E79"/>
                <w:sz w:val="17"/>
              </w:rPr>
              <w:t>Owner</w:t>
              <w:br/>
            </w:r>
            <w:r>
              <w:rPr>
                <w:color w:val="222222"/>
                <w:sz w:val="19"/>
              </w:rPr>
              <w:t>Product Operations</w:t>
            </w:r>
          </w:p>
        </w:tc>
        <w:tc>
          <w:tcPr>
            <w:tcW w:type="dxa" w:w="2498"/>
            <w:tcMar>
              <w:top w:w="90" w:type="dxa"/>
              <w:start w:w="110" w:type="dxa"/>
              <w:bottom w:w="90" w:type="dxa"/>
              <w:end w:w="110" w:type="dxa"/>
            </w:tcMar>
            <w:vAlign w:val="center"/>
            <w:shd w:fill="FFFFFF"/>
          </w:tcPr>
          <w:p>
            <w:pPr>
              <w:spacing w:after="0"/>
            </w:pPr>
            <w:r>
              <w:rPr>
                <w:b/>
                <w:color w:val="1F4E79"/>
                <w:sz w:val="17"/>
              </w:rPr>
              <w:t>Version</w:t>
              <w:br/>
            </w:r>
            <w:r>
              <w:rPr>
                <w:color w:val="222222"/>
                <w:sz w:val="19"/>
              </w:rPr>
              <w:t>1.0</w:t>
            </w:r>
          </w:p>
        </w:tc>
      </w:tr>
      <w:tr>
        <w:tc>
          <w:tcPr>
            <w:tcW w:type="dxa" w:w="2498"/>
            <w:tcMar>
              <w:top w:w="90" w:type="dxa"/>
              <w:start w:w="110" w:type="dxa"/>
              <w:bottom w:w="90" w:type="dxa"/>
              <w:end w:w="110" w:type="dxa"/>
            </w:tcMar>
            <w:vAlign w:val="center"/>
            <w:shd w:fill="EEF4F8"/>
          </w:tcPr>
          <w:p>
            <w:pPr>
              <w:spacing w:after="0"/>
            </w:pPr>
            <w:r>
              <w:rPr>
                <w:b/>
                <w:color w:val="1F4E79"/>
                <w:sz w:val="17"/>
              </w:rPr>
              <w:t>Effective Date</w:t>
              <w:br/>
            </w:r>
            <w:r>
              <w:rPr>
                <w:color w:val="222222"/>
                <w:sz w:val="19"/>
              </w:rPr>
              <w:t>2026-03-24</w:t>
            </w:r>
          </w:p>
        </w:tc>
        <w:tc>
          <w:tcPr>
            <w:tcW w:type="dxa" w:w="2498"/>
            <w:tcMar>
              <w:top w:w="90" w:type="dxa"/>
              <w:start w:w="110" w:type="dxa"/>
              <w:bottom w:w="90" w:type="dxa"/>
              <w:end w:w="110" w:type="dxa"/>
            </w:tcMar>
            <w:vAlign w:val="center"/>
            <w:shd w:fill="FFFFFF"/>
          </w:tcPr>
          <w:p>
            <w:pPr>
              <w:spacing w:after="0"/>
            </w:pPr>
            <w:r>
              <w:rPr>
                <w:b/>
                <w:color w:val="1F4E79"/>
                <w:sz w:val="17"/>
              </w:rPr>
              <w:t>Review Cycle</w:t>
              <w:br/>
            </w:r>
            <w:r>
              <w:rPr>
                <w:color w:val="222222"/>
                <w:sz w:val="19"/>
              </w:rPr>
              <w:t>Quarterly</w:t>
            </w:r>
          </w:p>
        </w:tc>
        <w:tc>
          <w:tcPr>
            <w:tcW w:type="dxa" w:w="2498"/>
            <w:tcMar>
              <w:top w:w="90" w:type="dxa"/>
              <w:start w:w="110" w:type="dxa"/>
              <w:bottom w:w="90" w:type="dxa"/>
              <w:end w:w="110" w:type="dxa"/>
            </w:tcMar>
            <w:vAlign w:val="center"/>
            <w:shd w:fill="EEF4F8"/>
          </w:tcPr>
          <w:p>
            <w:pPr>
              <w:spacing w:after="0"/>
            </w:pPr>
            <w:r>
              <w:rPr>
                <w:b/>
                <w:color w:val="1F4E79"/>
                <w:sz w:val="17"/>
              </w:rPr>
              <w:t>Audience</w:t>
              <w:br/>
            </w:r>
            <w:r>
              <w:rPr>
                <w:color w:val="222222"/>
                <w:sz w:val="19"/>
              </w:rPr>
              <w:t>Product, PMO, Engineering, Design, Customer Success</w:t>
            </w:r>
          </w:p>
        </w:tc>
        <w:tc>
          <w:tcPr>
            <w:tcW w:type="dxa" w:w="2498"/>
            <w:tcMar>
              <w:top w:w="90" w:type="dxa"/>
              <w:start w:w="110" w:type="dxa"/>
              <w:bottom w:w="90" w:type="dxa"/>
              <w:end w:w="110" w:type="dxa"/>
            </w:tcMar>
            <w:vAlign w:val="center"/>
            <w:shd w:fill="FFFFFF"/>
          </w:tcPr>
          <w:p>
            <w:pPr>
              <w:spacing w:after="0"/>
            </w:pPr>
            <w:r>
              <w:rPr>
                <w:b/>
                <w:color w:val="1F4E79"/>
                <w:sz w:val="17"/>
              </w:rPr>
              <w:t>Classification</w:t>
              <w:br/>
            </w:r>
            <w:r>
              <w:rPr>
                <w:color w:val="222222"/>
                <w:sz w:val="19"/>
              </w:rPr>
              <w:t>Internal</w:t>
            </w:r>
          </w:p>
        </w:tc>
      </w:tr>
    </w:tbl>
    <w:p/>
    <w:tbl>
      <w:tblPr>
        <w:tblW w:type="auto" w:w="0"/>
        <w:jc w:val="center"/>
        <w:tblLook w:firstColumn="1" w:firstRow="1" w:lastColumn="0" w:lastRow="0" w:noHBand="0" w:noVBand="1" w:val="04A0"/>
      </w:tblPr>
      <w:tblGrid>
        <w:gridCol w:w="9994"/>
      </w:tblGrid>
      <w:tr>
        <w:tc>
          <w:tcPr>
            <w:tcW w:type="dxa" w:w="9994"/>
            <w:shd w:fill="D9E6F2"/>
            <w:tcMar>
              <w:top w:w="125" w:type="dxa"/>
              <w:start w:w="125" w:type="dxa"/>
              <w:bottom w:w="120" w:type="dxa"/>
              <w:end w:w="125" w:type="dxa"/>
            </w:tcMar>
          </w:tcPr>
          <w:p>
            <w:pPr>
              <w:spacing w:after="0" w:line="269" w:lineRule="auto"/>
            </w:pPr>
            <w:r>
              <w:rPr>
                <w:b/>
                <w:color w:val="222222"/>
                <w:sz w:val="20"/>
              </w:rPr>
              <w:t xml:space="preserve">Audience. </w:t>
            </w:r>
            <w:r>
              <w:rPr>
                <w:color w:val="222222"/>
                <w:sz w:val="20"/>
              </w:rPr>
              <w:t>This brief is meant for cross-functional stakeholders who need a concise summary of progress and decisions after a sprint review, without attending the full demo or reading detailed engineering notes.</w:t>
            </w:r>
          </w:p>
        </w:tc>
      </w:tr>
    </w:tbl>
    <w:p/>
    <w:p>
      <w:pPr>
        <w:spacing w:before="100" w:after="80"/>
      </w:pPr>
      <w:r>
        <w:rPr>
          <w:rFonts w:ascii="Aptos" w:hAnsi="Aptos"/>
          <w:b/>
          <w:color w:val="1F4E79"/>
          <w:sz w:val="24"/>
        </w:rPr>
        <w:t>Review summary</w:t>
      </w:r>
    </w:p>
    <w:p>
      <w:pPr>
        <w:spacing w:after="80" w:line="269" w:lineRule="auto"/>
      </w:pPr>
      <w:r>
        <w:rPr>
          <w:rFonts w:ascii="Aptos" w:hAnsi="Aptos"/>
          <w:color w:val="222222"/>
          <w:sz w:val="20"/>
        </w:rPr>
        <w:t>Sprint 14 review covered workflow exception handling, edge-device enrollment improvements, and dashboard filter updates. The team demonstrated all committed stories except one telemetry export task that remains in validation. Stakeholders approved the user flow changes and requested one copy update before launch readiness review.</w:t>
      </w:r>
    </w:p>
    <w:p>
      <w:pPr>
        <w:spacing w:before="100" w:after="80"/>
      </w:pPr>
      <w:r>
        <w:rPr>
          <w:rFonts w:ascii="Aptos" w:hAnsi="Aptos"/>
          <w:b/>
          <w:color w:val="1F4E79"/>
          <w:sz w:val="24"/>
        </w:rPr>
        <w:t>Outcome snapshot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tcMar>
              <w:top w:w="94" w:type="dxa"/>
              <w:start w:w="86" w:type="dxa"/>
              <w:bottom w:w="94" w:type="dxa"/>
              <w:end w:w="86" w:type="dxa"/>
            </w:tcMar>
            <w:shd w:fill="D4E2F1"/>
            <w:vAlign w:val="center"/>
          </w:tcPr>
          <w:p>
            <w:pPr>
              <w:spacing w:after="0"/>
              <w:jc w:val="center"/>
            </w:pPr>
            <w:r>
              <w:rPr>
                <w:b/>
                <w:color w:val="222222"/>
                <w:sz w:val="17"/>
              </w:rPr>
              <w:t>Area</w:t>
            </w:r>
          </w:p>
        </w:tc>
        <w:tc>
          <w:tcPr>
            <w:tcW w:type="dxa" w:w="2160"/>
            <w:tcMar>
              <w:top w:w="94" w:type="dxa"/>
              <w:start w:w="86" w:type="dxa"/>
              <w:bottom w:w="94" w:type="dxa"/>
              <w:end w:w="86" w:type="dxa"/>
            </w:tcMar>
            <w:shd w:fill="D4E2F1"/>
            <w:vAlign w:val="center"/>
          </w:tcPr>
          <w:p>
            <w:pPr>
              <w:spacing w:after="0"/>
              <w:jc w:val="center"/>
            </w:pPr>
            <w:r>
              <w:rPr>
                <w:b/>
                <w:color w:val="222222"/>
                <w:sz w:val="17"/>
              </w:rPr>
              <w:t>Status</w:t>
            </w:r>
          </w:p>
        </w:tc>
        <w:tc>
          <w:tcPr>
            <w:tcW w:type="dxa" w:w="4464"/>
            <w:tcMar>
              <w:top w:w="94" w:type="dxa"/>
              <w:start w:w="86" w:type="dxa"/>
              <w:bottom w:w="94" w:type="dxa"/>
              <w:end w:w="86" w:type="dxa"/>
            </w:tcMar>
            <w:shd w:fill="D4E2F1"/>
            <w:vAlign w:val="center"/>
          </w:tcPr>
          <w:p>
            <w:pPr>
              <w:spacing w:after="0"/>
              <w:jc w:val="center"/>
            </w:pPr>
            <w:r>
              <w:rPr>
                <w:b/>
                <w:color w:val="222222"/>
                <w:sz w:val="17"/>
              </w:rPr>
              <w:t>Notes</w:t>
            </w:r>
          </w:p>
        </w:tc>
      </w:tr>
      <w:tr>
        <w:tc>
          <w:tcPr>
            <w:tcW w:type="dxa" w:w="2592"/>
            <w:tcMar>
              <w:top w:w="88" w:type="dxa"/>
              <w:start w:w="84" w:type="dxa"/>
              <w:bottom w:w="88" w:type="dxa"/>
              <w:end w:w="84" w:type="dxa"/>
            </w:tcMar>
            <w:shd w:fill="F8FBFD"/>
            <w:vAlign w:val="center"/>
          </w:tcPr>
          <w:p>
            <w:pPr>
              <w:spacing w:after="0"/>
              <w:jc w:val="left"/>
            </w:pPr>
            <w:r>
              <w:rPr>
                <w:color w:val="222222"/>
                <w:sz w:val="17"/>
              </w:rPr>
              <w:t>Committed stories completed</w:t>
            </w:r>
          </w:p>
        </w:tc>
        <w:tc>
          <w:tcPr>
            <w:tcW w:type="dxa" w:w="2160"/>
            <w:tcMar>
              <w:top w:w="88" w:type="dxa"/>
              <w:start w:w="84" w:type="dxa"/>
              <w:bottom w:w="88" w:type="dxa"/>
              <w:end w:w="84" w:type="dxa"/>
            </w:tcMar>
            <w:shd w:fill="F8FBFD"/>
            <w:vAlign w:val="center"/>
          </w:tcPr>
          <w:p>
            <w:pPr>
              <w:spacing w:after="0"/>
              <w:jc w:val="center"/>
            </w:pPr>
            <w:r>
              <w:rPr>
                <w:color w:val="222222"/>
                <w:sz w:val="17"/>
              </w:rPr>
              <w:t>11 of 12</w:t>
            </w:r>
          </w:p>
        </w:tc>
        <w:tc>
          <w:tcPr>
            <w:tcW w:type="dxa" w:w="4464"/>
            <w:tcMar>
              <w:top w:w="88" w:type="dxa"/>
              <w:start w:w="84" w:type="dxa"/>
              <w:bottom w:w="88" w:type="dxa"/>
              <w:end w:w="84" w:type="dxa"/>
            </w:tcMar>
            <w:shd w:fill="F8FBFD"/>
            <w:vAlign w:val="center"/>
          </w:tcPr>
          <w:p>
            <w:pPr>
              <w:spacing w:after="0"/>
              <w:jc w:val="left"/>
            </w:pPr>
            <w:r>
              <w:rPr>
                <w:color w:val="222222"/>
                <w:sz w:val="17"/>
              </w:rPr>
              <w:t>One telemetry export story moved to next sprint after test-environment issue.</w:t>
            </w:r>
          </w:p>
        </w:tc>
      </w:tr>
      <w:tr>
        <w:tc>
          <w:tcPr>
            <w:tcW w:type="dxa" w:w="2592"/>
            <w:tcMar>
              <w:top w:w="88" w:type="dxa"/>
              <w:start w:w="84" w:type="dxa"/>
              <w:bottom w:w="88" w:type="dxa"/>
              <w:end w:w="84" w:type="dxa"/>
            </w:tcMar>
            <w:shd w:fill="FFFFFF"/>
            <w:vAlign w:val="center"/>
          </w:tcPr>
          <w:p>
            <w:pPr>
              <w:spacing w:after="0"/>
              <w:jc w:val="left"/>
            </w:pPr>
            <w:r>
              <w:rPr>
                <w:color w:val="222222"/>
                <w:sz w:val="17"/>
              </w:rPr>
              <w:t>Stakeholder decisions</w:t>
            </w:r>
          </w:p>
        </w:tc>
        <w:tc>
          <w:tcPr>
            <w:tcW w:type="dxa" w:w="2160"/>
            <w:tcMar>
              <w:top w:w="88" w:type="dxa"/>
              <w:start w:w="84" w:type="dxa"/>
              <w:bottom w:w="88" w:type="dxa"/>
              <w:end w:w="84" w:type="dxa"/>
            </w:tcMar>
            <w:shd w:fill="FFFFFF"/>
            <w:vAlign w:val="center"/>
          </w:tcPr>
          <w:p>
            <w:pPr>
              <w:spacing w:after="0"/>
              <w:jc w:val="center"/>
            </w:pPr>
            <w:r>
              <w:rPr>
                <w:color w:val="222222"/>
                <w:sz w:val="17"/>
              </w:rPr>
              <w:t>Approved with minor follow-up</w:t>
            </w:r>
          </w:p>
        </w:tc>
        <w:tc>
          <w:tcPr>
            <w:tcW w:type="dxa" w:w="4464"/>
            <w:tcMar>
              <w:top w:w="88" w:type="dxa"/>
              <w:start w:w="84" w:type="dxa"/>
              <w:bottom w:w="88" w:type="dxa"/>
              <w:end w:w="84" w:type="dxa"/>
            </w:tcMar>
            <w:shd w:fill="FFFFFF"/>
            <w:vAlign w:val="center"/>
          </w:tcPr>
          <w:p>
            <w:pPr>
              <w:spacing w:after="0"/>
              <w:jc w:val="left"/>
            </w:pPr>
            <w:r>
              <w:rPr>
                <w:color w:val="222222"/>
                <w:sz w:val="17"/>
              </w:rPr>
              <w:t>Copy update required for onboarding confirmation screen.</w:t>
            </w:r>
          </w:p>
        </w:tc>
      </w:tr>
      <w:tr>
        <w:tc>
          <w:tcPr>
            <w:tcW w:type="dxa" w:w="2592"/>
            <w:tcMar>
              <w:top w:w="88" w:type="dxa"/>
              <w:start w:w="84" w:type="dxa"/>
              <w:bottom w:w="88" w:type="dxa"/>
              <w:end w:w="84" w:type="dxa"/>
            </w:tcMar>
            <w:shd w:fill="F8FBFD"/>
            <w:vAlign w:val="center"/>
          </w:tcPr>
          <w:p>
            <w:pPr>
              <w:spacing w:after="0"/>
              <w:jc w:val="left"/>
            </w:pPr>
            <w:r>
              <w:rPr>
                <w:color w:val="222222"/>
                <w:sz w:val="17"/>
              </w:rPr>
              <w:t>New risks raised</w:t>
            </w:r>
          </w:p>
        </w:tc>
        <w:tc>
          <w:tcPr>
            <w:tcW w:type="dxa" w:w="2160"/>
            <w:tcMar>
              <w:top w:w="88" w:type="dxa"/>
              <w:start w:w="84" w:type="dxa"/>
              <w:bottom w:w="88" w:type="dxa"/>
              <w:end w:w="84" w:type="dxa"/>
            </w:tcMar>
            <w:shd w:fill="F8FBFD"/>
            <w:vAlign w:val="center"/>
          </w:tcPr>
          <w:p>
            <w:pPr>
              <w:spacing w:after="0"/>
              <w:jc w:val="center"/>
            </w:pPr>
            <w:r>
              <w:rPr>
                <w:color w:val="222222"/>
                <w:sz w:val="17"/>
              </w:rPr>
              <w:t>2</w:t>
            </w:r>
          </w:p>
        </w:tc>
        <w:tc>
          <w:tcPr>
            <w:tcW w:type="dxa" w:w="4464"/>
            <w:tcMar>
              <w:top w:w="88" w:type="dxa"/>
              <w:start w:w="84" w:type="dxa"/>
              <w:bottom w:w="88" w:type="dxa"/>
              <w:end w:w="84" w:type="dxa"/>
            </w:tcMar>
            <w:shd w:fill="F8FBFD"/>
            <w:vAlign w:val="center"/>
          </w:tcPr>
          <w:p>
            <w:pPr>
              <w:spacing w:after="0"/>
              <w:jc w:val="left"/>
            </w:pPr>
            <w:r>
              <w:rPr>
                <w:color w:val="222222"/>
                <w:sz w:val="17"/>
              </w:rPr>
              <w:t>Telemetry schema freeze and support macro timing were added to the risk log.</w:t>
            </w:r>
          </w:p>
        </w:tc>
      </w:tr>
      <w:tr>
        <w:tc>
          <w:tcPr>
            <w:tcW w:type="dxa" w:w="2592"/>
            <w:tcMar>
              <w:top w:w="88" w:type="dxa"/>
              <w:start w:w="84" w:type="dxa"/>
              <w:bottom w:w="88" w:type="dxa"/>
              <w:end w:w="84" w:type="dxa"/>
            </w:tcMar>
            <w:shd w:fill="FFFFFF"/>
            <w:vAlign w:val="center"/>
          </w:tcPr>
          <w:p>
            <w:pPr>
              <w:spacing w:after="0"/>
              <w:jc w:val="left"/>
            </w:pPr>
            <w:r>
              <w:rPr>
                <w:color w:val="222222"/>
                <w:sz w:val="17"/>
              </w:rPr>
              <w:t>Customer-facing impact</w:t>
            </w:r>
          </w:p>
        </w:tc>
        <w:tc>
          <w:tcPr>
            <w:tcW w:type="dxa" w:w="2160"/>
            <w:tcMar>
              <w:top w:w="88" w:type="dxa"/>
              <w:start w:w="84" w:type="dxa"/>
              <w:bottom w:w="88" w:type="dxa"/>
              <w:end w:w="84" w:type="dxa"/>
            </w:tcMar>
            <w:shd w:fill="FFFFFF"/>
            <w:vAlign w:val="center"/>
          </w:tcPr>
          <w:p>
            <w:pPr>
              <w:spacing w:after="0"/>
              <w:jc w:val="center"/>
            </w:pPr>
            <w:r>
              <w:rPr>
                <w:color w:val="222222"/>
                <w:sz w:val="17"/>
              </w:rPr>
              <w:t>No immediate date change</w:t>
            </w:r>
          </w:p>
        </w:tc>
        <w:tc>
          <w:tcPr>
            <w:tcW w:type="dxa" w:w="4464"/>
            <w:tcMar>
              <w:top w:w="88" w:type="dxa"/>
              <w:start w:w="84" w:type="dxa"/>
              <w:bottom w:w="88" w:type="dxa"/>
              <w:end w:w="84" w:type="dxa"/>
            </w:tcMar>
            <w:shd w:fill="FFFFFF"/>
            <w:vAlign w:val="center"/>
          </w:tcPr>
          <w:p>
            <w:pPr>
              <w:spacing w:after="0"/>
              <w:jc w:val="left"/>
            </w:pPr>
            <w:r>
              <w:rPr>
                <w:color w:val="222222"/>
                <w:sz w:val="17"/>
              </w:rPr>
              <w:t>Launch target remains unchanged pending next readiness review.</w:t>
            </w:r>
          </w:p>
        </w:tc>
      </w:tr>
    </w:tbl>
    <w:p/>
    <w:p>
      <w:pPr>
        <w:spacing w:before="100" w:after="80"/>
      </w:pPr>
      <w:r>
        <w:rPr>
          <w:rFonts w:ascii="Aptos" w:hAnsi="Aptos"/>
          <w:b/>
          <w:color w:val="1F4E79"/>
          <w:sz w:val="24"/>
        </w:rPr>
        <w:t>Action items before next sprint</w:t>
      </w:r>
    </w:p>
    <w:p>
      <w:pPr>
        <w:pStyle w:val="ListBullet"/>
        <w:spacing w:after="40" w:line="259" w:lineRule="auto"/>
      </w:pPr>
      <w:r>
        <w:rPr>
          <w:rFonts w:ascii="Aptos" w:hAnsi="Aptos"/>
          <w:color w:val="222222"/>
          <w:sz w:val="20"/>
        </w:rPr>
        <w:t>Finalize the telemetry export acceptance criteria with Product Ops and observability engineering.</w:t>
      </w:r>
    </w:p>
    <w:p>
      <w:pPr>
        <w:pStyle w:val="ListBullet"/>
        <w:spacing w:after="40" w:line="259" w:lineRule="auto"/>
      </w:pPr>
      <w:r>
        <w:rPr>
          <w:rFonts w:ascii="Aptos" w:hAnsi="Aptos"/>
          <w:color w:val="222222"/>
          <w:sz w:val="20"/>
        </w:rPr>
        <w:t>Update support macros for the revised enrollment flow and confirm KB publication date.</w:t>
      </w:r>
    </w:p>
    <w:p>
      <w:pPr>
        <w:pStyle w:val="ListBullet"/>
        <w:spacing w:after="40" w:line="259" w:lineRule="auto"/>
      </w:pPr>
      <w:r>
        <w:rPr>
          <w:rFonts w:ascii="Aptos" w:hAnsi="Aptos"/>
          <w:color w:val="222222"/>
          <w:sz w:val="20"/>
        </w:rPr>
        <w:t>Carry forward the copy refinement request into the next sprint backlog with named approval owner.</w:t>
      </w:r>
    </w:p>
    <w:p>
      <w:pPr>
        <w:spacing w:before="100" w:after="80"/>
      </w:pPr>
      <w:r>
        <w:rPr>
          <w:rFonts w:ascii="Aptos" w:hAnsi="Aptos"/>
          <w:b/>
          <w:color w:val="1F4E79"/>
          <w:sz w:val="24"/>
        </w:rPr>
        <w:t>Common retrieval phrases</w:t>
      </w:r>
    </w:p>
    <w:p>
      <w:pPr>
        <w:spacing w:after="80" w:line="269" w:lineRule="auto"/>
      </w:pPr>
      <w:r>
        <w:rPr>
          <w:rFonts w:ascii="Aptos" w:hAnsi="Aptos"/>
          <w:color w:val="222222"/>
          <w:sz w:val="20"/>
        </w:rPr>
        <w:t>Useful search cues include sprint review, demo summary, committed stories, carry-forward item, stakeholder decision, and next-sprint action items.</w:t>
      </w:r>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