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6B7A"/>
          <w:sz w:val="17"/>
        </w:rPr>
        <w:t>ORCHESTRAI INTERNAL KNOWLEDGE BASE</w:t>
      </w:r>
    </w:p>
    <w:p>
      <w:pPr>
        <w:pStyle w:val="Title"/>
      </w:pPr>
      <w:r>
        <w:t>Finance and Procurement Handbook</w:t>
      </w:r>
    </w:p>
    <w:p>
      <w:r>
        <w:rPr>
          <w:b/>
        </w:rPr>
        <w:t xml:space="preserve">Document ID: </w:t>
      </w:r>
      <w:r>
        <w:t xml:space="preserve">TEAMQA-FIN-001   </w:t>
      </w:r>
      <w:r>
        <w:rPr>
          <w:b/>
        </w:rPr>
        <w:t xml:space="preserve">Department: </w:t>
      </w:r>
      <w:r>
        <w:t xml:space="preserve">Finance &amp; Procurement   </w:t>
      </w:r>
      <w:r>
        <w:rPr>
          <w:b/>
        </w:rPr>
        <w:t xml:space="preserve">Confidentiality: </w:t>
      </w:r>
      <w:r>
        <w:t xml:space="preserve">Internal Use Only   </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fill="D9EEF0"/>
            <w:tcMar>
              <w:top w:w="90" w:type="dxa"/>
              <w:start w:w="110" w:type="dxa"/>
              <w:bottom w:w="90" w:type="dxa"/>
              <w:end w:w="110" w:type="dxa"/>
            </w:tcMar>
            <w:vAlign w:val="center"/>
          </w:tcPr>
          <w:p>
            <w:r>
              <w:rPr>
                <w:b/>
              </w:rPr>
              <w:t>Owner</w:t>
            </w:r>
          </w:p>
        </w:tc>
        <w:tc>
          <w:tcPr>
            <w:tcW w:type="dxa" w:w="2469"/>
            <w:tcMar>
              <w:top w:w="90" w:type="dxa"/>
              <w:start w:w="110" w:type="dxa"/>
              <w:bottom w:w="90" w:type="dxa"/>
              <w:end w:w="110" w:type="dxa"/>
            </w:tcMar>
            <w:vAlign w:val="center"/>
          </w:tcPr>
          <w:p>
            <w:r>
              <w:t>Director, Finance Operations</w:t>
            </w:r>
          </w:p>
        </w:tc>
        <w:tc>
          <w:tcPr>
            <w:tcW w:type="dxa" w:w="2469"/>
            <w:shd w:fill="D9EEF0"/>
            <w:tcMar>
              <w:top w:w="90" w:type="dxa"/>
              <w:start w:w="110" w:type="dxa"/>
              <w:bottom w:w="90" w:type="dxa"/>
              <w:end w:w="110" w:type="dxa"/>
            </w:tcMar>
            <w:vAlign w:val="center"/>
          </w:tcPr>
          <w:p>
            <w:r>
              <w:rPr>
                <w:b/>
              </w:rPr>
              <w:t>Version</w:t>
            </w:r>
          </w:p>
        </w:tc>
        <w:tc>
          <w:tcPr>
            <w:tcW w:type="dxa" w:w="2469"/>
            <w:tcMar>
              <w:top w:w="90" w:type="dxa"/>
              <w:start w:w="110" w:type="dxa"/>
              <w:bottom w:w="90" w:type="dxa"/>
              <w:end w:w="110" w:type="dxa"/>
            </w:tcMar>
            <w:vAlign w:val="center"/>
          </w:tcPr>
          <w:p>
            <w:r>
              <w:t>1.0</w:t>
            </w:r>
          </w:p>
        </w:tc>
      </w:tr>
      <w:tr>
        <w:tc>
          <w:tcPr>
            <w:tcW w:type="dxa" w:w="2469"/>
            <w:shd w:fill="D9EEF0"/>
            <w:tcMar>
              <w:top w:w="90" w:type="dxa"/>
              <w:start w:w="110" w:type="dxa"/>
              <w:bottom w:w="90" w:type="dxa"/>
              <w:end w:w="110" w:type="dxa"/>
            </w:tcMar>
            <w:vAlign w:val="center"/>
          </w:tcPr>
          <w:p>
            <w:r>
              <w:rPr>
                <w:b/>
              </w:rPr>
              <w:t>Effective date</w:t>
            </w:r>
          </w:p>
        </w:tc>
        <w:tc>
          <w:tcPr>
            <w:tcW w:type="dxa" w:w="2469"/>
            <w:tcMar>
              <w:top w:w="90" w:type="dxa"/>
              <w:start w:w="110" w:type="dxa"/>
              <w:bottom w:w="90" w:type="dxa"/>
              <w:end w:w="110" w:type="dxa"/>
            </w:tcMar>
            <w:vAlign w:val="center"/>
          </w:tcPr>
          <w:p>
            <w:r>
              <w:t>2026-03-03</w:t>
            </w:r>
          </w:p>
        </w:tc>
        <w:tc>
          <w:tcPr>
            <w:tcW w:type="dxa" w:w="2469"/>
            <w:shd w:fill="D9EEF0"/>
            <w:tcMar>
              <w:top w:w="90" w:type="dxa"/>
              <w:start w:w="110" w:type="dxa"/>
              <w:bottom w:w="90" w:type="dxa"/>
              <w:end w:w="110" w:type="dxa"/>
            </w:tcMar>
            <w:vAlign w:val="center"/>
          </w:tcPr>
          <w:p>
            <w:r>
              <w:rPr>
                <w:b/>
              </w:rPr>
              <w:t>Review date</w:t>
            </w:r>
          </w:p>
        </w:tc>
        <w:tc>
          <w:tcPr>
            <w:tcW w:type="dxa" w:w="2469"/>
            <w:tcMar>
              <w:top w:w="90" w:type="dxa"/>
              <w:start w:w="110" w:type="dxa"/>
              <w:bottom w:w="90" w:type="dxa"/>
              <w:end w:w="110" w:type="dxa"/>
            </w:tcMar>
            <w:vAlign w:val="center"/>
          </w:tcPr>
          <w:p>
            <w:r>
              <w:t>2026-09-03</w:t>
            </w:r>
          </w:p>
        </w:tc>
      </w:tr>
      <w:tr>
        <w:tc>
          <w:tcPr>
            <w:tcW w:type="dxa" w:w="2469"/>
            <w:shd w:fill="D9EEF0"/>
            <w:tcMar>
              <w:top w:w="90" w:type="dxa"/>
              <w:start w:w="110" w:type="dxa"/>
              <w:bottom w:w="90" w:type="dxa"/>
              <w:end w:w="110" w:type="dxa"/>
            </w:tcMar>
            <w:vAlign w:val="center"/>
          </w:tcPr>
          <w:p>
            <w:r>
              <w:rPr>
                <w:b/>
              </w:rPr>
              <w:t>Primary systems</w:t>
            </w:r>
          </w:p>
        </w:tc>
        <w:tc>
          <w:tcPr>
            <w:tcW w:type="dxa" w:w="2469"/>
            <w:tcMar>
              <w:top w:w="90" w:type="dxa"/>
              <w:start w:w="110" w:type="dxa"/>
              <w:bottom w:w="90" w:type="dxa"/>
              <w:end w:w="110" w:type="dxa"/>
            </w:tcMar>
            <w:vAlign w:val="center"/>
          </w:tcPr>
          <w:p>
            <w:r>
              <w:t>LedgerFlow, ProcurePath, AtlasCRM Finance workspace</w:t>
            </w:r>
          </w:p>
        </w:tc>
        <w:tc>
          <w:tcPr>
            <w:tcW w:type="dxa" w:w="2469"/>
            <w:shd w:fill="D9EEF0"/>
            <w:tcMar>
              <w:top w:w="90" w:type="dxa"/>
              <w:start w:w="110" w:type="dxa"/>
              <w:bottom w:w="90" w:type="dxa"/>
              <w:end w:w="110" w:type="dxa"/>
            </w:tcMar>
            <w:vAlign w:val="center"/>
          </w:tcPr>
          <w:p>
            <w:r>
              <w:rPr>
                <w:b/>
              </w:rPr>
              <w:t>Related teams</w:t>
            </w:r>
          </w:p>
        </w:tc>
        <w:tc>
          <w:tcPr>
            <w:tcW w:type="dxa" w:w="2469"/>
            <w:tcMar>
              <w:top w:w="90" w:type="dxa"/>
              <w:start w:w="110" w:type="dxa"/>
              <w:bottom w:w="90" w:type="dxa"/>
              <w:end w:w="110" w:type="dxa"/>
            </w:tcMar>
            <w:vAlign w:val="center"/>
          </w:tcPr>
          <w:p>
            <w:r>
              <w:t>Sales, HR, Logistics, Security</w:t>
            </w:r>
          </w:p>
        </w:tc>
      </w:tr>
    </w:tbl>
    <w:p>
      <w:r>
        <w:t>Purpose: This handbook explains how OrchestrAI manages purchasing controls, vendor onboarding, invoice and expense workflows, budget stewardship, and finance-operating routines that support both software and hardware-enabled operations.</w:t>
      </w:r>
    </w:p>
    <w:p>
      <w:pPr>
        <w:pStyle w:val="Heading1"/>
      </w:pPr>
      <w:r>
        <w:t>Function scope and operating principles</w:t>
      </w:r>
    </w:p>
    <w:p>
      <w:r>
        <w:t>Finance and Procurement at OrchestrAI owns spend controls, purchase-order governance, vendor setup, reimbursement policy administration, month-end readiness, and reporting support for cross-functional teams. The function works closely with Sales on pricing and margin exceptions, with Logistics on hardware purchasing and returns, with HR on payroll-impacting changes, and with Security on vendor-risk checkpoints.</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fill="EAF7F8"/>
            <w:tcMar>
              <w:top w:w="90" w:type="dxa"/>
              <w:start w:w="110" w:type="dxa"/>
              <w:bottom w:w="90" w:type="dxa"/>
              <w:end w:w="110" w:type="dxa"/>
            </w:tcMar>
          </w:tcPr>
          <w:p>
            <w:r>
              <w:rPr>
                <w:b/>
              </w:rPr>
              <w:t>Function</w:t>
            </w:r>
          </w:p>
        </w:tc>
        <w:tc>
          <w:tcPr>
            <w:tcW w:type="dxa" w:w="2469"/>
            <w:shd w:fill="EAF7F8"/>
            <w:tcMar>
              <w:top w:w="90" w:type="dxa"/>
              <w:start w:w="110" w:type="dxa"/>
              <w:bottom w:w="90" w:type="dxa"/>
              <w:end w:w="110" w:type="dxa"/>
            </w:tcMar>
          </w:tcPr>
          <w:p>
            <w:r>
              <w:rPr>
                <w:b/>
              </w:rPr>
              <w:t>Primary responsibility</w:t>
            </w:r>
          </w:p>
        </w:tc>
        <w:tc>
          <w:tcPr>
            <w:tcW w:type="dxa" w:w="2469"/>
            <w:shd w:fill="EAF7F8"/>
            <w:tcMar>
              <w:top w:w="90" w:type="dxa"/>
              <w:start w:w="110" w:type="dxa"/>
              <w:bottom w:w="90" w:type="dxa"/>
              <w:end w:w="110" w:type="dxa"/>
            </w:tcMar>
          </w:tcPr>
          <w:p>
            <w:r>
              <w:rPr>
                <w:b/>
              </w:rPr>
              <w:t>Main system</w:t>
            </w:r>
          </w:p>
        </w:tc>
        <w:tc>
          <w:tcPr>
            <w:tcW w:type="dxa" w:w="2469"/>
            <w:shd w:fill="EAF7F8"/>
            <w:tcMar>
              <w:top w:w="90" w:type="dxa"/>
              <w:start w:w="110" w:type="dxa"/>
              <w:bottom w:w="90" w:type="dxa"/>
              <w:end w:w="110" w:type="dxa"/>
            </w:tcMar>
          </w:tcPr>
          <w:p>
            <w:r>
              <w:rPr>
                <w:b/>
              </w:rPr>
              <w:t>Common escalation</w:t>
            </w:r>
          </w:p>
        </w:tc>
      </w:tr>
      <w:tr>
        <w:tc>
          <w:tcPr>
            <w:tcW w:type="dxa" w:w="2469"/>
            <w:tcMar>
              <w:top w:w="90" w:type="dxa"/>
              <w:start w:w="110" w:type="dxa"/>
              <w:bottom w:w="90" w:type="dxa"/>
              <w:end w:w="110" w:type="dxa"/>
            </w:tcMar>
          </w:tcPr>
          <w:p>
            <w:r>
              <w:t>Procurement operations</w:t>
            </w:r>
          </w:p>
        </w:tc>
        <w:tc>
          <w:tcPr>
            <w:tcW w:type="dxa" w:w="2469"/>
            <w:tcMar>
              <w:top w:w="90" w:type="dxa"/>
              <w:start w:w="110" w:type="dxa"/>
              <w:bottom w:w="90" w:type="dxa"/>
              <w:end w:w="110" w:type="dxa"/>
            </w:tcMar>
          </w:tcPr>
          <w:p>
            <w:r>
              <w:t>PO creation, approval routing, and vendor readiness checks</w:t>
            </w:r>
          </w:p>
        </w:tc>
        <w:tc>
          <w:tcPr>
            <w:tcW w:type="dxa" w:w="2469"/>
            <w:tcMar>
              <w:top w:w="90" w:type="dxa"/>
              <w:start w:w="110" w:type="dxa"/>
              <w:bottom w:w="90" w:type="dxa"/>
              <w:end w:w="110" w:type="dxa"/>
            </w:tcMar>
          </w:tcPr>
          <w:p>
            <w:r>
              <w:t>ProcurePath</w:t>
            </w:r>
          </w:p>
        </w:tc>
        <w:tc>
          <w:tcPr>
            <w:tcW w:type="dxa" w:w="2469"/>
            <w:tcMar>
              <w:top w:w="90" w:type="dxa"/>
              <w:start w:w="110" w:type="dxa"/>
              <w:bottom w:w="90" w:type="dxa"/>
              <w:end w:w="110" w:type="dxa"/>
            </w:tcMar>
          </w:tcPr>
          <w:p>
            <w:r>
              <w:t>Missing approvals or incomplete vendor record</w:t>
            </w:r>
          </w:p>
        </w:tc>
      </w:tr>
      <w:tr>
        <w:tc>
          <w:tcPr>
            <w:tcW w:type="dxa" w:w="2469"/>
            <w:tcMar>
              <w:top w:w="90" w:type="dxa"/>
              <w:start w:w="110" w:type="dxa"/>
              <w:bottom w:w="90" w:type="dxa"/>
              <w:end w:w="110" w:type="dxa"/>
            </w:tcMar>
          </w:tcPr>
          <w:p>
            <w:r>
              <w:t>Accounts payable</w:t>
            </w:r>
          </w:p>
        </w:tc>
        <w:tc>
          <w:tcPr>
            <w:tcW w:type="dxa" w:w="2469"/>
            <w:tcMar>
              <w:top w:w="90" w:type="dxa"/>
              <w:start w:w="110" w:type="dxa"/>
              <w:bottom w:w="90" w:type="dxa"/>
              <w:end w:w="110" w:type="dxa"/>
            </w:tcMar>
          </w:tcPr>
          <w:p>
            <w:r>
              <w:t>Invoice intake, matching, payment scheduling, and exception handling</w:t>
            </w:r>
          </w:p>
        </w:tc>
        <w:tc>
          <w:tcPr>
            <w:tcW w:type="dxa" w:w="2469"/>
            <w:tcMar>
              <w:top w:w="90" w:type="dxa"/>
              <w:start w:w="110" w:type="dxa"/>
              <w:bottom w:w="90" w:type="dxa"/>
              <w:end w:w="110" w:type="dxa"/>
            </w:tcMar>
          </w:tcPr>
          <w:p>
            <w:r>
              <w:t>LedgerFlow</w:t>
            </w:r>
          </w:p>
        </w:tc>
        <w:tc>
          <w:tcPr>
            <w:tcW w:type="dxa" w:w="2469"/>
            <w:tcMar>
              <w:top w:w="90" w:type="dxa"/>
              <w:start w:w="110" w:type="dxa"/>
              <w:bottom w:w="90" w:type="dxa"/>
              <w:end w:w="110" w:type="dxa"/>
            </w:tcMar>
          </w:tcPr>
          <w:p>
            <w:r>
              <w:t>Invoice mismatch or urgent payment request</w:t>
            </w:r>
          </w:p>
        </w:tc>
      </w:tr>
      <w:tr>
        <w:tc>
          <w:tcPr>
            <w:tcW w:type="dxa" w:w="2469"/>
            <w:tcMar>
              <w:top w:w="90" w:type="dxa"/>
              <w:start w:w="110" w:type="dxa"/>
              <w:bottom w:w="90" w:type="dxa"/>
              <w:end w:w="110" w:type="dxa"/>
            </w:tcMar>
          </w:tcPr>
          <w:p>
            <w:r>
              <w:t>Expense administration</w:t>
            </w:r>
          </w:p>
        </w:tc>
        <w:tc>
          <w:tcPr>
            <w:tcW w:type="dxa" w:w="2469"/>
            <w:tcMar>
              <w:top w:w="90" w:type="dxa"/>
              <w:start w:w="110" w:type="dxa"/>
              <w:bottom w:w="90" w:type="dxa"/>
              <w:end w:w="110" w:type="dxa"/>
            </w:tcMar>
          </w:tcPr>
          <w:p>
            <w:r>
              <w:t>Employee reimbursement policy and audit review</w:t>
            </w:r>
          </w:p>
        </w:tc>
        <w:tc>
          <w:tcPr>
            <w:tcW w:type="dxa" w:w="2469"/>
            <w:tcMar>
              <w:top w:w="90" w:type="dxa"/>
              <w:start w:w="110" w:type="dxa"/>
              <w:bottom w:w="90" w:type="dxa"/>
              <w:end w:w="110" w:type="dxa"/>
            </w:tcMar>
          </w:tcPr>
          <w:p>
            <w:r>
              <w:t>LedgerFlow</w:t>
            </w:r>
          </w:p>
        </w:tc>
        <w:tc>
          <w:tcPr>
            <w:tcW w:type="dxa" w:w="2469"/>
            <w:tcMar>
              <w:top w:w="90" w:type="dxa"/>
              <w:start w:w="110" w:type="dxa"/>
              <w:bottom w:w="90" w:type="dxa"/>
              <w:end w:w="110" w:type="dxa"/>
            </w:tcMar>
          </w:tcPr>
          <w:p>
            <w:r>
              <w:t>Out-of-policy spend or missing receipts</w:t>
            </w:r>
          </w:p>
        </w:tc>
      </w:tr>
      <w:tr>
        <w:tc>
          <w:tcPr>
            <w:tcW w:type="dxa" w:w="2469"/>
            <w:tcMar>
              <w:top w:w="90" w:type="dxa"/>
              <w:start w:w="110" w:type="dxa"/>
              <w:bottom w:w="90" w:type="dxa"/>
              <w:end w:w="110" w:type="dxa"/>
            </w:tcMar>
          </w:tcPr>
          <w:p>
            <w:r>
              <w:t>Finance operations</w:t>
            </w:r>
          </w:p>
        </w:tc>
        <w:tc>
          <w:tcPr>
            <w:tcW w:type="dxa" w:w="2469"/>
            <w:tcMar>
              <w:top w:w="90" w:type="dxa"/>
              <w:start w:w="110" w:type="dxa"/>
              <w:bottom w:w="90" w:type="dxa"/>
              <w:end w:w="110" w:type="dxa"/>
            </w:tcMar>
          </w:tcPr>
          <w:p>
            <w:r>
              <w:t>Close readiness, accrual coordination, budget reporting</w:t>
            </w:r>
          </w:p>
        </w:tc>
        <w:tc>
          <w:tcPr>
            <w:tcW w:type="dxa" w:w="2469"/>
            <w:tcMar>
              <w:top w:w="90" w:type="dxa"/>
              <w:start w:w="110" w:type="dxa"/>
              <w:bottom w:w="90" w:type="dxa"/>
              <w:end w:w="110" w:type="dxa"/>
            </w:tcMar>
          </w:tcPr>
          <w:p>
            <w:r>
              <w:t>LedgerFlow + Finance workspace</w:t>
            </w:r>
          </w:p>
        </w:tc>
        <w:tc>
          <w:tcPr>
            <w:tcW w:type="dxa" w:w="2469"/>
            <w:tcMar>
              <w:top w:w="90" w:type="dxa"/>
              <w:start w:w="110" w:type="dxa"/>
              <w:bottom w:w="90" w:type="dxa"/>
              <w:end w:w="110" w:type="dxa"/>
            </w:tcMar>
          </w:tcPr>
          <w:p>
            <w:r>
              <w:t>Period-end blockers or material variances</w:t>
            </w:r>
          </w:p>
        </w:tc>
      </w:tr>
    </w:tbl>
    <w:p>
      <w:pPr>
        <w:pStyle w:val="Heading1"/>
      </w:pPr>
      <w:r>
        <w:t>Standard procurement-to-payment workflow</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1976"/>
            <w:shd w:fill="EAF7F8"/>
            <w:tcMar>
              <w:top w:w="90" w:type="dxa"/>
              <w:start w:w="110" w:type="dxa"/>
              <w:bottom w:w="90" w:type="dxa"/>
              <w:end w:w="110" w:type="dxa"/>
            </w:tcMar>
          </w:tcPr>
          <w:p>
            <w:r>
              <w:rPr>
                <w:b/>
              </w:rPr>
              <w:t>Stage</w:t>
            </w:r>
          </w:p>
        </w:tc>
        <w:tc>
          <w:tcPr>
            <w:tcW w:type="dxa" w:w="1976"/>
            <w:shd w:fill="EAF7F8"/>
            <w:tcMar>
              <w:top w:w="90" w:type="dxa"/>
              <w:start w:w="110" w:type="dxa"/>
              <w:bottom w:w="90" w:type="dxa"/>
              <w:end w:w="110" w:type="dxa"/>
            </w:tcMar>
          </w:tcPr>
          <w:p>
            <w:r>
              <w:rPr>
                <w:b/>
              </w:rPr>
              <w:t>Trigger</w:t>
            </w:r>
          </w:p>
        </w:tc>
        <w:tc>
          <w:tcPr>
            <w:tcW w:type="dxa" w:w="1976"/>
            <w:shd w:fill="EAF7F8"/>
            <w:tcMar>
              <w:top w:w="90" w:type="dxa"/>
              <w:start w:w="110" w:type="dxa"/>
              <w:bottom w:w="90" w:type="dxa"/>
              <w:end w:w="110" w:type="dxa"/>
            </w:tcMar>
          </w:tcPr>
          <w:p>
            <w:r>
              <w:rPr>
                <w:b/>
              </w:rPr>
              <w:t>Primary owner</w:t>
            </w:r>
          </w:p>
        </w:tc>
        <w:tc>
          <w:tcPr>
            <w:tcW w:type="dxa" w:w="1976"/>
            <w:shd w:fill="EAF7F8"/>
            <w:tcMar>
              <w:top w:w="90" w:type="dxa"/>
              <w:start w:w="110" w:type="dxa"/>
              <w:bottom w:w="90" w:type="dxa"/>
              <w:end w:w="110" w:type="dxa"/>
            </w:tcMar>
          </w:tcPr>
          <w:p>
            <w:r>
              <w:rPr>
                <w:b/>
              </w:rPr>
              <w:t>Required outputs</w:t>
            </w:r>
          </w:p>
        </w:tc>
        <w:tc>
          <w:tcPr>
            <w:tcW w:type="dxa" w:w="1976"/>
            <w:shd w:fill="EAF7F8"/>
            <w:tcMar>
              <w:top w:w="90" w:type="dxa"/>
              <w:start w:w="110" w:type="dxa"/>
              <w:bottom w:w="90" w:type="dxa"/>
              <w:end w:w="110" w:type="dxa"/>
            </w:tcMar>
          </w:tcPr>
          <w:p>
            <w:r>
              <w:rPr>
                <w:b/>
              </w:rPr>
              <w:t>Escalate when</w:t>
            </w:r>
          </w:p>
        </w:tc>
      </w:tr>
      <w:tr>
        <w:tc>
          <w:tcPr>
            <w:tcW w:type="dxa" w:w="1976"/>
            <w:tcMar>
              <w:top w:w="90" w:type="dxa"/>
              <w:start w:w="110" w:type="dxa"/>
              <w:bottom w:w="90" w:type="dxa"/>
              <w:end w:w="110" w:type="dxa"/>
            </w:tcMar>
          </w:tcPr>
          <w:p>
            <w:r>
              <w:t>Request intake</w:t>
            </w:r>
          </w:p>
        </w:tc>
        <w:tc>
          <w:tcPr>
            <w:tcW w:type="dxa" w:w="1976"/>
            <w:tcMar>
              <w:top w:w="90" w:type="dxa"/>
              <w:start w:w="110" w:type="dxa"/>
              <w:bottom w:w="90" w:type="dxa"/>
              <w:end w:w="110" w:type="dxa"/>
            </w:tcMar>
          </w:tcPr>
          <w:p>
            <w:r>
              <w:t>Business need and cost-center owner identified</w:t>
            </w:r>
          </w:p>
        </w:tc>
        <w:tc>
          <w:tcPr>
            <w:tcW w:type="dxa" w:w="1976"/>
            <w:tcMar>
              <w:top w:w="90" w:type="dxa"/>
              <w:start w:w="110" w:type="dxa"/>
              <w:bottom w:w="90" w:type="dxa"/>
              <w:end w:w="110" w:type="dxa"/>
            </w:tcMar>
          </w:tcPr>
          <w:p>
            <w:r>
              <w:t>Requester + manager</w:t>
            </w:r>
          </w:p>
        </w:tc>
        <w:tc>
          <w:tcPr>
            <w:tcW w:type="dxa" w:w="1976"/>
            <w:tcMar>
              <w:top w:w="90" w:type="dxa"/>
              <w:start w:w="110" w:type="dxa"/>
              <w:bottom w:w="90" w:type="dxa"/>
              <w:end w:w="110" w:type="dxa"/>
            </w:tcMar>
          </w:tcPr>
          <w:p>
            <w:r>
              <w:t>Approved request record</w:t>
            </w:r>
          </w:p>
        </w:tc>
        <w:tc>
          <w:tcPr>
            <w:tcW w:type="dxa" w:w="1976"/>
            <w:tcMar>
              <w:top w:w="90" w:type="dxa"/>
              <w:start w:w="110" w:type="dxa"/>
              <w:bottom w:w="90" w:type="dxa"/>
              <w:end w:w="110" w:type="dxa"/>
            </w:tcMar>
          </w:tcPr>
          <w:p>
            <w:r>
              <w:t>Request lacks budget owner or business purpose</w:t>
            </w:r>
          </w:p>
        </w:tc>
      </w:tr>
      <w:tr>
        <w:tc>
          <w:tcPr>
            <w:tcW w:type="dxa" w:w="1976"/>
            <w:tcMar>
              <w:top w:w="90" w:type="dxa"/>
              <w:start w:w="110" w:type="dxa"/>
              <w:bottom w:w="90" w:type="dxa"/>
              <w:end w:w="110" w:type="dxa"/>
            </w:tcMar>
          </w:tcPr>
          <w:p>
            <w:r>
              <w:t>Vendor readiness</w:t>
            </w:r>
          </w:p>
        </w:tc>
        <w:tc>
          <w:tcPr>
            <w:tcW w:type="dxa" w:w="1976"/>
            <w:tcMar>
              <w:top w:w="90" w:type="dxa"/>
              <w:start w:w="110" w:type="dxa"/>
              <w:bottom w:w="90" w:type="dxa"/>
              <w:end w:w="110" w:type="dxa"/>
            </w:tcMar>
          </w:tcPr>
          <w:p>
            <w:r>
              <w:t>Supplier selected and documentation requested</w:t>
            </w:r>
          </w:p>
        </w:tc>
        <w:tc>
          <w:tcPr>
            <w:tcW w:type="dxa" w:w="1976"/>
            <w:tcMar>
              <w:top w:w="90" w:type="dxa"/>
              <w:start w:w="110" w:type="dxa"/>
              <w:bottom w:w="90" w:type="dxa"/>
              <w:end w:w="110" w:type="dxa"/>
            </w:tcMar>
          </w:tcPr>
          <w:p>
            <w:r>
              <w:t>Procurement operations</w:t>
            </w:r>
          </w:p>
        </w:tc>
        <w:tc>
          <w:tcPr>
            <w:tcW w:type="dxa" w:w="1976"/>
            <w:tcMar>
              <w:top w:w="90" w:type="dxa"/>
              <w:start w:w="110" w:type="dxa"/>
              <w:bottom w:w="90" w:type="dxa"/>
              <w:end w:w="110" w:type="dxa"/>
            </w:tcMar>
          </w:tcPr>
          <w:p>
            <w:r>
              <w:t>Vendor profile, tax forms, banking review</w:t>
            </w:r>
          </w:p>
        </w:tc>
        <w:tc>
          <w:tcPr>
            <w:tcW w:type="dxa" w:w="1976"/>
            <w:tcMar>
              <w:top w:w="90" w:type="dxa"/>
              <w:start w:w="110" w:type="dxa"/>
              <w:bottom w:w="90" w:type="dxa"/>
              <w:end w:w="110" w:type="dxa"/>
            </w:tcMar>
          </w:tcPr>
          <w:p>
            <w:r>
              <w:t>Security or compliance review is incomplete</w:t>
            </w:r>
          </w:p>
        </w:tc>
      </w:tr>
      <w:tr>
        <w:tc>
          <w:tcPr>
            <w:tcW w:type="dxa" w:w="1976"/>
            <w:tcMar>
              <w:top w:w="90" w:type="dxa"/>
              <w:start w:w="110" w:type="dxa"/>
              <w:bottom w:w="90" w:type="dxa"/>
              <w:end w:w="110" w:type="dxa"/>
            </w:tcMar>
          </w:tcPr>
          <w:p>
            <w:r>
              <w:t>PO approval</w:t>
            </w:r>
          </w:p>
        </w:tc>
        <w:tc>
          <w:tcPr>
            <w:tcW w:type="dxa" w:w="1976"/>
            <w:tcMar>
              <w:top w:w="90" w:type="dxa"/>
              <w:start w:w="110" w:type="dxa"/>
              <w:bottom w:w="90" w:type="dxa"/>
              <w:end w:w="110" w:type="dxa"/>
            </w:tcMar>
          </w:tcPr>
          <w:p>
            <w:r>
              <w:t>Spend requires formal purchase order</w:t>
            </w:r>
          </w:p>
        </w:tc>
        <w:tc>
          <w:tcPr>
            <w:tcW w:type="dxa" w:w="1976"/>
            <w:tcMar>
              <w:top w:w="90" w:type="dxa"/>
              <w:start w:w="110" w:type="dxa"/>
              <w:bottom w:w="90" w:type="dxa"/>
              <w:end w:w="110" w:type="dxa"/>
            </w:tcMar>
          </w:tcPr>
          <w:p>
            <w:r>
              <w:t>Procurement approver</w:t>
            </w:r>
          </w:p>
        </w:tc>
        <w:tc>
          <w:tcPr>
            <w:tcW w:type="dxa" w:w="1976"/>
            <w:tcMar>
              <w:top w:w="90" w:type="dxa"/>
              <w:start w:w="110" w:type="dxa"/>
              <w:bottom w:w="90" w:type="dxa"/>
              <w:end w:w="110" w:type="dxa"/>
            </w:tcMar>
          </w:tcPr>
          <w:p>
            <w:r>
              <w:t>Approved PO number</w:t>
            </w:r>
          </w:p>
        </w:tc>
        <w:tc>
          <w:tcPr>
            <w:tcW w:type="dxa" w:w="1976"/>
            <w:tcMar>
              <w:top w:w="90" w:type="dxa"/>
              <w:start w:w="110" w:type="dxa"/>
              <w:bottom w:w="90" w:type="dxa"/>
              <w:end w:w="110" w:type="dxa"/>
            </w:tcMar>
          </w:tcPr>
          <w:p>
            <w:r>
              <w:t>Threshold, budget, or term exception exists</w:t>
            </w:r>
          </w:p>
        </w:tc>
      </w:tr>
      <w:tr>
        <w:tc>
          <w:tcPr>
            <w:tcW w:type="dxa" w:w="1976"/>
            <w:tcMar>
              <w:top w:w="90" w:type="dxa"/>
              <w:start w:w="110" w:type="dxa"/>
              <w:bottom w:w="90" w:type="dxa"/>
              <w:end w:w="110" w:type="dxa"/>
            </w:tcMar>
          </w:tcPr>
          <w:p>
            <w:r>
              <w:t>Invoice and match</w:t>
            </w:r>
          </w:p>
        </w:tc>
        <w:tc>
          <w:tcPr>
            <w:tcW w:type="dxa" w:w="1976"/>
            <w:tcMar>
              <w:top w:w="90" w:type="dxa"/>
              <w:start w:w="110" w:type="dxa"/>
              <w:bottom w:w="90" w:type="dxa"/>
              <w:end w:w="110" w:type="dxa"/>
            </w:tcMar>
          </w:tcPr>
          <w:p>
            <w:r>
              <w:t>Goods/services received and invoice submitted</w:t>
            </w:r>
          </w:p>
        </w:tc>
        <w:tc>
          <w:tcPr>
            <w:tcW w:type="dxa" w:w="1976"/>
            <w:tcMar>
              <w:top w:w="90" w:type="dxa"/>
              <w:start w:w="110" w:type="dxa"/>
              <w:bottom w:w="90" w:type="dxa"/>
              <w:end w:w="110" w:type="dxa"/>
            </w:tcMar>
          </w:tcPr>
          <w:p>
            <w:r>
              <w:t>Accounts payable</w:t>
            </w:r>
          </w:p>
        </w:tc>
        <w:tc>
          <w:tcPr>
            <w:tcW w:type="dxa" w:w="1976"/>
            <w:tcMar>
              <w:top w:w="90" w:type="dxa"/>
              <w:start w:w="110" w:type="dxa"/>
              <w:bottom w:w="90" w:type="dxa"/>
              <w:end w:w="110" w:type="dxa"/>
            </w:tcMar>
          </w:tcPr>
          <w:p>
            <w:r>
              <w:t>Three-way or approved exception match</w:t>
            </w:r>
          </w:p>
        </w:tc>
        <w:tc>
          <w:tcPr>
            <w:tcW w:type="dxa" w:w="1976"/>
            <w:tcMar>
              <w:top w:w="90" w:type="dxa"/>
              <w:start w:w="110" w:type="dxa"/>
              <w:bottom w:w="90" w:type="dxa"/>
              <w:end w:w="110" w:type="dxa"/>
            </w:tcMar>
          </w:tcPr>
          <w:p>
            <w:r>
              <w:t>Quantity, price, or receiving mismatch remains open</w:t>
            </w:r>
          </w:p>
        </w:tc>
      </w:tr>
      <w:tr>
        <w:tc>
          <w:tcPr>
            <w:tcW w:type="dxa" w:w="1976"/>
            <w:tcMar>
              <w:top w:w="90" w:type="dxa"/>
              <w:start w:w="110" w:type="dxa"/>
              <w:bottom w:w="90" w:type="dxa"/>
              <w:end w:w="110" w:type="dxa"/>
            </w:tcMar>
          </w:tcPr>
          <w:p>
            <w:r>
              <w:t>Payment and close</w:t>
            </w:r>
          </w:p>
        </w:tc>
        <w:tc>
          <w:tcPr>
            <w:tcW w:type="dxa" w:w="1976"/>
            <w:tcMar>
              <w:top w:w="90" w:type="dxa"/>
              <w:start w:w="110" w:type="dxa"/>
              <w:bottom w:w="90" w:type="dxa"/>
              <w:end w:w="110" w:type="dxa"/>
            </w:tcMar>
          </w:tcPr>
          <w:p>
            <w:r>
              <w:t>Invoice approved for payment</w:t>
            </w:r>
          </w:p>
        </w:tc>
        <w:tc>
          <w:tcPr>
            <w:tcW w:type="dxa" w:w="1976"/>
            <w:tcMar>
              <w:top w:w="90" w:type="dxa"/>
              <w:start w:w="110" w:type="dxa"/>
              <w:bottom w:w="90" w:type="dxa"/>
              <w:end w:w="110" w:type="dxa"/>
            </w:tcMar>
          </w:tcPr>
          <w:p>
            <w:r>
              <w:t>Accounts payable + finance ops</w:t>
            </w:r>
          </w:p>
        </w:tc>
        <w:tc>
          <w:tcPr>
            <w:tcW w:type="dxa" w:w="1976"/>
            <w:tcMar>
              <w:top w:w="90" w:type="dxa"/>
              <w:start w:w="110" w:type="dxa"/>
              <w:bottom w:w="90" w:type="dxa"/>
              <w:end w:w="110" w:type="dxa"/>
            </w:tcMar>
          </w:tcPr>
          <w:p>
            <w:r>
              <w:t>Scheduled payment and ledger posting</w:t>
            </w:r>
          </w:p>
        </w:tc>
        <w:tc>
          <w:tcPr>
            <w:tcW w:type="dxa" w:w="1976"/>
            <w:tcMar>
              <w:top w:w="90" w:type="dxa"/>
              <w:start w:w="110" w:type="dxa"/>
              <w:bottom w:w="90" w:type="dxa"/>
              <w:end w:w="110" w:type="dxa"/>
            </w:tcMar>
          </w:tcPr>
          <w:p>
            <w:r>
              <w:t>Urgent payment request or close-period impact occurs</w:t>
            </w:r>
          </w:p>
        </w:tc>
      </w:tr>
    </w:tbl>
    <w:p>
      <w:pPr>
        <w:pStyle w:val="Heading1"/>
      </w:pPr>
      <w:r>
        <w:t>Core systems and records</w:t>
      </w:r>
    </w:p>
    <w:p>
      <w:pPr>
        <w:ind w:left="288" w:hanging="216"/>
      </w:pPr>
      <w:r>
        <w:rPr>
          <w:b/>
        </w:rPr>
        <w:t xml:space="preserve">• </w:t>
      </w:r>
      <w:r>
        <w:t>ProcurePath is the system of record for purchase requests, approval routing, purchase orders, and vendor onboarding status.</w:t>
      </w:r>
    </w:p>
    <w:p>
      <w:pPr>
        <w:ind w:left="288" w:hanging="216"/>
      </w:pPr>
      <w:r>
        <w:rPr>
          <w:b/>
        </w:rPr>
        <w:t xml:space="preserve">• </w:t>
      </w:r>
      <w:r>
        <w:t>LedgerFlow stores invoice status, expense claims, payment schedules, close tasks, and account-level postings.</w:t>
      </w:r>
    </w:p>
    <w:p>
      <w:pPr>
        <w:ind w:left="288" w:hanging="216"/>
      </w:pPr>
      <w:r>
        <w:rPr>
          <w:b/>
        </w:rPr>
        <w:t xml:space="preserve">• </w:t>
      </w:r>
      <w:r>
        <w:t>The AtlasCRM Finance workspace is used for operational trackers such as quarterly budget checkpoints, vendor dependency notes, and cross-functional approval calendars.</w:t>
      </w:r>
    </w:p>
    <w:p>
      <w:pPr>
        <w:ind w:left="288" w:hanging="216"/>
      </w:pPr>
      <w:r>
        <w:rPr>
          <w:b/>
        </w:rPr>
        <w:t xml:space="preserve">• </w:t>
      </w:r>
      <w:r>
        <w:t>High-risk or high-value vendors may require parallel checks from Security, Legal, or the system owner before procurement can release the purchase order.</w:t>
      </w:r>
    </w:p>
    <w:p>
      <w:pPr>
        <w:pStyle w:val="Heading1"/>
      </w:pPr>
      <w:r>
        <w:t>Specialised Q&amp;A</w:t>
      </w:r>
    </w:p>
    <w:p>
      <w:r>
        <w:rPr>
          <w:b/>
        </w:rPr>
        <w:t xml:space="preserve">Q: </w:t>
      </w:r>
      <w:r>
        <w:rPr>
          <w:b/>
        </w:rPr>
        <w:t>What does Finance and Procurement own at OrchestrAI?</w:t>
      </w:r>
    </w:p>
    <w:p>
      <w:pPr>
        <w:ind w:left="259"/>
      </w:pPr>
      <w:r>
        <w:rPr>
          <w:b/>
        </w:rPr>
        <w:t xml:space="preserve">A: </w:t>
      </w:r>
      <w:r>
        <w:t>The team owns vendor onboarding, purchase-order governance, invoice and payment controls, employee reimbursement policy, budget coordination, and month-end readiness. It is also the main gatekeeper for spend discipline and exception documentation.</w:t>
      </w:r>
    </w:p>
    <w:p>
      <w:r>
        <w:rPr>
          <w:b/>
        </w:rPr>
        <w:t xml:space="preserve">Q: </w:t>
      </w:r>
      <w:r>
        <w:rPr>
          <w:b/>
        </w:rPr>
        <w:t>When is a purchase order required?</w:t>
      </w:r>
    </w:p>
    <w:p>
      <w:pPr>
        <w:ind w:left="259"/>
      </w:pPr>
      <w:r>
        <w:rPr>
          <w:b/>
        </w:rPr>
        <w:t xml:space="preserve">A: </w:t>
      </w:r>
      <w:r>
        <w:t>A purchase order is required for controlled third-party spend above the local threshold, for recurring services governed by contract, and for most hardware or implementation-related purchases that need receiving and invoice matching.</w:t>
      </w:r>
    </w:p>
    <w:p>
      <w:r>
        <w:rPr>
          <w:b/>
        </w:rPr>
        <w:t xml:space="preserve">Q: </w:t>
      </w:r>
      <w:r>
        <w:rPr>
          <w:b/>
        </w:rPr>
        <w:t>What happens if someone buys first and asks later?</w:t>
      </w:r>
    </w:p>
    <w:p>
      <w:pPr>
        <w:ind w:left="259"/>
      </w:pPr>
      <w:r>
        <w:rPr>
          <w:b/>
        </w:rPr>
        <w:t xml:space="preserve">A: </w:t>
      </w:r>
      <w:r>
        <w:t>Retroactive purchasing is treated as an exception. Finance may still process the request if the spend is legitimate, but the requester must document the business justification and the approving manager may be subject to process review.</w:t>
      </w:r>
    </w:p>
    <w:p>
      <w:r>
        <w:rPr>
          <w:b/>
        </w:rPr>
        <w:t xml:space="preserve">Q: </w:t>
      </w:r>
      <w:r>
        <w:rPr>
          <w:b/>
        </w:rPr>
        <w:t>What information is needed to onboard a vendor?</w:t>
      </w:r>
    </w:p>
    <w:p>
      <w:pPr>
        <w:ind w:left="259"/>
      </w:pPr>
      <w:r>
        <w:rPr>
          <w:b/>
        </w:rPr>
        <w:t xml:space="preserve">A: </w:t>
      </w:r>
      <w:r>
        <w:t>Procurement needs the legal vendor name, tax information, payment details, business owner, service or product description, and any required risk-review outcomes such as security or compliance approval.</w:t>
      </w:r>
    </w:p>
    <w:p>
      <w:r>
        <w:rPr>
          <w:b/>
        </w:rPr>
        <w:t xml:space="preserve">Q: </w:t>
      </w:r>
      <w:r>
        <w:rPr>
          <w:b/>
        </w:rPr>
        <w:t>When must Security review a vendor?</w:t>
      </w:r>
    </w:p>
    <w:p>
      <w:pPr>
        <w:ind w:left="259"/>
      </w:pPr>
      <w:r>
        <w:rPr>
          <w:b/>
        </w:rPr>
        <w:t xml:space="preserve">A: </w:t>
      </w:r>
      <w:r>
        <w:t>Security review is required when the vendor will access OrchestrAI systems, process internal data, host critical workflows, or support services that create operational or privacy risk.</w:t>
      </w:r>
    </w:p>
    <w:p>
      <w:r>
        <w:rPr>
          <w:b/>
        </w:rPr>
        <w:t xml:space="preserve">Q: </w:t>
      </w:r>
      <w:r>
        <w:rPr>
          <w:b/>
        </w:rPr>
        <w:t>How are hardware purchases handled differently from software subscriptions?</w:t>
      </w:r>
    </w:p>
    <w:p>
      <w:pPr>
        <w:ind w:left="259"/>
      </w:pPr>
      <w:r>
        <w:rPr>
          <w:b/>
        </w:rPr>
        <w:t xml:space="preserve">A: </w:t>
      </w:r>
      <w:r>
        <w:t>Hardware purchases often require receiving confirmation, serial tracking, shipping coordination, and possible reverse-logistics considerations. Software subscriptions usually emphasize term controls, renewal notice windows, and access or data-handling review.</w:t>
      </w:r>
    </w:p>
    <w:p>
      <w:r>
        <w:rPr>
          <w:b/>
        </w:rPr>
        <w:t xml:space="preserve">Q: </w:t>
      </w:r>
      <w:r>
        <w:rPr>
          <w:b/>
        </w:rPr>
        <w:t>What is a three-way match?</w:t>
      </w:r>
    </w:p>
    <w:p>
      <w:pPr>
        <w:ind w:left="259"/>
      </w:pPr>
      <w:r>
        <w:rPr>
          <w:b/>
        </w:rPr>
        <w:t xml:space="preserve">A: </w:t>
      </w:r>
      <w:r>
        <w:t>A three-way match verifies alignment between the purchase order, the receiving or service-confirmation record, and the invoice. If the quantities or amounts do not line up, Accounts Payable holds the invoice for clarification.</w:t>
      </w:r>
    </w:p>
    <w:p>
      <w:r>
        <w:rPr>
          <w:b/>
        </w:rPr>
        <w:t xml:space="preserve">Q: </w:t>
      </w:r>
      <w:r>
        <w:rPr>
          <w:b/>
        </w:rPr>
        <w:t>Who can approve a spend exception?</w:t>
      </w:r>
    </w:p>
    <w:p>
      <w:pPr>
        <w:ind w:left="259"/>
      </w:pPr>
      <w:r>
        <w:rPr>
          <w:b/>
        </w:rPr>
        <w:t xml:space="preserve">A: </w:t>
      </w:r>
      <w:r>
        <w:t>The approver depends on threshold and category. Typical exceptions require the budget owner plus Finance review, while large discounts, urgent payments, or non-standard contract terms may also involve leadership or Legal.</w:t>
      </w:r>
    </w:p>
    <w:p>
      <w:r>
        <w:rPr>
          <w:b/>
        </w:rPr>
        <w:t xml:space="preserve">Q: </w:t>
      </w:r>
      <w:r>
        <w:rPr>
          <w:b/>
        </w:rPr>
        <w:t>What counts as an urgent payment request?</w:t>
      </w:r>
    </w:p>
    <w:p>
      <w:pPr>
        <w:ind w:left="259"/>
      </w:pPr>
      <w:r>
        <w:rPr>
          <w:b/>
        </w:rPr>
        <w:t xml:space="preserve">A: </w:t>
      </w:r>
      <w:r>
        <w:t>An urgent payment request is one that needs handling outside the standard payment run because a service interruption, contractual penalty, or operational dependency could occur if payment is delayed.</w:t>
      </w:r>
    </w:p>
    <w:p>
      <w:r>
        <w:rPr>
          <w:b/>
        </w:rPr>
        <w:t xml:space="preserve">Q: </w:t>
      </w:r>
      <w:r>
        <w:rPr>
          <w:b/>
        </w:rPr>
        <w:t>How are employee expense claims reviewed?</w:t>
      </w:r>
    </w:p>
    <w:p>
      <w:pPr>
        <w:ind w:left="259"/>
      </w:pPr>
      <w:r>
        <w:rPr>
          <w:b/>
        </w:rPr>
        <w:t xml:space="preserve">A: </w:t>
      </w:r>
      <w:r>
        <w:t>Expense claims are reviewed for policy compliance, receipt quality, business purpose, timing, and cost-center accuracy. Missing documentation or personal spend mixed into a claim usually triggers rework.</w:t>
      </w:r>
    </w:p>
    <w:p>
      <w:r>
        <w:rPr>
          <w:b/>
        </w:rPr>
        <w:t xml:space="preserve">Q: </w:t>
      </w:r>
      <w:r>
        <w:rPr>
          <w:b/>
        </w:rPr>
        <w:t>What creates invoice-processing delays?</w:t>
      </w:r>
    </w:p>
    <w:p>
      <w:pPr>
        <w:ind w:left="259"/>
      </w:pPr>
      <w:r>
        <w:rPr>
          <w:b/>
        </w:rPr>
        <w:t xml:space="preserve">A: </w:t>
      </w:r>
      <w:r>
        <w:t>The most common causes are missing PO numbers, incorrect vendor names, receiving mismatches, pricing discrepancies, duplicate submissions, and invoices sent to the wrong intake channel.</w:t>
      </w:r>
    </w:p>
    <w:p>
      <w:r>
        <w:rPr>
          <w:b/>
        </w:rPr>
        <w:t xml:space="preserve">Q: </w:t>
      </w:r>
      <w:r>
        <w:rPr>
          <w:b/>
        </w:rPr>
        <w:t>How does Finance support month-end close?</w:t>
      </w:r>
    </w:p>
    <w:p>
      <w:pPr>
        <w:ind w:left="259"/>
      </w:pPr>
      <w:r>
        <w:rPr>
          <w:b/>
        </w:rPr>
        <w:t xml:space="preserve">A: </w:t>
      </w:r>
      <w:r>
        <w:t>Finance operations tracks open accrual needs, unresolved invoices, late expense claims, payroll-impacting adjustments, and unusual transactions that could materially affect the period results.</w:t>
      </w:r>
    </w:p>
    <w:p>
      <w:r>
        <w:rPr>
          <w:b/>
        </w:rPr>
        <w:t xml:space="preserve">Q: </w:t>
      </w:r>
      <w:r>
        <w:rPr>
          <w:b/>
        </w:rPr>
        <w:t>When should Logistics be involved in a procurement issue?</w:t>
      </w:r>
    </w:p>
    <w:p>
      <w:pPr>
        <w:ind w:left="259"/>
      </w:pPr>
      <w:r>
        <w:rPr>
          <w:b/>
        </w:rPr>
        <w:t xml:space="preserve">A: </w:t>
      </w:r>
      <w:r>
        <w:t>Logistics should be involved when the purchase relates to warehouse hardware, replacement kits, carrier issues, receiving mismatches, or reverse-logistics outcomes that affect vendor settlement.</w:t>
      </w:r>
    </w:p>
    <w:p>
      <w:r>
        <w:rPr>
          <w:b/>
        </w:rPr>
        <w:t xml:space="preserve">Q: </w:t>
      </w:r>
      <w:r>
        <w:rPr>
          <w:b/>
        </w:rPr>
        <w:t>When should Sales be involved in a finance-control issue?</w:t>
      </w:r>
    </w:p>
    <w:p>
      <w:pPr>
        <w:ind w:left="259"/>
      </w:pPr>
      <w:r>
        <w:rPr>
          <w:b/>
        </w:rPr>
        <w:t xml:space="preserve">A: </w:t>
      </w:r>
      <w:r>
        <w:t>Sales is involved when a pricing or discount exception, customer credit question, or margin concern originates from a deal structure or renewal negotiation.</w:t>
      </w:r>
    </w:p>
    <w:p>
      <w:r>
        <w:rPr>
          <w:b/>
        </w:rPr>
        <w:t xml:space="preserve">Q: </w:t>
      </w:r>
      <w:r>
        <w:rPr>
          <w:b/>
        </w:rPr>
        <w:t>How are renewals for recurring vendors tracked?</w:t>
      </w:r>
    </w:p>
    <w:p>
      <w:pPr>
        <w:ind w:left="259"/>
      </w:pPr>
      <w:r>
        <w:rPr>
          <w:b/>
        </w:rPr>
        <w:t xml:space="preserve">A: </w:t>
      </w:r>
      <w:r>
        <w:t>Recurring vendors should have renewal notice dates, contract owners, and budget checkpoints recorded so the business can decide whether to renew, renegotiate, or exit before an automatic extension occurs.</w:t>
      </w:r>
    </w:p>
    <w:p>
      <w:r>
        <w:rPr>
          <w:b/>
        </w:rPr>
        <w:t xml:space="preserve">Q: </w:t>
      </w:r>
      <w:r>
        <w:rPr>
          <w:b/>
        </w:rPr>
        <w:t>What is the difference between an invoice hold and a payment hold?</w:t>
      </w:r>
    </w:p>
    <w:p>
      <w:pPr>
        <w:ind w:left="259"/>
      </w:pPr>
      <w:r>
        <w:rPr>
          <w:b/>
        </w:rPr>
        <w:t xml:space="preserve">A: </w:t>
      </w:r>
      <w:r>
        <w:t>An invoice hold means the bill has not passed validation for posting or matching. A payment hold means the invoice is approved in principle but disbursement is intentionally delayed pending another condition.</w:t>
      </w:r>
    </w:p>
    <w:p>
      <w:r>
        <w:rPr>
          <w:b/>
        </w:rPr>
        <w:t xml:space="preserve">Q: </w:t>
      </w:r>
      <w:r>
        <w:rPr>
          <w:b/>
        </w:rPr>
        <w:t>How are emergency purchases handled?</w:t>
      </w:r>
    </w:p>
    <w:p>
      <w:pPr>
        <w:ind w:left="259"/>
      </w:pPr>
      <w:r>
        <w:rPr>
          <w:b/>
        </w:rPr>
        <w:t xml:space="preserve">A: </w:t>
      </w:r>
      <w:r>
        <w:t>Emergency purchases are allowed only when delay would materially disrupt operations, security, or customer commitments. The exception must still be documented with post-event review and owner accountability.</w:t>
      </w:r>
    </w:p>
    <w:p>
      <w:r>
        <w:rPr>
          <w:b/>
        </w:rPr>
        <w:t xml:space="preserve">Q: </w:t>
      </w:r>
      <w:r>
        <w:rPr>
          <w:b/>
        </w:rPr>
        <w:t>What does budget stewardship mean in practice?</w:t>
      </w:r>
    </w:p>
    <w:p>
      <w:pPr>
        <w:ind w:left="259"/>
      </w:pPr>
      <w:r>
        <w:rPr>
          <w:b/>
        </w:rPr>
        <w:t xml:space="preserve">A: </w:t>
      </w:r>
      <w:r>
        <w:t>Budget stewardship means spend owners understand approved limits, use the right cost center, avoid hidden commitments, and give Finance enough lead time to assess material variances.</w:t>
      </w:r>
    </w:p>
    <w:p>
      <w:r>
        <w:rPr>
          <w:b/>
        </w:rPr>
        <w:t xml:space="preserve">Q: </w:t>
      </w:r>
      <w:r>
        <w:rPr>
          <w:b/>
        </w:rPr>
        <w:t>Why is structured procurement content useful for a RAG system?</w:t>
      </w:r>
    </w:p>
    <w:p>
      <w:pPr>
        <w:ind w:left="259"/>
      </w:pPr>
      <w:r>
        <w:rPr>
          <w:b/>
        </w:rPr>
        <w:t xml:space="preserve">A: </w:t>
      </w:r>
      <w:r>
        <w:t>Procurement documents often share vocabulary with Sales, Logistics, HR, and Security: approval, vendor, exception, invoice, and access. Good retrieval depends on documents being specific enough to separate financial controls from adjacent workflows.</w:t>
      </w:r>
    </w:p>
    <w:p>
      <w:r>
        <w:rPr>
          <w:b/>
        </w:rPr>
        <w:t xml:space="preserve">Q: </w:t>
      </w:r>
      <w:r>
        <w:rPr>
          <w:b/>
        </w:rPr>
        <w:t>How should teams choose between asking Finance and asking Procurement?</w:t>
      </w:r>
    </w:p>
    <w:p>
      <w:pPr>
        <w:ind w:left="259"/>
      </w:pPr>
      <w:r>
        <w:rPr>
          <w:b/>
        </w:rPr>
        <w:t xml:space="preserve">A: </w:t>
      </w:r>
      <w:r>
        <w:t>Teams should ask Procurement when the question is about buying, vendors, approvals, or PO routing. They should ask Finance when the question is about payment status, expenses, budget effect, accounting timing, or close-period treatment.</w:t>
      </w:r>
    </w:p>
    <w:p>
      <w:pPr>
        <w:pStyle w:val="Heading1"/>
      </w:pPr>
      <w:r>
        <w:t>Service measures and escalation guide</w:t>
      </w:r>
    </w:p>
    <w:tbl>
      <w:tblPr>
        <w:tblStyle w:val="TableGrid"/>
        <w:tblW w:type="auto" w:w="0"/>
        <w:tblLook w:firstColumn="1" w:firstRow="1" w:lastColumn="0" w:lastRow="0" w:noHBand="0" w:noVBand="1" w:val="04A0"/>
      </w:tblPr>
      <w:tblGrid>
        <w:gridCol w:w="2469"/>
        <w:gridCol w:w="2469"/>
        <w:gridCol w:w="2469"/>
        <w:gridCol w:w="2469"/>
      </w:tblGrid>
      <w:tr>
        <w:tc>
          <w:tcPr>
            <w:tcW w:type="dxa" w:w="2469"/>
            <w:shd w:fill="EAF7F8"/>
            <w:tcMar>
              <w:top w:w="90" w:type="dxa"/>
              <w:start w:w="110" w:type="dxa"/>
              <w:bottom w:w="90" w:type="dxa"/>
              <w:end w:w="110" w:type="dxa"/>
            </w:tcMar>
          </w:tcPr>
          <w:p>
            <w:r>
              <w:rPr>
                <w:b/>
              </w:rPr>
              <w:t>Measure</w:t>
            </w:r>
          </w:p>
        </w:tc>
        <w:tc>
          <w:tcPr>
            <w:tcW w:type="dxa" w:w="2469"/>
            <w:shd w:fill="EAF7F8"/>
            <w:tcMar>
              <w:top w:w="90" w:type="dxa"/>
              <w:start w:w="110" w:type="dxa"/>
              <w:bottom w:w="90" w:type="dxa"/>
              <w:end w:w="110" w:type="dxa"/>
            </w:tcMar>
          </w:tcPr>
          <w:p>
            <w:r>
              <w:rPr>
                <w:b/>
              </w:rPr>
              <w:t>Target</w:t>
            </w:r>
          </w:p>
        </w:tc>
        <w:tc>
          <w:tcPr>
            <w:tcW w:type="dxa" w:w="2469"/>
            <w:shd w:fill="EAF7F8"/>
            <w:tcMar>
              <w:top w:w="90" w:type="dxa"/>
              <w:start w:w="110" w:type="dxa"/>
              <w:bottom w:w="90" w:type="dxa"/>
              <w:end w:w="110" w:type="dxa"/>
            </w:tcMar>
          </w:tcPr>
          <w:p>
            <w:r>
              <w:rPr>
                <w:b/>
              </w:rPr>
              <w:t>Reviewed by</w:t>
            </w:r>
          </w:p>
        </w:tc>
        <w:tc>
          <w:tcPr>
            <w:tcW w:type="dxa" w:w="2469"/>
            <w:shd w:fill="EAF7F8"/>
            <w:tcMar>
              <w:top w:w="90" w:type="dxa"/>
              <w:start w:w="110" w:type="dxa"/>
              <w:bottom w:w="90" w:type="dxa"/>
              <w:end w:w="110" w:type="dxa"/>
            </w:tcMar>
          </w:tcPr>
          <w:p>
            <w:r>
              <w:rPr>
                <w:b/>
              </w:rPr>
              <w:t>Notes</w:t>
            </w:r>
          </w:p>
        </w:tc>
      </w:tr>
      <w:tr>
        <w:tc>
          <w:tcPr>
            <w:tcW w:type="dxa" w:w="2469"/>
            <w:tcMar>
              <w:top w:w="90" w:type="dxa"/>
              <w:start w:w="110" w:type="dxa"/>
              <w:bottom w:w="90" w:type="dxa"/>
              <w:end w:w="110" w:type="dxa"/>
            </w:tcMar>
          </w:tcPr>
          <w:p>
            <w:r>
              <w:t>PO approval turnaround</w:t>
            </w:r>
          </w:p>
        </w:tc>
        <w:tc>
          <w:tcPr>
            <w:tcW w:type="dxa" w:w="2469"/>
            <w:tcMar>
              <w:top w:w="90" w:type="dxa"/>
              <w:start w:w="110" w:type="dxa"/>
              <w:bottom w:w="90" w:type="dxa"/>
              <w:end w:w="110" w:type="dxa"/>
            </w:tcMar>
          </w:tcPr>
          <w:p>
            <w:r>
              <w:t>&lt; 2 business days for standard requests</w:t>
            </w:r>
          </w:p>
        </w:tc>
        <w:tc>
          <w:tcPr>
            <w:tcW w:type="dxa" w:w="2469"/>
            <w:tcMar>
              <w:top w:w="90" w:type="dxa"/>
              <w:start w:w="110" w:type="dxa"/>
              <w:bottom w:w="90" w:type="dxa"/>
              <w:end w:w="110" w:type="dxa"/>
            </w:tcMar>
          </w:tcPr>
          <w:p>
            <w:r>
              <w:t>Procurement operations</w:t>
            </w:r>
          </w:p>
        </w:tc>
        <w:tc>
          <w:tcPr>
            <w:tcW w:type="dxa" w:w="2469"/>
            <w:tcMar>
              <w:top w:w="90" w:type="dxa"/>
              <w:start w:w="110" w:type="dxa"/>
              <w:bottom w:w="90" w:type="dxa"/>
              <w:end w:w="110" w:type="dxa"/>
            </w:tcMar>
          </w:tcPr>
          <w:p>
            <w:r>
              <w:t>Assumes complete request and normal threshold</w:t>
            </w:r>
          </w:p>
        </w:tc>
      </w:tr>
      <w:tr>
        <w:tc>
          <w:tcPr>
            <w:tcW w:type="dxa" w:w="2469"/>
            <w:tcMar>
              <w:top w:w="90" w:type="dxa"/>
              <w:start w:w="110" w:type="dxa"/>
              <w:bottom w:w="90" w:type="dxa"/>
              <w:end w:w="110" w:type="dxa"/>
            </w:tcMar>
          </w:tcPr>
          <w:p>
            <w:r>
              <w:t>Vendor onboarding completeness</w:t>
            </w:r>
          </w:p>
        </w:tc>
        <w:tc>
          <w:tcPr>
            <w:tcW w:type="dxa" w:w="2469"/>
            <w:tcMar>
              <w:top w:w="90" w:type="dxa"/>
              <w:start w:w="110" w:type="dxa"/>
              <w:bottom w:w="90" w:type="dxa"/>
              <w:end w:w="110" w:type="dxa"/>
            </w:tcMar>
          </w:tcPr>
          <w:p>
            <w:r>
              <w:t>100% before first payment</w:t>
            </w:r>
          </w:p>
        </w:tc>
        <w:tc>
          <w:tcPr>
            <w:tcW w:type="dxa" w:w="2469"/>
            <w:tcMar>
              <w:top w:w="90" w:type="dxa"/>
              <w:start w:w="110" w:type="dxa"/>
              <w:bottom w:w="90" w:type="dxa"/>
              <w:end w:w="110" w:type="dxa"/>
            </w:tcMar>
          </w:tcPr>
          <w:p>
            <w:r>
              <w:t>Procurement lead</w:t>
            </w:r>
          </w:p>
        </w:tc>
        <w:tc>
          <w:tcPr>
            <w:tcW w:type="dxa" w:w="2469"/>
            <w:tcMar>
              <w:top w:w="90" w:type="dxa"/>
              <w:start w:w="110" w:type="dxa"/>
              <w:bottom w:w="90" w:type="dxa"/>
              <w:end w:w="110" w:type="dxa"/>
            </w:tcMar>
          </w:tcPr>
          <w:p>
            <w:r>
              <w:t>Critical control for tax and banking data</w:t>
            </w:r>
          </w:p>
        </w:tc>
      </w:tr>
      <w:tr>
        <w:tc>
          <w:tcPr>
            <w:tcW w:type="dxa" w:w="2469"/>
            <w:tcMar>
              <w:top w:w="90" w:type="dxa"/>
              <w:start w:w="110" w:type="dxa"/>
              <w:bottom w:w="90" w:type="dxa"/>
              <w:end w:w="110" w:type="dxa"/>
            </w:tcMar>
          </w:tcPr>
          <w:p>
            <w:r>
              <w:t>Invoice first-pass match rate</w:t>
            </w:r>
          </w:p>
        </w:tc>
        <w:tc>
          <w:tcPr>
            <w:tcW w:type="dxa" w:w="2469"/>
            <w:tcMar>
              <w:top w:w="90" w:type="dxa"/>
              <w:start w:w="110" w:type="dxa"/>
              <w:bottom w:w="90" w:type="dxa"/>
              <w:end w:w="110" w:type="dxa"/>
            </w:tcMar>
          </w:tcPr>
          <w:p>
            <w:r>
              <w:t>95%+</w:t>
            </w:r>
          </w:p>
        </w:tc>
        <w:tc>
          <w:tcPr>
            <w:tcW w:type="dxa" w:w="2469"/>
            <w:tcMar>
              <w:top w:w="90" w:type="dxa"/>
              <w:start w:w="110" w:type="dxa"/>
              <w:bottom w:w="90" w:type="dxa"/>
              <w:end w:w="110" w:type="dxa"/>
            </w:tcMar>
          </w:tcPr>
          <w:p>
            <w:r>
              <w:t>Accounts payable</w:t>
            </w:r>
          </w:p>
        </w:tc>
        <w:tc>
          <w:tcPr>
            <w:tcW w:type="dxa" w:w="2469"/>
            <w:tcMar>
              <w:top w:w="90" w:type="dxa"/>
              <w:start w:w="110" w:type="dxa"/>
              <w:bottom w:w="90" w:type="dxa"/>
              <w:end w:w="110" w:type="dxa"/>
            </w:tcMar>
          </w:tcPr>
          <w:p>
            <w:r>
              <w:t>Lower rates usually indicate request or receiving defects</w:t>
            </w:r>
          </w:p>
        </w:tc>
      </w:tr>
      <w:tr>
        <w:tc>
          <w:tcPr>
            <w:tcW w:type="dxa" w:w="2469"/>
            <w:tcMar>
              <w:top w:w="90" w:type="dxa"/>
              <w:start w:w="110" w:type="dxa"/>
              <w:bottom w:w="90" w:type="dxa"/>
              <w:end w:w="110" w:type="dxa"/>
            </w:tcMar>
          </w:tcPr>
          <w:p>
            <w:r>
              <w:t>Expense claim review</w:t>
            </w:r>
          </w:p>
        </w:tc>
        <w:tc>
          <w:tcPr>
            <w:tcW w:type="dxa" w:w="2469"/>
            <w:tcMar>
              <w:top w:w="90" w:type="dxa"/>
              <w:start w:w="110" w:type="dxa"/>
              <w:bottom w:w="90" w:type="dxa"/>
              <w:end w:w="110" w:type="dxa"/>
            </w:tcMar>
          </w:tcPr>
          <w:p>
            <w:r>
              <w:t>&lt; 5 business days</w:t>
            </w:r>
          </w:p>
        </w:tc>
        <w:tc>
          <w:tcPr>
            <w:tcW w:type="dxa" w:w="2469"/>
            <w:tcMar>
              <w:top w:w="90" w:type="dxa"/>
              <w:start w:w="110" w:type="dxa"/>
              <w:bottom w:w="90" w:type="dxa"/>
              <w:end w:w="110" w:type="dxa"/>
            </w:tcMar>
          </w:tcPr>
          <w:p>
            <w:r>
              <w:t>Expense administrator</w:t>
            </w:r>
          </w:p>
        </w:tc>
        <w:tc>
          <w:tcPr>
            <w:tcW w:type="dxa" w:w="2469"/>
            <w:tcMar>
              <w:top w:w="90" w:type="dxa"/>
              <w:start w:w="110" w:type="dxa"/>
              <w:bottom w:w="90" w:type="dxa"/>
              <w:end w:w="110" w:type="dxa"/>
            </w:tcMar>
          </w:tcPr>
          <w:p>
            <w:r>
              <w:t>Clock starts when receipts are complete</w:t>
            </w:r>
          </w:p>
        </w:tc>
      </w:tr>
      <w:tr>
        <w:tc>
          <w:tcPr>
            <w:tcW w:type="dxa" w:w="2469"/>
            <w:tcMar>
              <w:top w:w="90" w:type="dxa"/>
              <w:start w:w="110" w:type="dxa"/>
              <w:bottom w:w="90" w:type="dxa"/>
              <w:end w:w="110" w:type="dxa"/>
            </w:tcMar>
          </w:tcPr>
          <w:p>
            <w:r>
              <w:t>Close task completion</w:t>
            </w:r>
          </w:p>
        </w:tc>
        <w:tc>
          <w:tcPr>
            <w:tcW w:type="dxa" w:w="2469"/>
            <w:tcMar>
              <w:top w:w="90" w:type="dxa"/>
              <w:start w:w="110" w:type="dxa"/>
              <w:bottom w:w="90" w:type="dxa"/>
              <w:end w:w="110" w:type="dxa"/>
            </w:tcMar>
          </w:tcPr>
          <w:p>
            <w:r>
              <w:t>100% by period deadline</w:t>
            </w:r>
          </w:p>
        </w:tc>
        <w:tc>
          <w:tcPr>
            <w:tcW w:type="dxa" w:w="2469"/>
            <w:tcMar>
              <w:top w:w="90" w:type="dxa"/>
              <w:start w:w="110" w:type="dxa"/>
              <w:bottom w:w="90" w:type="dxa"/>
              <w:end w:w="110" w:type="dxa"/>
            </w:tcMar>
          </w:tcPr>
          <w:p>
            <w:r>
              <w:t>Finance operations manager</w:t>
            </w:r>
          </w:p>
        </w:tc>
        <w:tc>
          <w:tcPr>
            <w:tcW w:type="dxa" w:w="2469"/>
            <w:tcMar>
              <w:top w:w="90" w:type="dxa"/>
              <w:start w:w="110" w:type="dxa"/>
              <w:bottom w:w="90" w:type="dxa"/>
              <w:end w:w="110" w:type="dxa"/>
            </w:tcMar>
          </w:tcPr>
          <w:p>
            <w:r>
              <w:t>Material blockers escalated same day</w:t>
            </w:r>
          </w:p>
        </w:tc>
      </w:tr>
    </w:tbl>
    <w:p>
      <w:r>
        <w:t>Escalation rule of thumb: escalate to the function that controls the blocker. Use Procurement for PO and vendor-routing issues, Accounts Payable for invoice status and payment exceptions, Security for vendor-risk dependencies, Logistics for hardware receiving mismatches, and leadership review for emergency or out-of-policy spend.</w:t>
      </w:r>
    </w:p>
    <w:p>
      <w:pPr>
        <w:pStyle w:val="Heading1"/>
      </w:pPr>
      <w:r>
        <w:t>Glossary and related references</w:t>
      </w:r>
    </w:p>
    <w:p>
      <w:pPr>
        <w:ind w:left="288" w:hanging="216"/>
      </w:pPr>
      <w:r>
        <w:rPr>
          <w:b/>
        </w:rPr>
        <w:t xml:space="preserve">• </w:t>
      </w:r>
      <w:r>
        <w:t>ProcurePath: OrchestrAI system for purchase requests, approvals, and vendor onboarding.</w:t>
      </w:r>
    </w:p>
    <w:p>
      <w:pPr>
        <w:ind w:left="288" w:hanging="216"/>
      </w:pPr>
      <w:r>
        <w:rPr>
          <w:b/>
        </w:rPr>
        <w:t xml:space="preserve">• </w:t>
      </w:r>
      <w:r>
        <w:t>LedgerFlow: Finance operations platform for invoices, expenses, payments, and close tasks.</w:t>
      </w:r>
    </w:p>
    <w:p>
      <w:pPr>
        <w:ind w:left="288" w:hanging="216"/>
      </w:pPr>
      <w:r>
        <w:rPr>
          <w:b/>
        </w:rPr>
        <w:t xml:space="preserve">• </w:t>
      </w:r>
      <w:r>
        <w:t>Three-way match: Control that compares PO, receiving confirmation, and invoice details before payment.</w:t>
      </w:r>
    </w:p>
    <w:p>
      <w:pPr>
        <w:ind w:left="288" w:hanging="216"/>
      </w:pPr>
      <w:r>
        <w:rPr>
          <w:b/>
        </w:rPr>
        <w:t xml:space="preserve">• </w:t>
      </w:r>
      <w:r>
        <w:t>Urgent payment request: Approved exception requiring handling outside the standard payment run.</w:t>
      </w:r>
    </w:p>
    <w:p>
      <w:pPr>
        <w:ind w:left="288" w:hanging="216"/>
      </w:pPr>
      <w:r>
        <w:rPr>
          <w:b/>
        </w:rPr>
        <w:t xml:space="preserve">• </w:t>
      </w:r>
      <w:r>
        <w:t>Related documents: purchase order approval matrix, expense reimbursement FAQ, vendor onboarding requirements, month-end close reminder, and emergency procurement exception memo.</w:t>
      </w:r>
    </w:p>
    <w:sectPr w:rsidR="00FC693F" w:rsidRPr="0006063C" w:rsidSect="00034616">
      <w:pgSz w:w="12240" w:h="15840"/>
      <w:pgMar w:top="936"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3B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A647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34E5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