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3A63"/>
          <w:sz w:val="48"/>
        </w:rPr>
        <w:t>OrchestrAI</w:t>
      </w:r>
    </w:p>
    <w:p>
      <w:pPr>
        <w:jc w:val="center"/>
      </w:pPr>
      <w:r>
        <w:rPr>
          <w:rFonts w:ascii="Aptos" w:hAnsi="Aptos"/>
          <w:b/>
          <w:sz w:val="28"/>
        </w:rPr>
        <w:t>IT Workplace and Service Desk Handbook</w:t>
      </w:r>
    </w:p>
    <w:p>
      <w:pPr>
        <w:jc w:val="center"/>
      </w:pPr>
      <w:r>
        <w:rPr>
          <w:i/>
          <w:color w:val="555555"/>
          <w:sz w:val="18"/>
        </w:rPr>
        <w:t>Internal Knowledge Base • Team Q&amp;A Reference • Version 1.0</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701"/>
            <w:vAlign w:val="center"/>
            <w:tcMar>
              <w:top w:w="90" w:type="dxa"/>
              <w:start w:w="90" w:type="dxa"/>
              <w:bottom w:w="90" w:type="dxa"/>
              <w:end w:w="90" w:type="dxa"/>
            </w:tcMar>
            <w:shd w:fill="DDEBF7"/>
          </w:tcPr>
          <w:p>
            <w:r>
              <w:rPr>
                <w:b/>
              </w:rPr>
              <w:t>Document ID</w:t>
            </w:r>
          </w:p>
        </w:tc>
        <w:tc>
          <w:tcPr>
            <w:tcW w:type="dxa" w:w="3175"/>
            <w:vAlign w:val="center"/>
            <w:tcMar>
              <w:top w:w="90" w:type="dxa"/>
              <w:start w:w="90" w:type="dxa"/>
              <w:bottom w:w="90" w:type="dxa"/>
              <w:end w:w="90" w:type="dxa"/>
            </w:tcMar>
          </w:tcPr>
          <w:p>
            <w:r>
              <w:t>TEAMQA-IT-001</w:t>
            </w:r>
          </w:p>
        </w:tc>
        <w:tc>
          <w:tcPr>
            <w:tcW w:type="dxa" w:w="1701"/>
            <w:vAlign w:val="center"/>
            <w:tcMar>
              <w:top w:w="90" w:type="dxa"/>
              <w:start w:w="90" w:type="dxa"/>
              <w:bottom w:w="90" w:type="dxa"/>
              <w:end w:w="90" w:type="dxa"/>
            </w:tcMar>
            <w:shd w:fill="DDEBF7"/>
          </w:tcPr>
          <w:p>
            <w:r>
              <w:rPr>
                <w:b/>
              </w:rPr>
              <w:t>Department</w:t>
            </w:r>
          </w:p>
        </w:tc>
        <w:tc>
          <w:tcPr>
            <w:tcW w:type="dxa" w:w="3175"/>
            <w:vAlign w:val="center"/>
            <w:tcMar>
              <w:top w:w="90" w:type="dxa"/>
              <w:start w:w="90" w:type="dxa"/>
              <w:bottom w:w="90" w:type="dxa"/>
              <w:end w:w="90" w:type="dxa"/>
            </w:tcMar>
          </w:tcPr>
          <w:p>
            <w:r>
              <w:t>Information Technology</w:t>
            </w:r>
          </w:p>
        </w:tc>
      </w:tr>
      <w:tr>
        <w:tc>
          <w:tcPr>
            <w:tcW w:type="dxa" w:w="1701"/>
            <w:vAlign w:val="center"/>
            <w:tcMar>
              <w:top w:w="90" w:type="dxa"/>
              <w:start w:w="90" w:type="dxa"/>
              <w:bottom w:w="90" w:type="dxa"/>
              <w:end w:w="90" w:type="dxa"/>
            </w:tcMar>
            <w:shd w:fill="DDEBF7"/>
          </w:tcPr>
          <w:p>
            <w:r>
              <w:rPr>
                <w:b/>
              </w:rPr>
              <w:t>Owner</w:t>
            </w:r>
          </w:p>
        </w:tc>
        <w:tc>
          <w:tcPr>
            <w:tcW w:type="dxa" w:w="3175"/>
            <w:vAlign w:val="center"/>
            <w:tcMar>
              <w:top w:w="90" w:type="dxa"/>
              <w:start w:w="90" w:type="dxa"/>
              <w:bottom w:w="90" w:type="dxa"/>
              <w:end w:w="90" w:type="dxa"/>
            </w:tcMar>
          </w:tcPr>
          <w:p>
            <w:r>
              <w:t>Manager, IT Operations</w:t>
            </w:r>
          </w:p>
        </w:tc>
        <w:tc>
          <w:tcPr>
            <w:tcW w:type="dxa" w:w="1701"/>
            <w:vAlign w:val="center"/>
            <w:tcMar>
              <w:top w:w="90" w:type="dxa"/>
              <w:start w:w="90" w:type="dxa"/>
              <w:bottom w:w="90" w:type="dxa"/>
              <w:end w:w="90" w:type="dxa"/>
            </w:tcMar>
            <w:shd w:fill="DDEBF7"/>
          </w:tcPr>
          <w:p>
            <w:r>
              <w:rPr>
                <w:b/>
              </w:rPr>
              <w:t>Confidentiality</w:t>
            </w:r>
          </w:p>
        </w:tc>
        <w:tc>
          <w:tcPr>
            <w:tcW w:type="dxa" w:w="3175"/>
            <w:vAlign w:val="center"/>
            <w:tcMar>
              <w:top w:w="90" w:type="dxa"/>
              <w:start w:w="90" w:type="dxa"/>
              <w:bottom w:w="90" w:type="dxa"/>
              <w:end w:w="90" w:type="dxa"/>
            </w:tcMar>
          </w:tcPr>
          <w:p>
            <w:r>
              <w:t>Internal</w:t>
            </w:r>
          </w:p>
        </w:tc>
      </w:tr>
      <w:tr>
        <w:tc>
          <w:tcPr>
            <w:tcW w:type="dxa" w:w="1701"/>
            <w:vAlign w:val="center"/>
            <w:tcMar>
              <w:top w:w="90" w:type="dxa"/>
              <w:start w:w="90" w:type="dxa"/>
              <w:bottom w:w="90" w:type="dxa"/>
              <w:end w:w="90" w:type="dxa"/>
            </w:tcMar>
            <w:shd w:fill="DDEBF7"/>
          </w:tcPr>
          <w:p>
            <w:r>
              <w:rPr>
                <w:b/>
              </w:rPr>
              <w:t>Effective Date</w:t>
            </w:r>
          </w:p>
        </w:tc>
        <w:tc>
          <w:tcPr>
            <w:tcW w:type="dxa" w:w="3175"/>
            <w:vAlign w:val="center"/>
            <w:tcMar>
              <w:top w:w="90" w:type="dxa"/>
              <w:start w:w="90" w:type="dxa"/>
              <w:bottom w:w="90" w:type="dxa"/>
              <w:end w:w="90" w:type="dxa"/>
            </w:tcMar>
          </w:tcPr>
          <w:p>
            <w:r>
              <w:t>24 March 2026</w:t>
            </w:r>
          </w:p>
        </w:tc>
        <w:tc>
          <w:tcPr>
            <w:tcW w:type="dxa" w:w="1701"/>
            <w:vAlign w:val="center"/>
            <w:tcMar>
              <w:top w:w="90" w:type="dxa"/>
              <w:start w:w="90" w:type="dxa"/>
              <w:bottom w:w="90" w:type="dxa"/>
              <w:end w:w="90" w:type="dxa"/>
            </w:tcMar>
            <w:shd w:fill="DDEBF7"/>
          </w:tcPr>
          <w:p>
            <w:r>
              <w:rPr>
                <w:b/>
              </w:rPr>
              <w:t>Review Date</w:t>
            </w:r>
          </w:p>
        </w:tc>
        <w:tc>
          <w:tcPr>
            <w:tcW w:type="dxa" w:w="3175"/>
            <w:vAlign w:val="center"/>
            <w:tcMar>
              <w:top w:w="90" w:type="dxa"/>
              <w:start w:w="90" w:type="dxa"/>
              <w:bottom w:w="90" w:type="dxa"/>
              <w:end w:w="90" w:type="dxa"/>
            </w:tcMar>
          </w:tcPr>
          <w:p>
            <w:r>
              <w:t>24 September 2026</w:t>
            </w:r>
          </w:p>
        </w:tc>
      </w:tr>
      <w:tr>
        <w:tc>
          <w:tcPr>
            <w:tcW w:type="dxa" w:w="1701"/>
            <w:vAlign w:val="center"/>
            <w:tcMar>
              <w:top w:w="90" w:type="dxa"/>
              <w:start w:w="90" w:type="dxa"/>
              <w:bottom w:w="90" w:type="dxa"/>
              <w:end w:w="90" w:type="dxa"/>
            </w:tcMar>
            <w:shd w:fill="DDEBF7"/>
          </w:tcPr>
          <w:p>
            <w:r>
              <w:rPr>
                <w:b/>
              </w:rPr>
              <w:t>Primary Systems</w:t>
            </w:r>
          </w:p>
        </w:tc>
        <w:tc>
          <w:tcPr>
            <w:tcW w:type="dxa" w:w="3175"/>
            <w:vAlign w:val="center"/>
            <w:tcMar>
              <w:top w:w="90" w:type="dxa"/>
              <w:start w:w="90" w:type="dxa"/>
              <w:bottom w:w="90" w:type="dxa"/>
              <w:end w:w="90" w:type="dxa"/>
            </w:tcMar>
          </w:tcPr>
          <w:p>
            <w:r>
              <w:t>AtlasDesk, OrchestrAI Access Hub, FleetPulse MDM</w:t>
            </w:r>
          </w:p>
        </w:tc>
        <w:tc>
          <w:tcPr>
            <w:tcW w:type="dxa" w:w="1701"/>
            <w:vAlign w:val="center"/>
            <w:tcMar>
              <w:top w:w="90" w:type="dxa"/>
              <w:start w:w="90" w:type="dxa"/>
              <w:bottom w:w="90" w:type="dxa"/>
              <w:end w:w="90" w:type="dxa"/>
            </w:tcMar>
            <w:shd w:fill="DDEBF7"/>
          </w:tcPr>
          <w:p>
            <w:r>
              <w:rPr>
                <w:b/>
              </w:rPr>
              <w:t>Scope</w:t>
            </w:r>
          </w:p>
        </w:tc>
        <w:tc>
          <w:tcPr>
            <w:tcW w:type="dxa" w:w="3175"/>
            <w:vAlign w:val="center"/>
            <w:tcMar>
              <w:top w:w="90" w:type="dxa"/>
              <w:start w:w="90" w:type="dxa"/>
              <w:bottom w:w="90" w:type="dxa"/>
              <w:end w:w="90" w:type="dxa"/>
            </w:tcMar>
          </w:tcPr>
          <w:p>
            <w:r>
              <w:t>HQ, remote staff, warehouses, field teams</w:t>
            </w:r>
          </w:p>
        </w:tc>
      </w:tr>
    </w:tbl>
    <w:p>
      <w:r>
        <w:t>This handbook describes how the OrchestrAI IT team supports workplace technology, endpoint management, identity services, collaboration tools, and front-line service desk operations across corporate offices, remote employees, and warehouse facilities.</w:t>
      </w:r>
    </w:p>
    <w:tbl>
      <w:tblPr>
        <w:tblW w:type="auto" w:w="0"/>
        <w:jc w:val="center"/>
        <w:tblLayout w:type="fixed"/>
        <w:tblLook w:firstColumn="1" w:firstRow="1" w:lastColumn="0" w:lastRow="0" w:noHBand="0" w:noVBand="1" w:val="04A0"/>
      </w:tblPr>
      <w:tblGrid>
        <w:gridCol w:w="9972"/>
      </w:tblGrid>
      <w:tr>
        <w:tc>
          <w:tcPr>
            <w:tcW w:type="dxa" w:w="9972"/>
            <w:vAlign w:val="center"/>
            <w:tcMar>
              <w:top w:w="90" w:type="dxa"/>
              <w:start w:w="90" w:type="dxa"/>
              <w:bottom w:w="90" w:type="dxa"/>
              <w:end w:w="90" w:type="dxa"/>
            </w:tcMar>
            <w:shd w:fill="EEF4EA"/>
          </w:tcPr>
          <w:p>
            <w:r>
              <w:rPr>
                <w:b/>
                <w:sz w:val="20"/>
              </w:rPr>
              <w:t>Team mission: Keep every OrchestrAI employee, warehouse operator, and field technician productive through secure, standardized, and well-documented IT services.</w:t>
            </w:r>
          </w:p>
        </w:tc>
      </w:tr>
    </w:tbl>
    <w:p>
      <w:pPr>
        <w:pStyle w:val="Heading1"/>
      </w:pPr>
      <w:r>
        <w:t>Team Scope</w:t>
      </w:r>
    </w:p>
    <w:p>
      <w:pPr>
        <w:pStyle w:val="ListBullet"/>
      </w:pPr>
      <w:r>
        <w:t>Workplace technology: laptop lifecycle, mobile devices, conference rooms, printing, collaboration tools, and office connectivity.</w:t>
      </w:r>
    </w:p>
    <w:p>
      <w:pPr>
        <w:pStyle w:val="ListBullet"/>
      </w:pPr>
      <w:r>
        <w:t>Identity and access operations: employee onboarding, offboarding, MFA enrollment, conditional access coordination, and group membership requests.</w:t>
      </w:r>
    </w:p>
    <w:p>
      <w:pPr>
        <w:pStyle w:val="ListBullet"/>
      </w:pPr>
      <w:r>
        <w:t>Service desk operations: incident intake, triage, routing, resolution targets, user communications, and vendor case coordination.</w:t>
      </w:r>
    </w:p>
    <w:p>
      <w:pPr>
        <w:pStyle w:val="ListBullet"/>
      </w:pPr>
      <w:r>
        <w:t>Warehouse and field support: rugged scanners, handhelds, printers, label stations, kiosk devices, and local network troubleshooting for operational sites.</w:t>
      </w:r>
    </w:p>
    <w:p>
      <w:pPr>
        <w:pStyle w:val="Heading1"/>
      </w:pPr>
      <w:r>
        <w:t>Core Platforms and Ownership</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984"/>
            <w:vAlign w:val="center"/>
            <w:tcMar>
              <w:top w:w="90" w:type="dxa"/>
              <w:start w:w="90" w:type="dxa"/>
              <w:bottom w:w="90" w:type="dxa"/>
              <w:end w:w="90" w:type="dxa"/>
            </w:tcMar>
            <w:shd w:fill="1F4E79"/>
          </w:tcPr>
          <w:p>
            <w:r>
              <w:rPr>
                <w:b/>
                <w:color w:val="FFFFFF"/>
              </w:rPr>
              <w:t>Platform / Service</w:t>
            </w:r>
          </w:p>
        </w:tc>
        <w:tc>
          <w:tcPr>
            <w:tcW w:type="dxa" w:w="2494"/>
            <w:vAlign w:val="center"/>
            <w:tcMar>
              <w:top w:w="90" w:type="dxa"/>
              <w:start w:w="90" w:type="dxa"/>
              <w:bottom w:w="90" w:type="dxa"/>
              <w:end w:w="90" w:type="dxa"/>
            </w:tcMar>
            <w:shd w:fill="1F4E79"/>
          </w:tcPr>
          <w:p>
            <w:r>
              <w:rPr>
                <w:b/>
                <w:color w:val="FFFFFF"/>
              </w:rPr>
              <w:t>Primary Use</w:t>
            </w:r>
          </w:p>
        </w:tc>
        <w:tc>
          <w:tcPr>
            <w:tcW w:type="dxa" w:w="1871"/>
            <w:vAlign w:val="center"/>
            <w:tcMar>
              <w:top w:w="90" w:type="dxa"/>
              <w:start w:w="90" w:type="dxa"/>
              <w:bottom w:w="90" w:type="dxa"/>
              <w:end w:w="90" w:type="dxa"/>
            </w:tcMar>
            <w:shd w:fill="1F4E79"/>
          </w:tcPr>
          <w:p>
            <w:r>
              <w:rPr>
                <w:b/>
                <w:color w:val="FFFFFF"/>
              </w:rPr>
              <w:t>IT Owner</w:t>
            </w:r>
          </w:p>
        </w:tc>
        <w:tc>
          <w:tcPr>
            <w:tcW w:type="dxa" w:w="2835"/>
            <w:vAlign w:val="center"/>
            <w:tcMar>
              <w:top w:w="90" w:type="dxa"/>
              <w:start w:w="90" w:type="dxa"/>
              <w:bottom w:w="90" w:type="dxa"/>
              <w:end w:w="90" w:type="dxa"/>
            </w:tcMar>
            <w:shd w:fill="1F4E79"/>
          </w:tcPr>
          <w:p>
            <w:r>
              <w:rPr>
                <w:b/>
                <w:color w:val="FFFFFF"/>
              </w:rPr>
              <w:t>Notes</w:t>
            </w:r>
          </w:p>
        </w:tc>
      </w:tr>
      <w:tr>
        <w:tc>
          <w:tcPr>
            <w:tcW w:type="dxa" w:w="1984"/>
          </w:tcPr>
          <w:p>
            <w:r>
              <w:t>AtlasDesk</w:t>
            </w:r>
          </w:p>
        </w:tc>
        <w:tc>
          <w:tcPr>
            <w:tcW w:type="dxa" w:w="2494"/>
          </w:tcPr>
          <w:p>
            <w:r>
              <w:t>Ticketing, SLA tracking, KB links</w:t>
            </w:r>
          </w:p>
        </w:tc>
        <w:tc>
          <w:tcPr>
            <w:tcW w:type="dxa" w:w="1871"/>
          </w:tcPr>
          <w:p>
            <w:r>
              <w:t>Service Desk Lead</w:t>
            </w:r>
          </w:p>
        </w:tc>
        <w:tc>
          <w:tcPr>
            <w:tcW w:type="dxa" w:w="2835"/>
          </w:tcPr>
          <w:p>
            <w:r>
              <w:t>System of record for incidents and requests</w:t>
            </w:r>
          </w:p>
        </w:tc>
      </w:tr>
      <w:tr>
        <w:tc>
          <w:tcPr>
            <w:tcW w:type="dxa" w:w="1984"/>
          </w:tcPr>
          <w:p>
            <w:r>
              <w:t>FleetPulse MDM</w:t>
            </w:r>
          </w:p>
        </w:tc>
        <w:tc>
          <w:tcPr>
            <w:tcW w:type="dxa" w:w="2494"/>
          </w:tcPr>
          <w:p>
            <w:r>
              <w:t>Endpoint compliance and remote actions</w:t>
            </w:r>
          </w:p>
        </w:tc>
        <w:tc>
          <w:tcPr>
            <w:tcW w:type="dxa" w:w="1871"/>
          </w:tcPr>
          <w:p>
            <w:r>
              <w:t>Endpoint Engineering</w:t>
            </w:r>
          </w:p>
        </w:tc>
        <w:tc>
          <w:tcPr>
            <w:tcW w:type="dxa" w:w="2835"/>
          </w:tcPr>
          <w:p>
            <w:r>
              <w:t>Used for laptops, tablets, and warehouse handhelds</w:t>
            </w:r>
          </w:p>
        </w:tc>
      </w:tr>
      <w:tr>
        <w:tc>
          <w:tcPr>
            <w:tcW w:type="dxa" w:w="1984"/>
          </w:tcPr>
          <w:p>
            <w:r>
              <w:t>Access Hub</w:t>
            </w:r>
          </w:p>
        </w:tc>
        <w:tc>
          <w:tcPr>
            <w:tcW w:type="dxa" w:w="2494"/>
          </w:tcPr>
          <w:p>
            <w:r>
              <w:t>Account lifecycle and group requests</w:t>
            </w:r>
          </w:p>
        </w:tc>
        <w:tc>
          <w:tcPr>
            <w:tcW w:type="dxa" w:w="1871"/>
          </w:tcPr>
          <w:p>
            <w:r>
              <w:t>Identity Administrator</w:t>
            </w:r>
          </w:p>
        </w:tc>
        <w:tc>
          <w:tcPr>
            <w:tcW w:type="dxa" w:w="2835"/>
          </w:tcPr>
          <w:p>
            <w:r>
              <w:t>Coordinates with Security for privileged access</w:t>
            </w:r>
          </w:p>
        </w:tc>
      </w:tr>
      <w:tr>
        <w:tc>
          <w:tcPr>
            <w:tcW w:type="dxa" w:w="1984"/>
          </w:tcPr>
          <w:p>
            <w:r>
              <w:t>MeetGrid Rooms</w:t>
            </w:r>
          </w:p>
        </w:tc>
        <w:tc>
          <w:tcPr>
            <w:tcW w:type="dxa" w:w="2494"/>
          </w:tcPr>
          <w:p>
            <w:r>
              <w:t>Conference room devices and digital signage</w:t>
            </w:r>
          </w:p>
        </w:tc>
        <w:tc>
          <w:tcPr>
            <w:tcW w:type="dxa" w:w="1871"/>
          </w:tcPr>
          <w:p>
            <w:r>
              <w:t>Workplace Technology Lead</w:t>
            </w:r>
          </w:p>
        </w:tc>
        <w:tc>
          <w:tcPr>
            <w:tcW w:type="dxa" w:w="2835"/>
          </w:tcPr>
          <w:p>
            <w:r>
              <w:t>Supports HQ and regional offices</w:t>
            </w:r>
          </w:p>
        </w:tc>
      </w:tr>
      <w:tr>
        <w:tc>
          <w:tcPr>
            <w:tcW w:type="dxa" w:w="1984"/>
          </w:tcPr>
          <w:p>
            <w:r>
              <w:t>NetBeacon</w:t>
            </w:r>
          </w:p>
        </w:tc>
        <w:tc>
          <w:tcPr>
            <w:tcW w:type="dxa" w:w="2494"/>
          </w:tcPr>
          <w:p>
            <w:r>
              <w:t>Site network health and alerting</w:t>
            </w:r>
          </w:p>
        </w:tc>
        <w:tc>
          <w:tcPr>
            <w:tcW w:type="dxa" w:w="1871"/>
          </w:tcPr>
          <w:p>
            <w:r>
              <w:t>Infrastructure Services</w:t>
            </w:r>
          </w:p>
        </w:tc>
        <w:tc>
          <w:tcPr>
            <w:tcW w:type="dxa" w:w="2835"/>
          </w:tcPr>
          <w:p>
            <w:r>
              <w:t>Warehouse uplinks, wireless, and printers</w:t>
            </w:r>
          </w:p>
        </w:tc>
      </w:tr>
    </w:tbl>
    <w:p>
      <w:pPr>
        <w:pStyle w:val="Heading1"/>
      </w:pPr>
      <w:r>
        <w:t>Standard Service Workflow</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vAlign w:val="center"/>
            <w:tcMar>
              <w:top w:w="90" w:type="dxa"/>
              <w:start w:w="90" w:type="dxa"/>
              <w:bottom w:w="90" w:type="dxa"/>
              <w:end w:w="90" w:type="dxa"/>
            </w:tcMar>
            <w:shd w:fill="1F4E79"/>
          </w:tcPr>
          <w:p>
            <w:r>
              <w:rPr>
                <w:b/>
                <w:color w:val="FFFFFF"/>
              </w:rPr>
              <w:t>Step</w:t>
            </w:r>
          </w:p>
        </w:tc>
        <w:tc>
          <w:tcPr>
            <w:tcW w:type="dxa" w:w="3685"/>
            <w:vAlign w:val="center"/>
            <w:tcMar>
              <w:top w:w="90" w:type="dxa"/>
              <w:start w:w="90" w:type="dxa"/>
              <w:bottom w:w="90" w:type="dxa"/>
              <w:end w:w="90" w:type="dxa"/>
            </w:tcMar>
            <w:shd w:fill="1F4E79"/>
          </w:tcPr>
          <w:p>
            <w:r>
              <w:rPr>
                <w:b/>
                <w:color w:val="FFFFFF"/>
              </w:rPr>
              <w:t>Action</w:t>
            </w:r>
          </w:p>
        </w:tc>
        <w:tc>
          <w:tcPr>
            <w:tcW w:type="dxa" w:w="1757"/>
            <w:vAlign w:val="center"/>
            <w:tcMar>
              <w:top w:w="90" w:type="dxa"/>
              <w:start w:w="90" w:type="dxa"/>
              <w:bottom w:w="90" w:type="dxa"/>
              <w:end w:w="90" w:type="dxa"/>
            </w:tcMar>
            <w:shd w:fill="1F4E79"/>
          </w:tcPr>
          <w:p>
            <w:r>
              <w:rPr>
                <w:b/>
                <w:color w:val="FFFFFF"/>
              </w:rPr>
              <w:t>Primary Actor</w:t>
            </w:r>
          </w:p>
        </w:tc>
        <w:tc>
          <w:tcPr>
            <w:tcW w:type="dxa" w:w="1247"/>
            <w:vAlign w:val="center"/>
            <w:tcMar>
              <w:top w:w="90" w:type="dxa"/>
              <w:start w:w="90" w:type="dxa"/>
              <w:bottom w:w="90" w:type="dxa"/>
              <w:end w:w="90" w:type="dxa"/>
            </w:tcMar>
            <w:shd w:fill="1F4E79"/>
          </w:tcPr>
          <w:p>
            <w:r>
              <w:rPr>
                <w:b/>
                <w:color w:val="FFFFFF"/>
              </w:rPr>
              <w:t>Target Time</w:t>
            </w:r>
          </w:p>
        </w:tc>
        <w:tc>
          <w:tcPr>
            <w:tcW w:type="dxa" w:w="1928"/>
            <w:vAlign w:val="center"/>
            <w:tcMar>
              <w:top w:w="90" w:type="dxa"/>
              <w:start w:w="90" w:type="dxa"/>
              <w:bottom w:w="90" w:type="dxa"/>
              <w:end w:w="90" w:type="dxa"/>
            </w:tcMar>
            <w:shd w:fill="1F4E79"/>
          </w:tcPr>
          <w:p>
            <w:r>
              <w:rPr>
                <w:b/>
                <w:color w:val="FFFFFF"/>
              </w:rPr>
              <w:t>Output</w:t>
            </w:r>
          </w:p>
        </w:tc>
      </w:tr>
      <w:tr>
        <w:tc>
          <w:tcPr>
            <w:tcW w:type="dxa" w:w="567"/>
          </w:tcPr>
          <w:p>
            <w:r>
              <w:t>1</w:t>
            </w:r>
          </w:p>
        </w:tc>
        <w:tc>
          <w:tcPr>
            <w:tcW w:type="dxa" w:w="3685"/>
          </w:tcPr>
          <w:p>
            <w:r>
              <w:t>Log incident or request in AtlasDesk with user, site, asset, and business impact.</w:t>
            </w:r>
          </w:p>
        </w:tc>
        <w:tc>
          <w:tcPr>
            <w:tcW w:type="dxa" w:w="1757"/>
          </w:tcPr>
          <w:p>
            <w:r>
              <w:t>Requester / Service Desk</w:t>
            </w:r>
          </w:p>
        </w:tc>
        <w:tc>
          <w:tcPr>
            <w:tcW w:type="dxa" w:w="1247"/>
          </w:tcPr>
          <w:p>
            <w:r>
              <w:t>Immediate</w:t>
            </w:r>
          </w:p>
        </w:tc>
        <w:tc>
          <w:tcPr>
            <w:tcW w:type="dxa" w:w="1928"/>
          </w:tcPr>
          <w:p>
            <w:r>
              <w:t>Ticket created with category and priority</w:t>
            </w:r>
          </w:p>
        </w:tc>
      </w:tr>
      <w:tr>
        <w:tc>
          <w:tcPr>
            <w:tcW w:type="dxa" w:w="567"/>
          </w:tcPr>
          <w:p>
            <w:r>
              <w:t>2</w:t>
            </w:r>
          </w:p>
        </w:tc>
        <w:tc>
          <w:tcPr>
            <w:tcW w:type="dxa" w:w="3685"/>
          </w:tcPr>
          <w:p>
            <w:r>
              <w:t>Validate symptoms, confirm scope, and check for duplicate outages or active advisories.</w:t>
            </w:r>
          </w:p>
        </w:tc>
        <w:tc>
          <w:tcPr>
            <w:tcW w:type="dxa" w:w="1757"/>
          </w:tcPr>
          <w:p>
            <w:r>
              <w:t>Triage Analyst</w:t>
            </w:r>
          </w:p>
        </w:tc>
        <w:tc>
          <w:tcPr>
            <w:tcW w:type="dxa" w:w="1247"/>
          </w:tcPr>
          <w:p>
            <w:r>
              <w:t>15 min</w:t>
            </w:r>
          </w:p>
        </w:tc>
        <w:tc>
          <w:tcPr>
            <w:tcW w:type="dxa" w:w="1928"/>
          </w:tcPr>
          <w:p>
            <w:r>
              <w:t>Correct assignment and initial response</w:t>
            </w:r>
          </w:p>
        </w:tc>
      </w:tr>
      <w:tr>
        <w:tc>
          <w:tcPr>
            <w:tcW w:type="dxa" w:w="567"/>
          </w:tcPr>
          <w:p>
            <w:r>
              <w:t>3</w:t>
            </w:r>
          </w:p>
        </w:tc>
        <w:tc>
          <w:tcPr>
            <w:tcW w:type="dxa" w:w="3685"/>
          </w:tcPr>
          <w:p>
            <w:r>
              <w:t>Resolve at first line or route to endpoint, network, identity, or vendor queue.</w:t>
            </w:r>
          </w:p>
        </w:tc>
        <w:tc>
          <w:tcPr>
            <w:tcW w:type="dxa" w:w="1757"/>
          </w:tcPr>
          <w:p>
            <w:r>
              <w:t>Service Desk</w:t>
            </w:r>
          </w:p>
        </w:tc>
        <w:tc>
          <w:tcPr>
            <w:tcW w:type="dxa" w:w="1247"/>
          </w:tcPr>
          <w:p>
            <w:r>
              <w:t>30 min</w:t>
            </w:r>
          </w:p>
        </w:tc>
        <w:tc>
          <w:tcPr>
            <w:tcW w:type="dxa" w:w="1928"/>
          </w:tcPr>
          <w:p>
            <w:r>
              <w:t>Work note + owner assignment</w:t>
            </w:r>
          </w:p>
        </w:tc>
      </w:tr>
      <w:tr>
        <w:tc>
          <w:tcPr>
            <w:tcW w:type="dxa" w:w="567"/>
          </w:tcPr>
          <w:p>
            <w:r>
              <w:t>4</w:t>
            </w:r>
          </w:p>
        </w:tc>
        <w:tc>
          <w:tcPr>
            <w:tcW w:type="dxa" w:w="3685"/>
          </w:tcPr>
          <w:p>
            <w:r>
              <w:t>Communicate status updates based on SLA and any operational impact.</w:t>
            </w:r>
          </w:p>
        </w:tc>
        <w:tc>
          <w:tcPr>
            <w:tcW w:type="dxa" w:w="1757"/>
          </w:tcPr>
          <w:p>
            <w:r>
              <w:t>Assigned Resolver</w:t>
            </w:r>
          </w:p>
        </w:tc>
        <w:tc>
          <w:tcPr>
            <w:tcW w:type="dxa" w:w="1247"/>
          </w:tcPr>
          <w:p>
            <w:r>
              <w:t>Every SLA interval</w:t>
            </w:r>
          </w:p>
        </w:tc>
        <w:tc>
          <w:tcPr>
            <w:tcW w:type="dxa" w:w="1928"/>
          </w:tcPr>
          <w:p>
            <w:r>
              <w:t>Stakeholder updates and ETA</w:t>
            </w:r>
          </w:p>
        </w:tc>
      </w:tr>
      <w:tr>
        <w:tc>
          <w:tcPr>
            <w:tcW w:type="dxa" w:w="567"/>
          </w:tcPr>
          <w:p>
            <w:r>
              <w:t>5</w:t>
            </w:r>
          </w:p>
        </w:tc>
        <w:tc>
          <w:tcPr>
            <w:tcW w:type="dxa" w:w="3685"/>
          </w:tcPr>
          <w:p>
            <w:r>
              <w:t>Close only after validation, KB linkage, and root-cause note for recurring issues.</w:t>
            </w:r>
          </w:p>
        </w:tc>
        <w:tc>
          <w:tcPr>
            <w:tcW w:type="dxa" w:w="1757"/>
          </w:tcPr>
          <w:p>
            <w:r>
              <w:t>Resolver / Requester</w:t>
            </w:r>
          </w:p>
        </w:tc>
        <w:tc>
          <w:tcPr>
            <w:tcW w:type="dxa" w:w="1247"/>
          </w:tcPr>
          <w:p>
            <w:r>
              <w:t>At resolution</w:t>
            </w:r>
          </w:p>
        </w:tc>
        <w:tc>
          <w:tcPr>
            <w:tcW w:type="dxa" w:w="1928"/>
          </w:tcPr>
          <w:p>
            <w:r>
              <w:t>Closed ticket and reusable knowledge</w:t>
            </w:r>
          </w:p>
        </w:tc>
      </w:tr>
    </w:tbl>
    <w:p>
      <w:pPr>
        <w:pStyle w:val="Heading1"/>
      </w:pPr>
      <w:r>
        <w:t>Priority and SLA Reference</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907"/>
            <w:vAlign w:val="center"/>
            <w:tcMar>
              <w:top w:w="90" w:type="dxa"/>
              <w:start w:w="90" w:type="dxa"/>
              <w:bottom w:w="90" w:type="dxa"/>
              <w:end w:w="90" w:type="dxa"/>
            </w:tcMar>
            <w:shd w:fill="D9EAD3"/>
          </w:tcPr>
          <w:p>
            <w:r>
              <w:rPr>
                <w:b/>
              </w:rPr>
              <w:t>Priority</w:t>
            </w:r>
          </w:p>
        </w:tc>
        <w:tc>
          <w:tcPr>
            <w:tcW w:type="dxa" w:w="3969"/>
            <w:vAlign w:val="center"/>
            <w:tcMar>
              <w:top w:w="90" w:type="dxa"/>
              <w:start w:w="90" w:type="dxa"/>
              <w:bottom w:w="90" w:type="dxa"/>
              <w:end w:w="90" w:type="dxa"/>
            </w:tcMar>
            <w:shd w:fill="D9EAD3"/>
          </w:tcPr>
          <w:p>
            <w:r>
              <w:rPr>
                <w:b/>
              </w:rPr>
              <w:t>Typical Example</w:t>
            </w:r>
          </w:p>
        </w:tc>
        <w:tc>
          <w:tcPr>
            <w:tcW w:type="dxa" w:w="1757"/>
            <w:vAlign w:val="center"/>
            <w:tcMar>
              <w:top w:w="90" w:type="dxa"/>
              <w:start w:w="90" w:type="dxa"/>
              <w:bottom w:w="90" w:type="dxa"/>
              <w:end w:w="90" w:type="dxa"/>
            </w:tcMar>
            <w:shd w:fill="D9EAD3"/>
          </w:tcPr>
          <w:p>
            <w:r>
              <w:rPr>
                <w:b/>
              </w:rPr>
              <w:t>First Response</w:t>
            </w:r>
          </w:p>
        </w:tc>
        <w:tc>
          <w:tcPr>
            <w:tcW w:type="dxa" w:w="2381"/>
            <w:vAlign w:val="center"/>
            <w:tcMar>
              <w:top w:w="90" w:type="dxa"/>
              <w:start w:w="90" w:type="dxa"/>
              <w:bottom w:w="90" w:type="dxa"/>
              <w:end w:w="90" w:type="dxa"/>
            </w:tcMar>
            <w:shd w:fill="D9EAD3"/>
          </w:tcPr>
          <w:p>
            <w:r>
              <w:rPr>
                <w:b/>
              </w:rPr>
              <w:t>Resolution Target</w:t>
            </w:r>
          </w:p>
        </w:tc>
      </w:tr>
      <w:tr>
        <w:tc>
          <w:tcPr>
            <w:tcW w:type="dxa" w:w="907"/>
          </w:tcPr>
          <w:p>
            <w:r>
              <w:t>P1</w:t>
            </w:r>
          </w:p>
        </w:tc>
        <w:tc>
          <w:tcPr>
            <w:tcW w:type="dxa" w:w="3969"/>
          </w:tcPr>
          <w:p>
            <w:r>
              <w:t>Site-wide outage, identity lockout for warehouse shift, executive meeting room failure during customer event</w:t>
            </w:r>
          </w:p>
        </w:tc>
        <w:tc>
          <w:tcPr>
            <w:tcW w:type="dxa" w:w="1757"/>
          </w:tcPr>
          <w:p>
            <w:r>
              <w:t>15 minutes</w:t>
            </w:r>
          </w:p>
        </w:tc>
        <w:tc>
          <w:tcPr>
            <w:tcW w:type="dxa" w:w="2381"/>
          </w:tcPr>
          <w:p>
            <w:r>
              <w:t>4 hours or managed workaround</w:t>
            </w:r>
          </w:p>
        </w:tc>
      </w:tr>
      <w:tr>
        <w:tc>
          <w:tcPr>
            <w:tcW w:type="dxa" w:w="907"/>
          </w:tcPr>
          <w:p>
            <w:r>
              <w:t>P2</w:t>
            </w:r>
          </w:p>
        </w:tc>
        <w:tc>
          <w:tcPr>
            <w:tcW w:type="dxa" w:w="3969"/>
          </w:tcPr>
          <w:p>
            <w:r>
              <w:t>Department-level issue, degraded VPN, multiple device enrollment failures</w:t>
            </w:r>
          </w:p>
        </w:tc>
        <w:tc>
          <w:tcPr>
            <w:tcW w:type="dxa" w:w="1757"/>
          </w:tcPr>
          <w:p>
            <w:r>
              <w:t>30 minutes</w:t>
            </w:r>
          </w:p>
        </w:tc>
        <w:tc>
          <w:tcPr>
            <w:tcW w:type="dxa" w:w="2381"/>
          </w:tcPr>
          <w:p>
            <w:r>
              <w:t>8 business hours</w:t>
            </w:r>
          </w:p>
        </w:tc>
      </w:tr>
      <w:tr>
        <w:tc>
          <w:tcPr>
            <w:tcW w:type="dxa" w:w="907"/>
          </w:tcPr>
          <w:p>
            <w:r>
              <w:t>P3</w:t>
            </w:r>
          </w:p>
        </w:tc>
        <w:tc>
          <w:tcPr>
            <w:tcW w:type="dxa" w:w="3969"/>
          </w:tcPr>
          <w:p>
            <w:r>
              <w:t>Single-user productivity issue, printer problem, standard software request</w:t>
            </w:r>
          </w:p>
        </w:tc>
        <w:tc>
          <w:tcPr>
            <w:tcW w:type="dxa" w:w="1757"/>
          </w:tcPr>
          <w:p>
            <w:r>
              <w:t>4 business hours</w:t>
            </w:r>
          </w:p>
        </w:tc>
        <w:tc>
          <w:tcPr>
            <w:tcW w:type="dxa" w:w="2381"/>
          </w:tcPr>
          <w:p>
            <w:r>
              <w:t>3 business days</w:t>
            </w:r>
          </w:p>
        </w:tc>
      </w:tr>
      <w:tr>
        <w:tc>
          <w:tcPr>
            <w:tcW w:type="dxa" w:w="907"/>
          </w:tcPr>
          <w:p>
            <w:r>
              <w:t>P4</w:t>
            </w:r>
          </w:p>
        </w:tc>
        <w:tc>
          <w:tcPr>
            <w:tcW w:type="dxa" w:w="3969"/>
          </w:tcPr>
          <w:p>
            <w:r>
              <w:t>Low-risk request, peripheral replacement, access update with no active blocker</w:t>
            </w:r>
          </w:p>
        </w:tc>
        <w:tc>
          <w:tcPr>
            <w:tcW w:type="dxa" w:w="1757"/>
          </w:tcPr>
          <w:p>
            <w:r>
              <w:t>1 business day</w:t>
            </w:r>
          </w:p>
        </w:tc>
        <w:tc>
          <w:tcPr>
            <w:tcW w:type="dxa" w:w="2381"/>
          </w:tcPr>
          <w:p>
            <w:r>
              <w:t>5 business days</w:t>
            </w:r>
          </w:p>
        </w:tc>
      </w:tr>
    </w:tbl>
    <w:p>
      <w:pPr>
        <w:pStyle w:val="Heading1"/>
      </w:pPr>
      <w:r>
        <w:t>Team Q&amp;A</w:t>
      </w:r>
    </w:p>
    <w:p>
      <w:pPr>
        <w:spacing w:before="80"/>
      </w:pPr>
      <w:r>
        <w:rPr>
          <w:b/>
        </w:rPr>
        <w:t xml:space="preserve">Q: </w:t>
      </w:r>
      <w:r>
        <w:rPr>
          <w:b/>
        </w:rPr>
        <w:t>What does the IT team own at OrchestrAI?</w:t>
      </w:r>
    </w:p>
    <w:p>
      <w:pPr>
        <w:ind w:left="255"/>
      </w:pPr>
      <w:r>
        <w:rPr>
          <w:b/>
        </w:rPr>
        <w:t xml:space="preserve">A: </w:t>
      </w:r>
      <w:r>
        <w:t>IT owns end-user computing, collaboration services, ticket triage, endpoint compliance, warehouse device support, and coordination with Security, Engineering, and vendors for shared systems.</w:t>
      </w:r>
    </w:p>
    <w:p>
      <w:pPr>
        <w:spacing w:before="80"/>
      </w:pPr>
      <w:r>
        <w:rPr>
          <w:b/>
        </w:rPr>
        <w:t xml:space="preserve">Q: </w:t>
      </w:r>
      <w:r>
        <w:rPr>
          <w:b/>
        </w:rPr>
        <w:t>How should users request help?</w:t>
      </w:r>
    </w:p>
    <w:p>
      <w:pPr>
        <w:ind w:left="255"/>
      </w:pPr>
      <w:r>
        <w:rPr>
          <w:b/>
        </w:rPr>
        <w:t xml:space="preserve">A: </w:t>
      </w:r>
      <w:r>
        <w:t>All support requests should be logged in AtlasDesk unless there is a declared outage or the user cannot access the portal. Phone or chat-created tickets must still be backfilled into the system of record.</w:t>
      </w:r>
    </w:p>
    <w:p>
      <w:pPr>
        <w:spacing w:before="80"/>
      </w:pPr>
      <w:r>
        <w:rPr>
          <w:b/>
        </w:rPr>
        <w:t xml:space="preserve">Q: </w:t>
      </w:r>
      <w:r>
        <w:rPr>
          <w:b/>
        </w:rPr>
        <w:t>When is an issue classified as P1?</w:t>
      </w:r>
    </w:p>
    <w:p>
      <w:pPr>
        <w:ind w:left="255"/>
      </w:pPr>
      <w:r>
        <w:rPr>
          <w:b/>
        </w:rPr>
        <w:t xml:space="preserve">A: </w:t>
      </w:r>
      <w:r>
        <w:t>An issue is P1 when it blocks a critical business process for a site or function, impacts safety-critical warehouse operations, or disrupts a time-sensitive executive or customer-facing event.</w:t>
      </w:r>
    </w:p>
    <w:p>
      <w:pPr>
        <w:spacing w:before="80"/>
      </w:pPr>
      <w:r>
        <w:rPr>
          <w:b/>
        </w:rPr>
        <w:t xml:space="preserve">Q: </w:t>
      </w:r>
      <w:r>
        <w:rPr>
          <w:b/>
        </w:rPr>
        <w:t>What information is required in every ticket?</w:t>
      </w:r>
    </w:p>
    <w:p>
      <w:pPr>
        <w:ind w:left="255"/>
      </w:pPr>
      <w:r>
        <w:rPr>
          <w:b/>
        </w:rPr>
        <w:t xml:space="preserve">A: </w:t>
      </w:r>
      <w:r>
        <w:t>Tickets must include the affected user or site, device or asset tag when available, business impact, time first observed, troubleshooting already performed, and screenshots or error text where possible.</w:t>
      </w:r>
    </w:p>
    <w:p>
      <w:pPr>
        <w:spacing w:before="80"/>
      </w:pPr>
      <w:r>
        <w:rPr>
          <w:b/>
        </w:rPr>
        <w:t xml:space="preserve">Q: </w:t>
      </w:r>
      <w:r>
        <w:rPr>
          <w:b/>
        </w:rPr>
        <w:t>How are new laptops provisioned?</w:t>
      </w:r>
    </w:p>
    <w:p>
      <w:pPr>
        <w:ind w:left="255"/>
      </w:pPr>
      <w:r>
        <w:rPr>
          <w:b/>
        </w:rPr>
        <w:t xml:space="preserve">A: </w:t>
      </w:r>
      <w:r>
        <w:t>Endpoint Engineering stages a standard image, applies FleetPulse policies, encrypts the device, validates baseline software, and associates the asset with the employee record before release.</w:t>
      </w:r>
    </w:p>
    <w:p>
      <w:pPr>
        <w:spacing w:before="80"/>
      </w:pPr>
      <w:r>
        <w:rPr>
          <w:b/>
        </w:rPr>
        <w:t xml:space="preserve">Q: </w:t>
      </w:r>
      <w:r>
        <w:rPr>
          <w:b/>
        </w:rPr>
        <w:t>Who approves software installations?</w:t>
      </w:r>
    </w:p>
    <w:p>
      <w:pPr>
        <w:ind w:left="255"/>
      </w:pPr>
      <w:r>
        <w:rPr>
          <w:b/>
        </w:rPr>
        <w:t xml:space="preserve">A: </w:t>
      </w:r>
      <w:r>
        <w:t>Standard catalog apps can be self-requested or manager-approved depending on license cost. Non-standard software requires manager approval and an IT compatibility check; Security review is required for higher-risk tools.</w:t>
      </w:r>
    </w:p>
    <w:p>
      <w:pPr>
        <w:spacing w:before="80"/>
      </w:pPr>
      <w:r>
        <w:rPr>
          <w:b/>
        </w:rPr>
        <w:t xml:space="preserve">Q: </w:t>
      </w:r>
      <w:r>
        <w:rPr>
          <w:b/>
        </w:rPr>
        <w:t>How does IT handle onboarding?</w:t>
      </w:r>
    </w:p>
    <w:p>
      <w:pPr>
        <w:ind w:left="255"/>
      </w:pPr>
      <w:r>
        <w:rPr>
          <w:b/>
        </w:rPr>
        <w:t xml:space="preserve">A: </w:t>
      </w:r>
      <w:r>
        <w:t>IT receives an approved hire record, prepares account and hardware based on role profile, verifies MFA enrollment, and confirms access to core collaboration and productivity tools before start date.</w:t>
      </w:r>
    </w:p>
    <w:p>
      <w:pPr>
        <w:spacing w:before="80"/>
      </w:pPr>
      <w:r>
        <w:rPr>
          <w:b/>
        </w:rPr>
        <w:t xml:space="preserve">Q: </w:t>
      </w:r>
      <w:r>
        <w:rPr>
          <w:b/>
        </w:rPr>
        <w:t>What is the offboarding expectation?</w:t>
      </w:r>
    </w:p>
    <w:p>
      <w:pPr>
        <w:ind w:left="255"/>
      </w:pPr>
      <w:r>
        <w:rPr>
          <w:b/>
        </w:rPr>
        <w:t xml:space="preserve">A: </w:t>
      </w:r>
      <w:r>
        <w:t>Offboarding actions must begin as soon as HR confirms separation timing. Accounts, devices, badges, and shared mailbox ownership should be reviewed in line with the offboarding checklist and legal hold requirements.</w:t>
      </w:r>
    </w:p>
    <w:p>
      <w:pPr>
        <w:spacing w:before="80"/>
      </w:pPr>
      <w:r>
        <w:rPr>
          <w:b/>
        </w:rPr>
        <w:t xml:space="preserve">Q: </w:t>
      </w:r>
      <w:r>
        <w:rPr>
          <w:b/>
        </w:rPr>
        <w:t>How are warehouse handhelds supported?</w:t>
      </w:r>
    </w:p>
    <w:p>
      <w:pPr>
        <w:ind w:left="255"/>
      </w:pPr>
      <w:r>
        <w:rPr>
          <w:b/>
        </w:rPr>
        <w:t xml:space="preserve">A: </w:t>
      </w:r>
      <w:r>
        <w:t>Warehouse handhelds are managed through FleetPulse, assigned to local inventory, and supported with spare pool rotations. Repeated failures should be logged against the device model and site location to identify patterns.</w:t>
      </w:r>
    </w:p>
    <w:p>
      <w:pPr>
        <w:spacing w:before="80"/>
      </w:pPr>
      <w:r>
        <w:rPr>
          <w:b/>
        </w:rPr>
        <w:t xml:space="preserve">Q: </w:t>
      </w:r>
      <w:r>
        <w:rPr>
          <w:b/>
        </w:rPr>
        <w:t>What should IT do during a VPN incident?</w:t>
      </w:r>
    </w:p>
    <w:p>
      <w:pPr>
        <w:ind w:left="255"/>
      </w:pPr>
      <w:r>
        <w:rPr>
          <w:b/>
        </w:rPr>
        <w:t xml:space="preserve">A: </w:t>
      </w:r>
      <w:r>
        <w:t>IT should validate scope, check known-provider status, publish an advisory if multiple users are affected, and prioritize workarounds for warehouse managers, field technicians, and remote responders.</w:t>
      </w:r>
    </w:p>
    <w:p>
      <w:pPr>
        <w:spacing w:before="80"/>
      </w:pPr>
      <w:r>
        <w:rPr>
          <w:b/>
        </w:rPr>
        <w:t xml:space="preserve">Q: </w:t>
      </w:r>
      <w:r>
        <w:rPr>
          <w:b/>
        </w:rPr>
        <w:t>Who owns meeting room technology?</w:t>
      </w:r>
    </w:p>
    <w:p>
      <w:pPr>
        <w:ind w:left="255"/>
      </w:pPr>
      <w:r>
        <w:rPr>
          <w:b/>
        </w:rPr>
        <w:t xml:space="preserve">A: </w:t>
      </w:r>
      <w:r>
        <w:t>Workplace Technology owns room panels, cameras, displays, audio bars, and digital signage. Building facilities may own power or cabling dependencies, but room experience remains an IT responsibility.</w:t>
      </w:r>
    </w:p>
    <w:p>
      <w:pPr>
        <w:spacing w:before="80"/>
      </w:pPr>
      <w:r>
        <w:rPr>
          <w:b/>
        </w:rPr>
        <w:t xml:space="preserve">Q: </w:t>
      </w:r>
      <w:r>
        <w:rPr>
          <w:b/>
        </w:rPr>
        <w:t>How are access requests routed?</w:t>
      </w:r>
    </w:p>
    <w:p>
      <w:pPr>
        <w:ind w:left="255"/>
      </w:pPr>
      <w:r>
        <w:rPr>
          <w:b/>
        </w:rPr>
        <w:t xml:space="preserve">A: </w:t>
      </w:r>
      <w:r>
        <w:t>Standard group access requests go through Access Hub. Sensitive roles or production-related groups are routed jointly to IT and Security, with approver identity and business justification retained in the ticket record.</w:t>
      </w:r>
    </w:p>
    <w:p>
      <w:pPr>
        <w:spacing w:before="80"/>
      </w:pPr>
      <w:r>
        <w:rPr>
          <w:b/>
        </w:rPr>
        <w:t xml:space="preserve">Q: </w:t>
      </w:r>
      <w:r>
        <w:rPr>
          <w:b/>
        </w:rPr>
        <w:t>What happens if a printer issue blocks shipping?</w:t>
      </w:r>
    </w:p>
    <w:p>
      <w:pPr>
        <w:ind w:left="255"/>
      </w:pPr>
      <w:r>
        <w:rPr>
          <w:b/>
        </w:rPr>
        <w:t xml:space="preserve">A: </w:t>
      </w:r>
      <w:r>
        <w:t>Service Desk should treat it as an operational incident, confirm site scope, engage local support or vendor field service, and escalate priority when labels or dispatch documents cannot be produced.</w:t>
      </w:r>
    </w:p>
    <w:p>
      <w:pPr>
        <w:spacing w:before="80"/>
      </w:pPr>
      <w:r>
        <w:rPr>
          <w:b/>
        </w:rPr>
        <w:t xml:space="preserve">Q: </w:t>
      </w:r>
      <w:r>
        <w:rPr>
          <w:b/>
        </w:rPr>
        <w:t>When should IT escalate to Engineering?</w:t>
      </w:r>
    </w:p>
    <w:p>
      <w:pPr>
        <w:ind w:left="255"/>
      </w:pPr>
      <w:r>
        <w:rPr>
          <w:b/>
        </w:rPr>
        <w:t xml:space="preserve">A: </w:t>
      </w:r>
      <w:r>
        <w:t>Escalation to Engineering is required when the symptom suggests an application defect, API dependency failure, authentication integration bug, or telemetry issue beyond IT-managed infrastructure.</w:t>
      </w:r>
    </w:p>
    <w:p>
      <w:pPr>
        <w:spacing w:before="80"/>
      </w:pPr>
      <w:r>
        <w:rPr>
          <w:b/>
        </w:rPr>
        <w:t xml:space="preserve">Q: </w:t>
      </w:r>
      <w:r>
        <w:rPr>
          <w:b/>
        </w:rPr>
        <w:t>When should IT escalate to Security?</w:t>
      </w:r>
    </w:p>
    <w:p>
      <w:pPr>
        <w:ind w:left="255"/>
      </w:pPr>
      <w:r>
        <w:rPr>
          <w:b/>
        </w:rPr>
        <w:t xml:space="preserve">A: </w:t>
      </w:r>
      <w:r>
        <w:t>Security should be engaged for phishing, suspicious login activity, lost devices with sensitive data, privileged-access anomalies, or any case with suspected policy breach or data exposure.</w:t>
      </w:r>
    </w:p>
    <w:p>
      <w:pPr>
        <w:spacing w:before="80"/>
      </w:pPr>
      <w:r>
        <w:rPr>
          <w:b/>
        </w:rPr>
        <w:t xml:space="preserve">Q: </w:t>
      </w:r>
      <w:r>
        <w:rPr>
          <w:b/>
        </w:rPr>
        <w:t>How is knowledge capture handled?</w:t>
      </w:r>
    </w:p>
    <w:p>
      <w:pPr>
        <w:ind w:left="255"/>
      </w:pPr>
      <w:r>
        <w:rPr>
          <w:b/>
        </w:rPr>
        <w:t xml:space="preserve">A: </w:t>
      </w:r>
      <w:r>
        <w:t>Resolved tickets with repeat value should be linked to an existing knowledge article or used to create a new one. Articles must be written in user-friendly language and reviewed quarterly.</w:t>
      </w:r>
    </w:p>
    <w:p>
      <w:pPr>
        <w:spacing w:before="80"/>
      </w:pPr>
      <w:r>
        <w:rPr>
          <w:b/>
        </w:rPr>
        <w:t xml:space="preserve">Q: </w:t>
      </w:r>
      <w:r>
        <w:rPr>
          <w:b/>
        </w:rPr>
        <w:t>What metrics matter most to the team?</w:t>
      </w:r>
    </w:p>
    <w:p>
      <w:pPr>
        <w:ind w:left="255"/>
      </w:pPr>
      <w:r>
        <w:rPr>
          <w:b/>
        </w:rPr>
        <w:t xml:space="preserve">A: </w:t>
      </w:r>
      <w:r>
        <w:t>Key measures include first-response compliance, first-contact resolution, endpoint compliance rate, backlog aging, repeat-incident rate, and warehouse device availability.</w:t>
      </w:r>
    </w:p>
    <w:p>
      <w:pPr>
        <w:spacing w:before="80"/>
      </w:pPr>
      <w:r>
        <w:rPr>
          <w:b/>
        </w:rPr>
        <w:t xml:space="preserve">Q: </w:t>
      </w:r>
      <w:r>
        <w:rPr>
          <w:b/>
        </w:rPr>
        <w:t>How often are endpoint standards reviewed?</w:t>
      </w:r>
    </w:p>
    <w:p>
      <w:pPr>
        <w:ind w:left="255"/>
      </w:pPr>
      <w:r>
        <w:rPr>
          <w:b/>
        </w:rPr>
        <w:t xml:space="preserve">A: </w:t>
      </w:r>
      <w:r>
        <w:t>Baseline standards are reviewed quarterly or after a major security, OS, or vendor change. Emergency policy updates may be issued outside the normal cadence when risk warrants.</w:t>
      </w:r>
    </w:p>
    <w:p>
      <w:pPr>
        <w:spacing w:before="80"/>
      </w:pPr>
      <w:r>
        <w:rPr>
          <w:b/>
        </w:rPr>
        <w:t xml:space="preserve">Q: </w:t>
      </w:r>
      <w:r>
        <w:rPr>
          <w:b/>
        </w:rPr>
        <w:t>Can users bypass the service desk by contacting engineers directly?</w:t>
      </w:r>
    </w:p>
    <w:p>
      <w:pPr>
        <w:ind w:left="255"/>
      </w:pPr>
      <w:r>
        <w:rPr>
          <w:b/>
        </w:rPr>
        <w:t xml:space="preserve">A: </w:t>
      </w:r>
      <w:r>
        <w:t>No. Urgent issues can be escalated quickly, but they still require an AtlasDesk record so communication, ownership, and reporting remain consistent.</w:t>
      </w:r>
    </w:p>
    <w:p>
      <w:pPr>
        <w:spacing w:before="80"/>
      </w:pPr>
      <w:r>
        <w:rPr>
          <w:b/>
        </w:rPr>
        <w:t xml:space="preserve">Q: </w:t>
      </w:r>
      <w:r>
        <w:rPr>
          <w:b/>
        </w:rPr>
        <w:t>What is the goal of the IT team?</w:t>
      </w:r>
    </w:p>
    <w:p>
      <w:pPr>
        <w:ind w:left="255"/>
      </w:pPr>
      <w:r>
        <w:rPr>
          <w:b/>
        </w:rPr>
        <w:t xml:space="preserve">A: </w:t>
      </w:r>
      <w:r>
        <w:t>The goal is dependable, secure, and low-friction technology support that keeps office, remote, and warehouse staff productive without creating unnecessary process overhead.</w:t>
      </w:r>
    </w:p>
    <w:p>
      <w:pPr>
        <w:pStyle w:val="Heading1"/>
      </w:pPr>
      <w:r>
        <w:t>Escalation Guide</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494"/>
            <w:vAlign w:val="center"/>
            <w:tcMar>
              <w:top w:w="90" w:type="dxa"/>
              <w:start w:w="90" w:type="dxa"/>
              <w:bottom w:w="90" w:type="dxa"/>
              <w:end w:w="90" w:type="dxa"/>
            </w:tcMar>
            <w:shd w:fill="DDEBF7"/>
          </w:tcPr>
          <w:p>
            <w:r>
              <w:rPr>
                <w:b/>
              </w:rPr>
              <w:t>Scenario</w:t>
            </w:r>
          </w:p>
        </w:tc>
        <w:tc>
          <w:tcPr>
            <w:tcW w:type="dxa" w:w="2041"/>
            <w:vAlign w:val="center"/>
            <w:tcMar>
              <w:top w:w="90" w:type="dxa"/>
              <w:start w:w="90" w:type="dxa"/>
              <w:bottom w:w="90" w:type="dxa"/>
              <w:end w:w="90" w:type="dxa"/>
            </w:tcMar>
            <w:shd w:fill="DDEBF7"/>
          </w:tcPr>
          <w:p>
            <w:r>
              <w:rPr>
                <w:b/>
              </w:rPr>
              <w:t>Primary Escalation</w:t>
            </w:r>
          </w:p>
        </w:tc>
        <w:tc>
          <w:tcPr>
            <w:tcW w:type="dxa" w:w="1814"/>
            <w:vAlign w:val="center"/>
            <w:tcMar>
              <w:top w:w="90" w:type="dxa"/>
              <w:start w:w="90" w:type="dxa"/>
              <w:bottom w:w="90" w:type="dxa"/>
              <w:end w:w="90" w:type="dxa"/>
            </w:tcMar>
            <w:shd w:fill="DDEBF7"/>
          </w:tcPr>
          <w:p>
            <w:r>
              <w:rPr>
                <w:b/>
              </w:rPr>
              <w:t>Secondary Escalation</w:t>
            </w:r>
          </w:p>
        </w:tc>
        <w:tc>
          <w:tcPr>
            <w:tcW w:type="dxa" w:w="2608"/>
            <w:vAlign w:val="center"/>
            <w:tcMar>
              <w:top w:w="90" w:type="dxa"/>
              <w:start w:w="90" w:type="dxa"/>
              <w:bottom w:w="90" w:type="dxa"/>
              <w:end w:w="90" w:type="dxa"/>
            </w:tcMar>
            <w:shd w:fill="DDEBF7"/>
          </w:tcPr>
          <w:p>
            <w:r>
              <w:rPr>
                <w:b/>
              </w:rPr>
              <w:t>Trigger</w:t>
            </w:r>
          </w:p>
        </w:tc>
      </w:tr>
      <w:tr>
        <w:tc>
          <w:tcPr>
            <w:tcW w:type="dxa" w:w="2494"/>
          </w:tcPr>
          <w:p>
            <w:r>
              <w:t>Identity sync failure affecting new hires</w:t>
            </w:r>
          </w:p>
        </w:tc>
        <w:tc>
          <w:tcPr>
            <w:tcW w:type="dxa" w:w="2041"/>
          </w:tcPr>
          <w:p>
            <w:r>
              <w:t>Identity Administrator</w:t>
            </w:r>
          </w:p>
        </w:tc>
        <w:tc>
          <w:tcPr>
            <w:tcW w:type="dxa" w:w="1814"/>
          </w:tcPr>
          <w:p>
            <w:r>
              <w:t>Security IAM</w:t>
            </w:r>
          </w:p>
        </w:tc>
        <w:tc>
          <w:tcPr>
            <w:tcW w:type="dxa" w:w="2608"/>
          </w:tcPr>
          <w:p>
            <w:r>
              <w:t>More than five users or missed start date risk</w:t>
            </w:r>
          </w:p>
        </w:tc>
      </w:tr>
      <w:tr>
        <w:tc>
          <w:tcPr>
            <w:tcW w:type="dxa" w:w="2494"/>
          </w:tcPr>
          <w:p>
            <w:r>
              <w:t>Warehouse wireless instability</w:t>
            </w:r>
          </w:p>
        </w:tc>
        <w:tc>
          <w:tcPr>
            <w:tcW w:type="dxa" w:w="2041"/>
          </w:tcPr>
          <w:p>
            <w:r>
              <w:t>Infrastructure Services</w:t>
            </w:r>
          </w:p>
        </w:tc>
        <w:tc>
          <w:tcPr>
            <w:tcW w:type="dxa" w:w="1814"/>
          </w:tcPr>
          <w:p>
            <w:r>
              <w:t>Site Operations Manager</w:t>
            </w:r>
          </w:p>
        </w:tc>
        <w:tc>
          <w:tcPr>
            <w:tcW w:type="dxa" w:w="2608"/>
          </w:tcPr>
          <w:p>
            <w:r>
              <w:t>Scanning or dispatch activity blocked for 15+ minutes</w:t>
            </w:r>
          </w:p>
        </w:tc>
      </w:tr>
      <w:tr>
        <w:tc>
          <w:tcPr>
            <w:tcW w:type="dxa" w:w="2494"/>
          </w:tcPr>
          <w:p>
            <w:r>
              <w:t>Collaboration platform outage</w:t>
            </w:r>
          </w:p>
        </w:tc>
        <w:tc>
          <w:tcPr>
            <w:tcW w:type="dxa" w:w="2041"/>
          </w:tcPr>
          <w:p>
            <w:r>
              <w:t>Workplace Technology Lead</w:t>
            </w:r>
          </w:p>
        </w:tc>
        <w:tc>
          <w:tcPr>
            <w:tcW w:type="dxa" w:w="1814"/>
          </w:tcPr>
          <w:p>
            <w:r>
              <w:t>Vendor + Communications</w:t>
            </w:r>
          </w:p>
        </w:tc>
        <w:tc>
          <w:tcPr>
            <w:tcW w:type="dxa" w:w="2608"/>
          </w:tcPr>
          <w:p>
            <w:r>
              <w:t>Multiple departments unable to join meetings</w:t>
            </w:r>
          </w:p>
        </w:tc>
      </w:tr>
      <w:tr>
        <w:tc>
          <w:tcPr>
            <w:tcW w:type="dxa" w:w="2494"/>
          </w:tcPr>
          <w:p>
            <w:r>
              <w:t>Device compliance drop below threshold</w:t>
            </w:r>
          </w:p>
        </w:tc>
        <w:tc>
          <w:tcPr>
            <w:tcW w:type="dxa" w:w="2041"/>
          </w:tcPr>
          <w:p>
            <w:r>
              <w:t>Endpoint Engineering</w:t>
            </w:r>
          </w:p>
        </w:tc>
        <w:tc>
          <w:tcPr>
            <w:tcW w:type="dxa" w:w="1814"/>
          </w:tcPr>
          <w:p>
            <w:r>
              <w:t>Security Endpoint Team</w:t>
            </w:r>
          </w:p>
        </w:tc>
        <w:tc>
          <w:tcPr>
            <w:tcW w:type="dxa" w:w="2608"/>
          </w:tcPr>
          <w:p>
            <w:r>
              <w:t>Compliance below 97% for two consecutive days</w:t>
            </w:r>
          </w:p>
        </w:tc>
      </w:tr>
    </w:tbl>
    <w:p>
      <w:pPr>
        <w:pStyle w:val="Heading1"/>
      </w:pPr>
      <w:r>
        <w:t>Glossary and Related References</w:t>
      </w:r>
    </w:p>
    <w:p>
      <w:pPr>
        <w:pStyle w:val="ListBullet"/>
      </w:pPr>
      <w:r>
        <w:rPr>
          <w:b/>
        </w:rPr>
        <w:t xml:space="preserve">AtlasDesk: </w:t>
      </w:r>
      <w:r>
        <w:t>OrchestrAI ticketing and service request platform.</w:t>
      </w:r>
    </w:p>
    <w:p>
      <w:pPr>
        <w:pStyle w:val="ListBullet"/>
      </w:pPr>
      <w:r>
        <w:rPr>
          <w:b/>
        </w:rPr>
        <w:t xml:space="preserve">FleetPulse: </w:t>
      </w:r>
      <w:r>
        <w:t>Endpoint and handheld device management suite used for compliance, inventory, and remote actions.</w:t>
      </w:r>
    </w:p>
    <w:p>
      <w:pPr>
        <w:pStyle w:val="ListBullet"/>
      </w:pPr>
      <w:r>
        <w:rPr>
          <w:b/>
        </w:rPr>
        <w:t xml:space="preserve">Access Hub: </w:t>
      </w:r>
      <w:r>
        <w:t>Workflow tool for standard account and access-group requests.</w:t>
      </w:r>
    </w:p>
    <w:p>
      <w:pPr>
        <w:pStyle w:val="ListBullet"/>
      </w:pPr>
      <w:r>
        <w:rPr>
          <w:b/>
        </w:rPr>
        <w:t xml:space="preserve">P1 / P2 / P3 / P4: </w:t>
      </w:r>
      <w:r>
        <w:t>Priority scale used to define response and resolution expectations.</w:t>
      </w:r>
    </w:p>
    <w:p>
      <w:pPr>
        <w:pStyle w:val="ListBullet"/>
      </w:pPr>
      <w:r>
        <w:rPr>
          <w:b/>
        </w:rPr>
        <w:t xml:space="preserve">Managed workaround: </w:t>
      </w:r>
      <w:r>
        <w:t>A temporary measure that restores business function while the root issue is still being resolved.</w:t>
      </w:r>
    </w:p>
    <w:p>
      <w:pPr>
        <w:pStyle w:val="Heading1"/>
      </w:pPr>
      <w:r>
        <w:t>Service Desk Operating Principles</w:t>
      </w:r>
    </w:p>
    <w:p>
      <w:pPr>
        <w:pStyle w:val="ListBullet"/>
      </w:pPr>
      <w:r>
        <w:rPr>
          <w:b/>
        </w:rPr>
        <w:t xml:space="preserve">Consistency over heroics: </w:t>
      </w:r>
      <w:r>
        <w:t>Every urgent issue still needs a ticket, owner, status notes, and handoff path so the team can measure and improve service instead of relying on informal work.</w:t>
      </w:r>
    </w:p>
    <w:p>
      <w:pPr>
        <w:pStyle w:val="ListBullet"/>
      </w:pPr>
      <w:r>
        <w:rPr>
          <w:b/>
        </w:rPr>
        <w:t xml:space="preserve">Operational empathy: </w:t>
      </w:r>
      <w:r>
        <w:t>Warehouse and field issues should be evaluated through the lens of throughput, shift timing, and safety. A small device issue can become a large operational blocker during dispatch windows.</w:t>
      </w:r>
    </w:p>
    <w:p>
      <w:pPr>
        <w:pStyle w:val="ListBullet"/>
      </w:pPr>
      <w:r>
        <w:rPr>
          <w:b/>
        </w:rPr>
        <w:t xml:space="preserve">Document once, reuse often: </w:t>
      </w:r>
      <w:r>
        <w:t>Resolution notes should be reusable. Good ticket notes become knowledge articles, training inputs, and future troubleshooting shortcuts for first-line analysts.</w:t>
      </w:r>
    </w:p>
    <w:p>
      <w:pPr>
        <w:pStyle w:val="Heading1"/>
      </w:pPr>
      <w:r>
        <w:t>Related Internal References</w:t>
      </w:r>
    </w:p>
    <w:p>
      <w:pPr>
        <w:pStyle w:val="ListBullet"/>
      </w:pPr>
      <w:r>
        <w:t>OrchestrAI Endpoint Baseline Standard</w:t>
      </w:r>
    </w:p>
    <w:p>
      <w:pPr>
        <w:pStyle w:val="ListBullet"/>
      </w:pPr>
      <w:r>
        <w:t>Warehouse Device Spare Pool Checklist</w:t>
      </w:r>
    </w:p>
    <w:p>
      <w:pPr>
        <w:pStyle w:val="ListBullet"/>
      </w:pPr>
      <w:r>
        <w:t>Identity Lifecycle Runbook</w:t>
      </w:r>
    </w:p>
    <w:p>
      <w:pPr>
        <w:pStyle w:val="ListBullet"/>
      </w:pPr>
      <w:r>
        <w:t>VPN Service Advisory Template</w:t>
      </w:r>
    </w:p>
    <w:p>
      <w:pPr>
        <w:pStyle w:val="ListBullet"/>
      </w:pPr>
      <w:r>
        <w:t>Meeting Room Support Escalation Matrix</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OrchestrAI Internal • IT Workplace and Service Desk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A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A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