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6B7A"/>
          <w:sz w:val="17"/>
        </w:rPr>
        <w:t>ORCHESTRAI INTERNAL KNOWLEDGE BASE</w:t>
      </w:r>
    </w:p>
    <w:p>
      <w:pPr>
        <w:pStyle w:val="Title"/>
      </w:pPr>
      <w:r>
        <w:t>Sales and Solutions Handbook</w:t>
      </w:r>
    </w:p>
    <w:p>
      <w:r>
        <w:rPr>
          <w:b/>
        </w:rPr>
        <w:t xml:space="preserve">Document ID: </w:t>
      </w:r>
      <w:r>
        <w:t xml:space="preserve">TEAMQA-SALES-001   </w:t>
      </w:r>
      <w:r>
        <w:rPr>
          <w:b/>
        </w:rPr>
        <w:t xml:space="preserve">Department: </w:t>
      </w:r>
      <w:r>
        <w:t xml:space="preserve">Sales &amp; Solutions   </w:t>
      </w:r>
      <w:r>
        <w:rPr>
          <w:b/>
        </w:rPr>
        <w:t xml:space="preserve">Confidentiality: </w:t>
      </w:r>
      <w:r>
        <w:t xml:space="preserve">Internal Use Only   </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fill="DCE6F1"/>
            <w:tcMar>
              <w:top w:w="80" w:type="dxa"/>
              <w:start w:w="100" w:type="dxa"/>
              <w:bottom w:w="80" w:type="dxa"/>
              <w:end w:w="100" w:type="dxa"/>
            </w:tcMar>
            <w:vAlign w:val="center"/>
          </w:tcPr>
          <w:p>
            <w:r>
              <w:rPr>
                <w:b/>
              </w:rPr>
              <w:t>Owner</w:t>
            </w:r>
          </w:p>
        </w:tc>
        <w:tc>
          <w:tcPr>
            <w:tcW w:type="dxa" w:w="2469"/>
            <w:tcMar>
              <w:top w:w="80" w:type="dxa"/>
              <w:start w:w="100" w:type="dxa"/>
              <w:bottom w:w="80" w:type="dxa"/>
              <w:end w:w="100" w:type="dxa"/>
            </w:tcMar>
            <w:vAlign w:val="center"/>
          </w:tcPr>
          <w:p>
            <w:r>
              <w:t>VP, Revenue Operations</w:t>
            </w:r>
          </w:p>
        </w:tc>
        <w:tc>
          <w:tcPr>
            <w:tcW w:type="dxa" w:w="2469"/>
            <w:shd w:fill="DCE6F1"/>
            <w:tcMar>
              <w:top w:w="80" w:type="dxa"/>
              <w:start w:w="100" w:type="dxa"/>
              <w:bottom w:w="80" w:type="dxa"/>
              <w:end w:w="100" w:type="dxa"/>
            </w:tcMar>
            <w:vAlign w:val="center"/>
          </w:tcPr>
          <w:p>
            <w:r>
              <w:rPr>
                <w:b/>
              </w:rPr>
              <w:t>Version</w:t>
            </w:r>
          </w:p>
        </w:tc>
        <w:tc>
          <w:tcPr>
            <w:tcW w:type="dxa" w:w="2469"/>
            <w:tcMar>
              <w:top w:w="80" w:type="dxa"/>
              <w:start w:w="100" w:type="dxa"/>
              <w:bottom w:w="80" w:type="dxa"/>
              <w:end w:w="100" w:type="dxa"/>
            </w:tcMar>
            <w:vAlign w:val="center"/>
          </w:tcPr>
          <w:p>
            <w:r>
              <w:t>1.0</w:t>
            </w:r>
          </w:p>
        </w:tc>
      </w:tr>
      <w:tr>
        <w:tc>
          <w:tcPr>
            <w:tcW w:type="dxa" w:w="2469"/>
            <w:shd w:fill="DCE6F1"/>
            <w:tcMar>
              <w:top w:w="80" w:type="dxa"/>
              <w:start w:w="100" w:type="dxa"/>
              <w:bottom w:w="80" w:type="dxa"/>
              <w:end w:w="100" w:type="dxa"/>
            </w:tcMar>
            <w:vAlign w:val="center"/>
          </w:tcPr>
          <w:p>
            <w:r>
              <w:rPr>
                <w:b/>
              </w:rPr>
              <w:t>Effective date</w:t>
            </w:r>
          </w:p>
        </w:tc>
        <w:tc>
          <w:tcPr>
            <w:tcW w:type="dxa" w:w="2469"/>
            <w:tcMar>
              <w:top w:w="80" w:type="dxa"/>
              <w:start w:w="100" w:type="dxa"/>
              <w:bottom w:w="80" w:type="dxa"/>
              <w:end w:w="100" w:type="dxa"/>
            </w:tcMar>
            <w:vAlign w:val="center"/>
          </w:tcPr>
          <w:p>
            <w:r>
              <w:t>2026-02-18</w:t>
            </w:r>
          </w:p>
        </w:tc>
        <w:tc>
          <w:tcPr>
            <w:tcW w:type="dxa" w:w="2469"/>
            <w:shd w:fill="DCE6F1"/>
            <w:tcMar>
              <w:top w:w="80" w:type="dxa"/>
              <w:start w:w="100" w:type="dxa"/>
              <w:bottom w:w="80" w:type="dxa"/>
              <w:end w:w="100" w:type="dxa"/>
            </w:tcMar>
            <w:vAlign w:val="center"/>
          </w:tcPr>
          <w:p>
            <w:r>
              <w:rPr>
                <w:b/>
              </w:rPr>
              <w:t>Review date</w:t>
            </w:r>
          </w:p>
        </w:tc>
        <w:tc>
          <w:tcPr>
            <w:tcW w:type="dxa" w:w="2469"/>
            <w:tcMar>
              <w:top w:w="80" w:type="dxa"/>
              <w:start w:w="100" w:type="dxa"/>
              <w:bottom w:w="80" w:type="dxa"/>
              <w:end w:w="100" w:type="dxa"/>
            </w:tcMar>
            <w:vAlign w:val="center"/>
          </w:tcPr>
          <w:p>
            <w:r>
              <w:t>2026-08-18</w:t>
            </w:r>
          </w:p>
        </w:tc>
      </w:tr>
      <w:tr>
        <w:tc>
          <w:tcPr>
            <w:tcW w:type="dxa" w:w="2469"/>
            <w:shd w:fill="DCE6F1"/>
            <w:tcMar>
              <w:top w:w="80" w:type="dxa"/>
              <w:start w:w="100" w:type="dxa"/>
              <w:bottom w:w="80" w:type="dxa"/>
              <w:end w:w="100" w:type="dxa"/>
            </w:tcMar>
            <w:vAlign w:val="center"/>
          </w:tcPr>
          <w:p>
            <w:r>
              <w:rPr>
                <w:b/>
              </w:rPr>
              <w:t>Primary systems</w:t>
            </w:r>
          </w:p>
        </w:tc>
        <w:tc>
          <w:tcPr>
            <w:tcW w:type="dxa" w:w="2469"/>
            <w:tcMar>
              <w:top w:w="80" w:type="dxa"/>
              <w:start w:w="100" w:type="dxa"/>
              <w:bottom w:w="80" w:type="dxa"/>
              <w:end w:w="100" w:type="dxa"/>
            </w:tcMar>
            <w:vAlign w:val="center"/>
          </w:tcPr>
          <w:p>
            <w:r>
              <w:t>AtlasCRM, QuoteForge, BeaconOps</w:t>
            </w:r>
          </w:p>
        </w:tc>
        <w:tc>
          <w:tcPr>
            <w:tcW w:type="dxa" w:w="2469"/>
            <w:shd w:fill="DCE6F1"/>
            <w:tcMar>
              <w:top w:w="80" w:type="dxa"/>
              <w:start w:w="100" w:type="dxa"/>
              <w:bottom w:w="80" w:type="dxa"/>
              <w:end w:w="100" w:type="dxa"/>
            </w:tcMar>
            <w:vAlign w:val="center"/>
          </w:tcPr>
          <w:p>
            <w:r>
              <w:rPr>
                <w:b/>
              </w:rPr>
              <w:t>Related teams</w:t>
            </w:r>
          </w:p>
        </w:tc>
        <w:tc>
          <w:tcPr>
            <w:tcW w:type="dxa" w:w="2469"/>
            <w:tcMar>
              <w:top w:w="80" w:type="dxa"/>
              <w:start w:w="100" w:type="dxa"/>
              <w:bottom w:w="80" w:type="dxa"/>
              <w:end w:w="100" w:type="dxa"/>
            </w:tcMar>
            <w:vAlign w:val="center"/>
          </w:tcPr>
          <w:p>
            <w:r>
              <w:t>Product, Customer Success, Finance</w:t>
            </w:r>
          </w:p>
        </w:tc>
      </w:tr>
    </w:tbl>
    <w:p>
      <w:r>
        <w:t>Purpose: This handbook describes how OrchestrAI manages demand generation handoff, opportunity qualification, solution scoping, commercial approvals, and customer transition into implementation and steady-state service.</w:t>
      </w:r>
    </w:p>
    <w:p>
      <w:pPr>
        <w:pStyle w:val="Heading1"/>
      </w:pPr>
      <w:r>
        <w:t>Team scope and commercial model</w:t>
      </w:r>
    </w:p>
    <w:p>
      <w:r>
        <w:t>The Sales and Solutions organization is responsible for turning qualified demand into executable deals without creating downstream delivery risk. The team coordinates with Product on roadmap commitments, Finance on pricing controls, Logistics on hardware availability, and Customer Success on launch readiness and handoff quality.</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fill="D9EAF7"/>
            <w:tcMar>
              <w:top w:w="80" w:type="dxa"/>
              <w:start w:w="100" w:type="dxa"/>
              <w:bottom w:w="80" w:type="dxa"/>
              <w:end w:w="100" w:type="dxa"/>
            </w:tcMar>
          </w:tcPr>
          <w:p>
            <w:r>
              <w:rPr>
                <w:b/>
              </w:rPr>
              <w:t>Function</w:t>
            </w:r>
          </w:p>
        </w:tc>
        <w:tc>
          <w:tcPr>
            <w:tcW w:type="dxa" w:w="2469"/>
            <w:shd w:fill="D9EAF7"/>
            <w:tcMar>
              <w:top w:w="80" w:type="dxa"/>
              <w:start w:w="100" w:type="dxa"/>
              <w:bottom w:w="80" w:type="dxa"/>
              <w:end w:w="100" w:type="dxa"/>
            </w:tcMar>
          </w:tcPr>
          <w:p>
            <w:r>
              <w:rPr>
                <w:b/>
              </w:rPr>
              <w:t>Primary responsibility</w:t>
            </w:r>
          </w:p>
        </w:tc>
        <w:tc>
          <w:tcPr>
            <w:tcW w:type="dxa" w:w="2469"/>
            <w:shd w:fill="D9EAF7"/>
            <w:tcMar>
              <w:top w:w="80" w:type="dxa"/>
              <w:start w:w="100" w:type="dxa"/>
              <w:bottom w:w="80" w:type="dxa"/>
              <w:end w:w="100" w:type="dxa"/>
            </w:tcMar>
          </w:tcPr>
          <w:p>
            <w:r>
              <w:rPr>
                <w:b/>
              </w:rPr>
              <w:t>Main system</w:t>
            </w:r>
          </w:p>
        </w:tc>
        <w:tc>
          <w:tcPr>
            <w:tcW w:type="dxa" w:w="2469"/>
            <w:shd w:fill="D9EAF7"/>
            <w:tcMar>
              <w:top w:w="80" w:type="dxa"/>
              <w:start w:w="100" w:type="dxa"/>
              <w:bottom w:w="80" w:type="dxa"/>
              <w:end w:w="100" w:type="dxa"/>
            </w:tcMar>
          </w:tcPr>
          <w:p>
            <w:r>
              <w:rPr>
                <w:b/>
              </w:rPr>
              <w:t>Common escalation</w:t>
            </w:r>
          </w:p>
        </w:tc>
      </w:tr>
      <w:tr>
        <w:tc>
          <w:tcPr>
            <w:tcW w:type="dxa" w:w="2469"/>
            <w:tcMar>
              <w:top w:w="80" w:type="dxa"/>
              <w:start w:w="100" w:type="dxa"/>
              <w:bottom w:w="80" w:type="dxa"/>
              <w:end w:w="100" w:type="dxa"/>
            </w:tcMar>
          </w:tcPr>
          <w:p>
            <w:r>
              <w:t>Account Executive</w:t>
            </w:r>
          </w:p>
        </w:tc>
        <w:tc>
          <w:tcPr>
            <w:tcW w:type="dxa" w:w="2469"/>
            <w:tcMar>
              <w:top w:w="80" w:type="dxa"/>
              <w:start w:w="100" w:type="dxa"/>
              <w:bottom w:w="80" w:type="dxa"/>
              <w:end w:w="100" w:type="dxa"/>
            </w:tcMar>
          </w:tcPr>
          <w:p>
            <w:r>
              <w:t>Owns opportunity strategy, stakeholder mapping, and commercial close</w:t>
            </w:r>
          </w:p>
        </w:tc>
        <w:tc>
          <w:tcPr>
            <w:tcW w:type="dxa" w:w="2469"/>
            <w:tcMar>
              <w:top w:w="80" w:type="dxa"/>
              <w:start w:w="100" w:type="dxa"/>
              <w:bottom w:w="80" w:type="dxa"/>
              <w:end w:w="100" w:type="dxa"/>
            </w:tcMar>
          </w:tcPr>
          <w:p>
            <w:r>
              <w:t>AtlasCRM</w:t>
            </w:r>
          </w:p>
        </w:tc>
        <w:tc>
          <w:tcPr>
            <w:tcW w:type="dxa" w:w="2469"/>
            <w:tcMar>
              <w:top w:w="80" w:type="dxa"/>
              <w:start w:w="100" w:type="dxa"/>
              <w:bottom w:w="80" w:type="dxa"/>
              <w:end w:w="100" w:type="dxa"/>
            </w:tcMar>
          </w:tcPr>
          <w:p>
            <w:r>
              <w:t>Non-standard terms or competitive price pressure</w:t>
            </w:r>
          </w:p>
        </w:tc>
      </w:tr>
      <w:tr>
        <w:tc>
          <w:tcPr>
            <w:tcW w:type="dxa" w:w="2469"/>
            <w:tcMar>
              <w:top w:w="80" w:type="dxa"/>
              <w:start w:w="100" w:type="dxa"/>
              <w:bottom w:w="80" w:type="dxa"/>
              <w:end w:w="100" w:type="dxa"/>
            </w:tcMar>
          </w:tcPr>
          <w:p>
            <w:r>
              <w:t>Solutions Consultant</w:t>
            </w:r>
          </w:p>
        </w:tc>
        <w:tc>
          <w:tcPr>
            <w:tcW w:type="dxa" w:w="2469"/>
            <w:tcMar>
              <w:top w:w="80" w:type="dxa"/>
              <w:start w:w="100" w:type="dxa"/>
              <w:bottom w:w="80" w:type="dxa"/>
              <w:end w:w="100" w:type="dxa"/>
            </w:tcMar>
          </w:tcPr>
          <w:p>
            <w:r>
              <w:t>Validates fit, demos workflows, and scopes technical requirements</w:t>
            </w:r>
          </w:p>
        </w:tc>
        <w:tc>
          <w:tcPr>
            <w:tcW w:type="dxa" w:w="2469"/>
            <w:tcMar>
              <w:top w:w="80" w:type="dxa"/>
              <w:start w:w="100" w:type="dxa"/>
              <w:bottom w:w="80" w:type="dxa"/>
              <w:end w:w="100" w:type="dxa"/>
            </w:tcMar>
          </w:tcPr>
          <w:p>
            <w:r>
              <w:t>BeaconOps sandbox</w:t>
            </w:r>
          </w:p>
        </w:tc>
        <w:tc>
          <w:tcPr>
            <w:tcW w:type="dxa" w:w="2469"/>
            <w:tcMar>
              <w:top w:w="80" w:type="dxa"/>
              <w:start w:w="100" w:type="dxa"/>
              <w:bottom w:w="80" w:type="dxa"/>
              <w:end w:w="100" w:type="dxa"/>
            </w:tcMar>
          </w:tcPr>
          <w:p>
            <w:r>
              <w:t>Unsupported workflow or unclear integration path</w:t>
            </w:r>
          </w:p>
        </w:tc>
      </w:tr>
      <w:tr>
        <w:tc>
          <w:tcPr>
            <w:tcW w:type="dxa" w:w="2469"/>
            <w:tcMar>
              <w:top w:w="80" w:type="dxa"/>
              <w:start w:w="100" w:type="dxa"/>
              <w:bottom w:w="80" w:type="dxa"/>
              <w:end w:w="100" w:type="dxa"/>
            </w:tcMar>
          </w:tcPr>
          <w:p>
            <w:r>
              <w:t>Revenue Operations</w:t>
            </w:r>
          </w:p>
        </w:tc>
        <w:tc>
          <w:tcPr>
            <w:tcW w:type="dxa" w:w="2469"/>
            <w:tcMar>
              <w:top w:w="80" w:type="dxa"/>
              <w:start w:w="100" w:type="dxa"/>
              <w:bottom w:w="80" w:type="dxa"/>
              <w:end w:w="100" w:type="dxa"/>
            </w:tcMar>
          </w:tcPr>
          <w:p>
            <w:r>
              <w:t>Maintains stage governance, forecast hygiene, and approval routing</w:t>
            </w:r>
          </w:p>
        </w:tc>
        <w:tc>
          <w:tcPr>
            <w:tcW w:type="dxa" w:w="2469"/>
            <w:tcMar>
              <w:top w:w="80" w:type="dxa"/>
              <w:start w:w="100" w:type="dxa"/>
              <w:bottom w:w="80" w:type="dxa"/>
              <w:end w:w="100" w:type="dxa"/>
            </w:tcMar>
          </w:tcPr>
          <w:p>
            <w:r>
              <w:t>AtlasCRM / QuoteForge</w:t>
            </w:r>
          </w:p>
        </w:tc>
        <w:tc>
          <w:tcPr>
            <w:tcW w:type="dxa" w:w="2469"/>
            <w:tcMar>
              <w:top w:w="80" w:type="dxa"/>
              <w:start w:w="100" w:type="dxa"/>
              <w:bottom w:w="80" w:type="dxa"/>
              <w:end w:w="100" w:type="dxa"/>
            </w:tcMar>
          </w:tcPr>
          <w:p>
            <w:r>
              <w:t>Pipeline data quality or approval bottleneck</w:t>
            </w:r>
          </w:p>
        </w:tc>
      </w:tr>
      <w:tr>
        <w:tc>
          <w:tcPr>
            <w:tcW w:type="dxa" w:w="2469"/>
            <w:tcMar>
              <w:top w:w="80" w:type="dxa"/>
              <w:start w:w="100" w:type="dxa"/>
              <w:bottom w:w="80" w:type="dxa"/>
              <w:end w:w="100" w:type="dxa"/>
            </w:tcMar>
          </w:tcPr>
          <w:p>
            <w:r>
              <w:t>Regional Sales Manager</w:t>
            </w:r>
          </w:p>
        </w:tc>
        <w:tc>
          <w:tcPr>
            <w:tcW w:type="dxa" w:w="2469"/>
            <w:tcMar>
              <w:top w:w="80" w:type="dxa"/>
              <w:start w:w="100" w:type="dxa"/>
              <w:bottom w:w="80" w:type="dxa"/>
              <w:end w:w="100" w:type="dxa"/>
            </w:tcMar>
          </w:tcPr>
          <w:p>
            <w:r>
              <w:t>Approves exceptions and coaches deal strategy</w:t>
            </w:r>
          </w:p>
        </w:tc>
        <w:tc>
          <w:tcPr>
            <w:tcW w:type="dxa" w:w="2469"/>
            <w:tcMar>
              <w:top w:w="80" w:type="dxa"/>
              <w:start w:w="100" w:type="dxa"/>
              <w:bottom w:w="80" w:type="dxa"/>
              <w:end w:w="100" w:type="dxa"/>
            </w:tcMar>
          </w:tcPr>
          <w:p>
            <w:r>
              <w:t>AtlasCRM</w:t>
            </w:r>
          </w:p>
        </w:tc>
        <w:tc>
          <w:tcPr>
            <w:tcW w:type="dxa" w:w="2469"/>
            <w:tcMar>
              <w:top w:w="80" w:type="dxa"/>
              <w:start w:w="100" w:type="dxa"/>
              <w:bottom w:w="80" w:type="dxa"/>
              <w:end w:w="100" w:type="dxa"/>
            </w:tcMar>
          </w:tcPr>
          <w:p>
            <w:r>
              <w:t>Large discount, executive escalation, or renewal at risk</w:t>
            </w:r>
          </w:p>
        </w:tc>
      </w:tr>
    </w:tbl>
    <w:p>
      <w:pPr>
        <w:pStyle w:val="Heading1"/>
      </w:pPr>
      <w:r>
        <w:t>Opportunity workflow</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976"/>
            <w:shd w:fill="D9EAF7"/>
            <w:tcMar>
              <w:top w:w="80" w:type="dxa"/>
              <w:start w:w="100" w:type="dxa"/>
              <w:bottom w:w="80" w:type="dxa"/>
              <w:end w:w="100" w:type="dxa"/>
            </w:tcMar>
          </w:tcPr>
          <w:p>
            <w:r>
              <w:rPr>
                <w:b/>
              </w:rPr>
              <w:t>Stage</w:t>
            </w:r>
          </w:p>
        </w:tc>
        <w:tc>
          <w:tcPr>
            <w:tcW w:type="dxa" w:w="1976"/>
            <w:shd w:fill="D9EAF7"/>
            <w:tcMar>
              <w:top w:w="80" w:type="dxa"/>
              <w:start w:w="100" w:type="dxa"/>
              <w:bottom w:w="80" w:type="dxa"/>
              <w:end w:w="100" w:type="dxa"/>
            </w:tcMar>
          </w:tcPr>
          <w:p>
            <w:r>
              <w:rPr>
                <w:b/>
              </w:rPr>
              <w:t>Entry criteria</w:t>
            </w:r>
          </w:p>
        </w:tc>
        <w:tc>
          <w:tcPr>
            <w:tcW w:type="dxa" w:w="1976"/>
            <w:shd w:fill="D9EAF7"/>
            <w:tcMar>
              <w:top w:w="80" w:type="dxa"/>
              <w:start w:w="100" w:type="dxa"/>
              <w:bottom w:w="80" w:type="dxa"/>
              <w:end w:w="100" w:type="dxa"/>
            </w:tcMar>
          </w:tcPr>
          <w:p>
            <w:r>
              <w:rPr>
                <w:b/>
              </w:rPr>
              <w:t>Owner</w:t>
            </w:r>
          </w:p>
        </w:tc>
        <w:tc>
          <w:tcPr>
            <w:tcW w:type="dxa" w:w="1976"/>
            <w:shd w:fill="D9EAF7"/>
            <w:tcMar>
              <w:top w:w="80" w:type="dxa"/>
              <w:start w:w="100" w:type="dxa"/>
              <w:bottom w:w="80" w:type="dxa"/>
              <w:end w:w="100" w:type="dxa"/>
            </w:tcMar>
          </w:tcPr>
          <w:p>
            <w:r>
              <w:rPr>
                <w:b/>
              </w:rPr>
              <w:t>Key output</w:t>
            </w:r>
          </w:p>
        </w:tc>
        <w:tc>
          <w:tcPr>
            <w:tcW w:type="dxa" w:w="1976"/>
            <w:shd w:fill="D9EAF7"/>
            <w:tcMar>
              <w:top w:w="80" w:type="dxa"/>
              <w:start w:w="100" w:type="dxa"/>
              <w:bottom w:w="80" w:type="dxa"/>
              <w:end w:w="100" w:type="dxa"/>
            </w:tcMar>
          </w:tcPr>
          <w:p>
            <w:r>
              <w:rPr>
                <w:b/>
              </w:rPr>
              <w:t>Exit control</w:t>
            </w:r>
          </w:p>
        </w:tc>
      </w:tr>
      <w:tr>
        <w:tc>
          <w:tcPr>
            <w:tcW w:type="dxa" w:w="1976"/>
            <w:tcMar>
              <w:top w:w="80" w:type="dxa"/>
              <w:start w:w="100" w:type="dxa"/>
              <w:bottom w:w="80" w:type="dxa"/>
              <w:end w:w="100" w:type="dxa"/>
            </w:tcMar>
          </w:tcPr>
          <w:p>
            <w:r>
              <w:t>Qualification</w:t>
            </w:r>
          </w:p>
        </w:tc>
        <w:tc>
          <w:tcPr>
            <w:tcW w:type="dxa" w:w="1976"/>
            <w:tcMar>
              <w:top w:w="80" w:type="dxa"/>
              <w:start w:w="100" w:type="dxa"/>
              <w:bottom w:w="80" w:type="dxa"/>
              <w:end w:w="100" w:type="dxa"/>
            </w:tcMar>
          </w:tcPr>
          <w:p>
            <w:r>
              <w:t>Validated problem, timeline, budget signal, and sponsor contact</w:t>
            </w:r>
          </w:p>
        </w:tc>
        <w:tc>
          <w:tcPr>
            <w:tcW w:type="dxa" w:w="1976"/>
            <w:tcMar>
              <w:top w:w="80" w:type="dxa"/>
              <w:start w:w="100" w:type="dxa"/>
              <w:bottom w:w="80" w:type="dxa"/>
              <w:end w:w="100" w:type="dxa"/>
            </w:tcMar>
          </w:tcPr>
          <w:p>
            <w:r>
              <w:t>Account Executive</w:t>
            </w:r>
          </w:p>
        </w:tc>
        <w:tc>
          <w:tcPr>
            <w:tcW w:type="dxa" w:w="1976"/>
            <w:tcMar>
              <w:top w:w="80" w:type="dxa"/>
              <w:start w:w="100" w:type="dxa"/>
              <w:bottom w:w="80" w:type="dxa"/>
              <w:end w:w="100" w:type="dxa"/>
            </w:tcMar>
          </w:tcPr>
          <w:p>
            <w:r>
              <w:t>Qualified discovery summary</w:t>
            </w:r>
          </w:p>
        </w:tc>
        <w:tc>
          <w:tcPr>
            <w:tcW w:type="dxa" w:w="1976"/>
            <w:tcMar>
              <w:top w:w="80" w:type="dxa"/>
              <w:start w:w="100" w:type="dxa"/>
              <w:bottom w:w="80" w:type="dxa"/>
              <w:end w:w="100" w:type="dxa"/>
            </w:tcMar>
          </w:tcPr>
          <w:p>
            <w:r>
              <w:t>Mutual agreement that warehouse use case is in scope</w:t>
            </w:r>
          </w:p>
        </w:tc>
      </w:tr>
      <w:tr>
        <w:tc>
          <w:tcPr>
            <w:tcW w:type="dxa" w:w="1976"/>
            <w:tcMar>
              <w:top w:w="80" w:type="dxa"/>
              <w:start w:w="100" w:type="dxa"/>
              <w:bottom w:w="80" w:type="dxa"/>
              <w:end w:w="100" w:type="dxa"/>
            </w:tcMar>
          </w:tcPr>
          <w:p>
            <w:r>
              <w:t>Solution fit</w:t>
            </w:r>
          </w:p>
        </w:tc>
        <w:tc>
          <w:tcPr>
            <w:tcW w:type="dxa" w:w="1976"/>
            <w:tcMar>
              <w:top w:w="80" w:type="dxa"/>
              <w:start w:w="100" w:type="dxa"/>
              <w:bottom w:w="80" w:type="dxa"/>
              <w:end w:w="100" w:type="dxa"/>
            </w:tcMar>
          </w:tcPr>
          <w:p>
            <w:r>
              <w:t>Operational process map and high-level technical review complete</w:t>
            </w:r>
          </w:p>
        </w:tc>
        <w:tc>
          <w:tcPr>
            <w:tcW w:type="dxa" w:w="1976"/>
            <w:tcMar>
              <w:top w:w="80" w:type="dxa"/>
              <w:start w:w="100" w:type="dxa"/>
              <w:bottom w:w="80" w:type="dxa"/>
              <w:end w:w="100" w:type="dxa"/>
            </w:tcMar>
          </w:tcPr>
          <w:p>
            <w:r>
              <w:t>Solutions Consultant</w:t>
            </w:r>
          </w:p>
        </w:tc>
        <w:tc>
          <w:tcPr>
            <w:tcW w:type="dxa" w:w="1976"/>
            <w:tcMar>
              <w:top w:w="80" w:type="dxa"/>
              <w:start w:w="100" w:type="dxa"/>
              <w:bottom w:w="80" w:type="dxa"/>
              <w:end w:w="100" w:type="dxa"/>
            </w:tcMar>
          </w:tcPr>
          <w:p>
            <w:r>
              <w:t>Solution brief and risk notes</w:t>
            </w:r>
          </w:p>
        </w:tc>
        <w:tc>
          <w:tcPr>
            <w:tcW w:type="dxa" w:w="1976"/>
            <w:tcMar>
              <w:top w:w="80" w:type="dxa"/>
              <w:start w:w="100" w:type="dxa"/>
              <w:bottom w:w="80" w:type="dxa"/>
              <w:end w:w="100" w:type="dxa"/>
            </w:tcMar>
          </w:tcPr>
          <w:p>
            <w:r>
              <w:t>No material unsupported workflow remains unresolved</w:t>
            </w:r>
          </w:p>
        </w:tc>
      </w:tr>
      <w:tr>
        <w:tc>
          <w:tcPr>
            <w:tcW w:type="dxa" w:w="1976"/>
            <w:tcMar>
              <w:top w:w="80" w:type="dxa"/>
              <w:start w:w="100" w:type="dxa"/>
              <w:bottom w:w="80" w:type="dxa"/>
              <w:end w:w="100" w:type="dxa"/>
            </w:tcMar>
          </w:tcPr>
          <w:p>
            <w:r>
              <w:t>Commercial structuring</w:t>
            </w:r>
          </w:p>
        </w:tc>
        <w:tc>
          <w:tcPr>
            <w:tcW w:type="dxa" w:w="1976"/>
            <w:tcMar>
              <w:top w:w="80" w:type="dxa"/>
              <w:start w:w="100" w:type="dxa"/>
              <w:bottom w:w="80" w:type="dxa"/>
              <w:end w:w="100" w:type="dxa"/>
            </w:tcMar>
          </w:tcPr>
          <w:p>
            <w:r>
              <w:t>Configuration, services effort, and hardware quantities agreed</w:t>
            </w:r>
          </w:p>
        </w:tc>
        <w:tc>
          <w:tcPr>
            <w:tcW w:type="dxa" w:w="1976"/>
            <w:tcMar>
              <w:top w:w="80" w:type="dxa"/>
              <w:start w:w="100" w:type="dxa"/>
              <w:bottom w:w="80" w:type="dxa"/>
              <w:end w:w="100" w:type="dxa"/>
            </w:tcMar>
          </w:tcPr>
          <w:p>
            <w:r>
              <w:t>AE with RevOps</w:t>
            </w:r>
          </w:p>
        </w:tc>
        <w:tc>
          <w:tcPr>
            <w:tcW w:type="dxa" w:w="1976"/>
            <w:tcMar>
              <w:top w:w="80" w:type="dxa"/>
              <w:start w:w="100" w:type="dxa"/>
              <w:bottom w:w="80" w:type="dxa"/>
              <w:end w:w="100" w:type="dxa"/>
            </w:tcMar>
          </w:tcPr>
          <w:p>
            <w:r>
              <w:t>Quote package and approval record</w:t>
            </w:r>
          </w:p>
        </w:tc>
        <w:tc>
          <w:tcPr>
            <w:tcW w:type="dxa" w:w="1976"/>
            <w:tcMar>
              <w:top w:w="80" w:type="dxa"/>
              <w:start w:w="100" w:type="dxa"/>
              <w:bottom w:w="80" w:type="dxa"/>
              <w:end w:w="100" w:type="dxa"/>
            </w:tcMar>
          </w:tcPr>
          <w:p>
            <w:r>
              <w:t>Pricing and terms approved in QuoteForge</w:t>
            </w:r>
          </w:p>
        </w:tc>
      </w:tr>
      <w:tr>
        <w:tc>
          <w:tcPr>
            <w:tcW w:type="dxa" w:w="1976"/>
            <w:tcMar>
              <w:top w:w="80" w:type="dxa"/>
              <w:start w:w="100" w:type="dxa"/>
              <w:bottom w:w="80" w:type="dxa"/>
              <w:end w:w="100" w:type="dxa"/>
            </w:tcMar>
          </w:tcPr>
          <w:p>
            <w:r>
              <w:t>Commit review</w:t>
            </w:r>
          </w:p>
        </w:tc>
        <w:tc>
          <w:tcPr>
            <w:tcW w:type="dxa" w:w="1976"/>
            <w:tcMar>
              <w:top w:w="80" w:type="dxa"/>
              <w:start w:w="100" w:type="dxa"/>
              <w:bottom w:w="80" w:type="dxa"/>
              <w:end w:w="100" w:type="dxa"/>
            </w:tcMar>
          </w:tcPr>
          <w:p>
            <w:r>
              <w:t>Handoff package prepared for post-signature teams</w:t>
            </w:r>
          </w:p>
        </w:tc>
        <w:tc>
          <w:tcPr>
            <w:tcW w:type="dxa" w:w="1976"/>
            <w:tcMar>
              <w:top w:w="80" w:type="dxa"/>
              <w:start w:w="100" w:type="dxa"/>
              <w:bottom w:w="80" w:type="dxa"/>
              <w:end w:w="100" w:type="dxa"/>
            </w:tcMar>
          </w:tcPr>
          <w:p>
            <w:r>
              <w:t>AE + CSM</w:t>
            </w:r>
          </w:p>
        </w:tc>
        <w:tc>
          <w:tcPr>
            <w:tcW w:type="dxa" w:w="1976"/>
            <w:tcMar>
              <w:top w:w="80" w:type="dxa"/>
              <w:start w:w="100" w:type="dxa"/>
              <w:bottom w:w="80" w:type="dxa"/>
              <w:end w:w="100" w:type="dxa"/>
            </w:tcMar>
          </w:tcPr>
          <w:p>
            <w:r>
              <w:t>Implementation assumptions and success criteria</w:t>
            </w:r>
          </w:p>
        </w:tc>
        <w:tc>
          <w:tcPr>
            <w:tcW w:type="dxa" w:w="1976"/>
            <w:tcMar>
              <w:top w:w="80" w:type="dxa"/>
              <w:start w:w="100" w:type="dxa"/>
              <w:bottom w:w="80" w:type="dxa"/>
              <w:end w:w="100" w:type="dxa"/>
            </w:tcMar>
          </w:tcPr>
          <w:p>
            <w:r>
              <w:t>Customer Success accepts handoff package</w:t>
            </w:r>
          </w:p>
        </w:tc>
      </w:tr>
      <w:tr>
        <w:tc>
          <w:tcPr>
            <w:tcW w:type="dxa" w:w="1976"/>
            <w:tcMar>
              <w:top w:w="80" w:type="dxa"/>
              <w:start w:w="100" w:type="dxa"/>
              <w:bottom w:w="80" w:type="dxa"/>
              <w:end w:w="100" w:type="dxa"/>
            </w:tcMar>
          </w:tcPr>
          <w:p>
            <w:r>
              <w:t>Closed won</w:t>
            </w:r>
          </w:p>
        </w:tc>
        <w:tc>
          <w:tcPr>
            <w:tcW w:type="dxa" w:w="1976"/>
            <w:tcMar>
              <w:top w:w="80" w:type="dxa"/>
              <w:start w:w="100" w:type="dxa"/>
              <w:bottom w:w="80" w:type="dxa"/>
              <w:end w:w="100" w:type="dxa"/>
            </w:tcMar>
          </w:tcPr>
          <w:p>
            <w:r>
              <w:t>Contract executed and launch window agreed</w:t>
            </w:r>
          </w:p>
        </w:tc>
        <w:tc>
          <w:tcPr>
            <w:tcW w:type="dxa" w:w="1976"/>
            <w:tcMar>
              <w:top w:w="80" w:type="dxa"/>
              <w:start w:w="100" w:type="dxa"/>
              <w:bottom w:w="80" w:type="dxa"/>
              <w:end w:w="100" w:type="dxa"/>
            </w:tcMar>
          </w:tcPr>
          <w:p>
            <w:r>
              <w:t>AE</w:t>
            </w:r>
          </w:p>
        </w:tc>
        <w:tc>
          <w:tcPr>
            <w:tcW w:type="dxa" w:w="1976"/>
            <w:tcMar>
              <w:top w:w="80" w:type="dxa"/>
              <w:start w:w="100" w:type="dxa"/>
              <w:bottom w:w="80" w:type="dxa"/>
              <w:end w:w="100" w:type="dxa"/>
            </w:tcMar>
          </w:tcPr>
          <w:p>
            <w:r>
              <w:t>Final account record and onboarding trigger</w:t>
            </w:r>
          </w:p>
        </w:tc>
        <w:tc>
          <w:tcPr>
            <w:tcW w:type="dxa" w:w="1976"/>
            <w:tcMar>
              <w:top w:w="80" w:type="dxa"/>
              <w:start w:w="100" w:type="dxa"/>
              <w:bottom w:w="80" w:type="dxa"/>
              <w:end w:w="100" w:type="dxa"/>
            </w:tcMar>
          </w:tcPr>
          <w:p>
            <w:r>
              <w:t>Project intake and kickoff initiated</w:t>
            </w:r>
          </w:p>
        </w:tc>
      </w:tr>
    </w:tbl>
    <w:p>
      <w:pPr>
        <w:pStyle w:val="Heading1"/>
      </w:pPr>
      <w:r>
        <w:t>Core systems and artifacts</w:t>
      </w:r>
    </w:p>
    <w:p>
      <w:pPr>
        <w:ind w:left="288" w:hanging="216"/>
      </w:pPr>
      <w:r>
        <w:rPr>
          <w:b/>
        </w:rPr>
        <w:t xml:space="preserve">• </w:t>
      </w:r>
      <w:r>
        <w:t>AtlasCRM is the system of record for lead routing, opportunity stages, forecast category, stakeholder maps, and close-plan notes.</w:t>
      </w:r>
    </w:p>
    <w:p>
      <w:pPr>
        <w:ind w:left="288" w:hanging="216"/>
      </w:pPr>
      <w:r>
        <w:rPr>
          <w:b/>
        </w:rPr>
        <w:t xml:space="preserve">• </w:t>
      </w:r>
      <w:r>
        <w:t>QuoteForge stores quotes, discount approvals, non-standard term exceptions, and signed commercial packages.</w:t>
      </w:r>
    </w:p>
    <w:p>
      <w:pPr>
        <w:ind w:left="288" w:hanging="216"/>
      </w:pPr>
      <w:r>
        <w:rPr>
          <w:b/>
        </w:rPr>
        <w:t xml:space="preserve">• </w:t>
      </w:r>
      <w:r>
        <w:t>BeaconOps sandbox environments are used by Solutions Consultants to validate demo flows and compare proposed warehouse workflows against supported product behavior.</w:t>
      </w:r>
    </w:p>
    <w:p>
      <w:pPr>
        <w:ind w:left="288" w:hanging="216"/>
      </w:pPr>
      <w:r>
        <w:rPr>
          <w:b/>
        </w:rPr>
        <w:t xml:space="preserve">• </w:t>
      </w:r>
      <w:r>
        <w:t>Sales handoff artifacts include the solution brief, assumptions log, pricing summary, implementation dependencies, and a named stakeholder matrix.</w:t>
      </w:r>
    </w:p>
    <w:p>
      <w:pPr>
        <w:pStyle w:val="Heading1"/>
      </w:pPr>
      <w:r>
        <w:t>Specialised Q&amp;A</w:t>
      </w:r>
    </w:p>
    <w:p>
      <w:r>
        <w:rPr>
          <w:b/>
        </w:rPr>
        <w:t xml:space="preserve">Q: </w:t>
      </w:r>
      <w:r>
        <w:rPr>
          <w:b/>
        </w:rPr>
        <w:t>What does the Sales and Solutions team own after a deal is signed?</w:t>
      </w:r>
    </w:p>
    <w:p>
      <w:pPr>
        <w:ind w:left="259"/>
      </w:pPr>
      <w:r>
        <w:rPr>
          <w:b/>
        </w:rPr>
        <w:t xml:space="preserve">A: </w:t>
      </w:r>
      <w:r>
        <w:t>Commercial ownership transfers out of primary focus after signature, but the team still owns a clean handoff, confirmation of commitments made during the sales cycle, and participation in executive escalations where commercial context matters.</w:t>
      </w:r>
    </w:p>
    <w:p>
      <w:r>
        <w:rPr>
          <w:b/>
        </w:rPr>
        <w:t xml:space="preserve">Q: </w:t>
      </w:r>
      <w:r>
        <w:rPr>
          <w:b/>
        </w:rPr>
        <w:t>What makes an opportunity truly qualified at OrchestrAI?</w:t>
      </w:r>
    </w:p>
    <w:p>
      <w:pPr>
        <w:ind w:left="259"/>
      </w:pPr>
      <w:r>
        <w:rPr>
          <w:b/>
        </w:rPr>
        <w:t xml:space="preserve">A: </w:t>
      </w:r>
      <w:r>
        <w:t>A qualified opportunity has a documented warehouse problem, a credible business sponsor, a timeline that matches operational constraints, a measurable business case, and enough process detail to determine whether OrchestrAI can support the workflow without hidden delivery risk.</w:t>
      </w:r>
    </w:p>
    <w:p>
      <w:r>
        <w:rPr>
          <w:b/>
        </w:rPr>
        <w:t xml:space="preserve">Q: </w:t>
      </w:r>
      <w:r>
        <w:rPr>
          <w:b/>
        </w:rPr>
        <w:t>When must a Solutions Consultant join a deal?</w:t>
      </w:r>
    </w:p>
    <w:p>
      <w:pPr>
        <w:ind w:left="259"/>
      </w:pPr>
      <w:r>
        <w:rPr>
          <w:b/>
        </w:rPr>
        <w:t xml:space="preserve">A: </w:t>
      </w:r>
      <w:r>
        <w:t>A Solutions Consultant must join when the opportunity involves integration questions, custom warehouse workflows, edge-device placement decisions, multi-site rollout plans, or any technical claim that could affect implementation complexity.</w:t>
      </w:r>
    </w:p>
    <w:p>
      <w:r>
        <w:rPr>
          <w:b/>
        </w:rPr>
        <w:t xml:space="preserve">Q: </w:t>
      </w:r>
      <w:r>
        <w:rPr>
          <w:b/>
        </w:rPr>
        <w:t>What should never be promised during discovery or demo?</w:t>
      </w:r>
    </w:p>
    <w:p>
      <w:pPr>
        <w:ind w:left="259"/>
      </w:pPr>
      <w:r>
        <w:rPr>
          <w:b/>
        </w:rPr>
        <w:t xml:space="preserve">A: </w:t>
      </w:r>
      <w:r>
        <w:t>Teams should never promise unsupported features, unpublished roadmap dates, unlimited professional services, non-standard uptime commitments, or custom hardware timelines without explicit approval.</w:t>
      </w:r>
    </w:p>
    <w:p>
      <w:r>
        <w:rPr>
          <w:b/>
        </w:rPr>
        <w:t xml:space="preserve">Q: </w:t>
      </w:r>
      <w:r>
        <w:rPr>
          <w:b/>
        </w:rPr>
        <w:t>How are discounts controlled?</w:t>
      </w:r>
    </w:p>
    <w:p>
      <w:pPr>
        <w:ind w:left="259"/>
      </w:pPr>
      <w:r>
        <w:rPr>
          <w:b/>
        </w:rPr>
        <w:t xml:space="preserve">A: </w:t>
      </w:r>
      <w:r>
        <w:t>Standard discounts follow tiered approval thresholds in QuoteForge. Any request above the regional threshold, any non-standard payment terms, or any deal that reduces margin below the floor requires manager and Finance review.</w:t>
      </w:r>
    </w:p>
    <w:p>
      <w:r>
        <w:rPr>
          <w:b/>
        </w:rPr>
        <w:t xml:space="preserve">Q: </w:t>
      </w:r>
      <w:r>
        <w:rPr>
          <w:b/>
        </w:rPr>
        <w:t>What is the purpose of the assumptions log?</w:t>
      </w:r>
    </w:p>
    <w:p>
      <w:pPr>
        <w:ind w:left="259"/>
      </w:pPr>
      <w:r>
        <w:rPr>
          <w:b/>
        </w:rPr>
        <w:t xml:space="preserve">A: </w:t>
      </w:r>
      <w:r>
        <w:t>The assumptions log records every dependency that could affect implementation success, such as network readiness, site power availability, hardware lead time, and customer-owned integration resources. It prevents sales-cycle optimism from becoming launch risk.</w:t>
      </w:r>
    </w:p>
    <w:p>
      <w:r>
        <w:rPr>
          <w:b/>
        </w:rPr>
        <w:t xml:space="preserve">Q: </w:t>
      </w:r>
      <w:r>
        <w:rPr>
          <w:b/>
        </w:rPr>
        <w:t>When is Logistics involved in the sales cycle?</w:t>
      </w:r>
    </w:p>
    <w:p>
      <w:pPr>
        <w:ind w:left="259"/>
      </w:pPr>
      <w:r>
        <w:rPr>
          <w:b/>
        </w:rPr>
        <w:t xml:space="preserve">A: </w:t>
      </w:r>
      <w:r>
        <w:t>Logistics is involved when the proposed deal includes edge gateways, replacement kits, multi-site shipping waves, or delivery commitments that depend on warehouse inventory and carrier capacity.</w:t>
      </w:r>
    </w:p>
    <w:p>
      <w:r>
        <w:rPr>
          <w:b/>
        </w:rPr>
        <w:t xml:space="preserve">Q: </w:t>
      </w:r>
      <w:r>
        <w:rPr>
          <w:b/>
        </w:rPr>
        <w:t>When is Product involved in the sales cycle?</w:t>
      </w:r>
    </w:p>
    <w:p>
      <w:pPr>
        <w:ind w:left="259"/>
      </w:pPr>
      <w:r>
        <w:rPr>
          <w:b/>
        </w:rPr>
        <w:t xml:space="preserve">A: </w:t>
      </w:r>
      <w:r>
        <w:t>Product becomes involved when the customer requests roadmap clarity, asks for a capability gap assessment, or wants a commitment on a proposed workflow that is not already supported in the current release.</w:t>
      </w:r>
    </w:p>
    <w:p>
      <w:r>
        <w:rPr>
          <w:b/>
        </w:rPr>
        <w:t xml:space="preserve">Q: </w:t>
      </w:r>
      <w:r>
        <w:rPr>
          <w:b/>
        </w:rPr>
        <w:t>What is a clean handoff to Customer Success?</w:t>
      </w:r>
    </w:p>
    <w:p>
      <w:pPr>
        <w:ind w:left="259"/>
      </w:pPr>
      <w:r>
        <w:rPr>
          <w:b/>
        </w:rPr>
        <w:t xml:space="preserve">A: </w:t>
      </w:r>
      <w:r>
        <w:t>A clean handoff includes a signed scope summary, known risks, stakeholder map, target milestones, training assumptions, integration notes, hardware dependencies, and any commercial commitments relevant to adoption or renewal.</w:t>
      </w:r>
    </w:p>
    <w:p>
      <w:r>
        <w:rPr>
          <w:b/>
        </w:rPr>
        <w:t xml:space="preserve">Q: </w:t>
      </w:r>
      <w:r>
        <w:rPr>
          <w:b/>
        </w:rPr>
        <w:t>How are competitive claims handled?</w:t>
      </w:r>
    </w:p>
    <w:p>
      <w:pPr>
        <w:ind w:left="259"/>
      </w:pPr>
      <w:r>
        <w:rPr>
          <w:b/>
        </w:rPr>
        <w:t xml:space="preserve">A: </w:t>
      </w:r>
      <w:r>
        <w:t>Competitive claims must be documented with source context and reviewed using approved messaging. Reps should not invent comparisons or copy unsupported performance claims into proposals.</w:t>
      </w:r>
    </w:p>
    <w:p>
      <w:r>
        <w:rPr>
          <w:b/>
        </w:rPr>
        <w:t xml:space="preserve">Q: </w:t>
      </w:r>
      <w:r>
        <w:rPr>
          <w:b/>
        </w:rPr>
        <w:t>What does forecast hygiene mean?</w:t>
      </w:r>
    </w:p>
    <w:p>
      <w:pPr>
        <w:ind w:left="259"/>
      </w:pPr>
      <w:r>
        <w:rPr>
          <w:b/>
        </w:rPr>
        <w:t xml:space="preserve">A: </w:t>
      </w:r>
      <w:r>
        <w:t>Forecast hygiene means that stage, amount, close date, forecast category, stakeholder engagement, and deal blockers reflect reality in AtlasCRM. Clean forecast data is more important than optimistic entries.</w:t>
      </w:r>
    </w:p>
    <w:p>
      <w:r>
        <w:rPr>
          <w:b/>
        </w:rPr>
        <w:t xml:space="preserve">Q: </w:t>
      </w:r>
      <w:r>
        <w:rPr>
          <w:b/>
        </w:rPr>
        <w:t>When should a deal be de-scoped?</w:t>
      </w:r>
    </w:p>
    <w:p>
      <w:pPr>
        <w:ind w:left="259"/>
      </w:pPr>
      <w:r>
        <w:rPr>
          <w:b/>
        </w:rPr>
        <w:t xml:space="preserve">A: </w:t>
      </w:r>
      <w:r>
        <w:t>A deal should be de-scoped when the customer timeline is incompatible with operational readiness, when requested workflows exceed supported boundaries, or when unapproved exceptions would be needed to close the contract.</w:t>
      </w:r>
    </w:p>
    <w:p>
      <w:r>
        <w:rPr>
          <w:b/>
        </w:rPr>
        <w:t xml:space="preserve">Q: </w:t>
      </w:r>
      <w:r>
        <w:rPr>
          <w:b/>
        </w:rPr>
        <w:t>How are proof-of-value engagements structured?</w:t>
      </w:r>
    </w:p>
    <w:p>
      <w:pPr>
        <w:ind w:left="259"/>
      </w:pPr>
      <w:r>
        <w:rPr>
          <w:b/>
        </w:rPr>
        <w:t xml:space="preserve">A: </w:t>
      </w:r>
      <w:r>
        <w:t>Proof-of-value engagements must have clear success criteria, a bounded timeline, named owners, and explicit rules for what will and will not be demonstrated. They are not open-ended implementations.</w:t>
      </w:r>
    </w:p>
    <w:p>
      <w:r>
        <w:rPr>
          <w:b/>
        </w:rPr>
        <w:t xml:space="preserve">Q: </w:t>
      </w:r>
      <w:r>
        <w:rPr>
          <w:b/>
        </w:rPr>
        <w:t>What is the difference between a technical validation and a commercial negotiation?</w:t>
      </w:r>
    </w:p>
    <w:p>
      <w:pPr>
        <w:ind w:left="259"/>
      </w:pPr>
      <w:r>
        <w:rPr>
          <w:b/>
        </w:rPr>
        <w:t xml:space="preserve">A: </w:t>
      </w:r>
      <w:r>
        <w:t>Technical validation proves fit and identifies constraints; commercial negotiation determines packaging, pricing, and contractual terms. Mixing the two often leads to accidental promises or hidden delivery risk.</w:t>
      </w:r>
    </w:p>
    <w:p>
      <w:r>
        <w:rPr>
          <w:b/>
        </w:rPr>
        <w:t xml:space="preserve">Q: </w:t>
      </w:r>
      <w:r>
        <w:rPr>
          <w:b/>
        </w:rPr>
        <w:t>How should stakeholders be mapped?</w:t>
      </w:r>
    </w:p>
    <w:p>
      <w:pPr>
        <w:ind w:left="259"/>
      </w:pPr>
      <w:r>
        <w:rPr>
          <w:b/>
        </w:rPr>
        <w:t xml:space="preserve">A: </w:t>
      </w:r>
      <w:r>
        <w:t>The team should identify the executive sponsor, operational champion, warehouse manager, IT/security approver, procurement contact, and eventual success owner so downstream teams know who can unblock decisions.</w:t>
      </w:r>
    </w:p>
    <w:p>
      <w:r>
        <w:rPr>
          <w:b/>
        </w:rPr>
        <w:t xml:space="preserve">Q: </w:t>
      </w:r>
      <w:r>
        <w:rPr>
          <w:b/>
        </w:rPr>
        <w:t>What creates red flags during late-stage deals?</w:t>
      </w:r>
    </w:p>
    <w:p>
      <w:pPr>
        <w:ind w:left="259"/>
      </w:pPr>
      <w:r>
        <w:rPr>
          <w:b/>
        </w:rPr>
        <w:t xml:space="preserve">A: </w:t>
      </w:r>
      <w:r>
        <w:t>Missing sponsor access, unclear deployment ownership, aggressive hardware timing, undocumented custom requirements, unresolved security review, and discount pressure without business justification are common red flags.</w:t>
      </w:r>
    </w:p>
    <w:p>
      <w:r>
        <w:rPr>
          <w:b/>
        </w:rPr>
        <w:t xml:space="preserve">Q: </w:t>
      </w:r>
      <w:r>
        <w:rPr>
          <w:b/>
        </w:rPr>
        <w:t>How are non-standard terms approved?</w:t>
      </w:r>
    </w:p>
    <w:p>
      <w:pPr>
        <w:ind w:left="259"/>
      </w:pPr>
      <w:r>
        <w:rPr>
          <w:b/>
        </w:rPr>
        <w:t xml:space="preserve">A: </w:t>
      </w:r>
      <w:r>
        <w:t>Non-standard terms are routed through QuoteForge with legal, Finance, or executive review depending on the deviation. Nothing should appear in final paper unless it is reflected in the approval record.</w:t>
      </w:r>
    </w:p>
    <w:p>
      <w:r>
        <w:rPr>
          <w:b/>
        </w:rPr>
        <w:t xml:space="preserve">Q: </w:t>
      </w:r>
      <w:r>
        <w:rPr>
          <w:b/>
        </w:rPr>
        <w:t>What is the role of Revenue Operations?</w:t>
      </w:r>
    </w:p>
    <w:p>
      <w:pPr>
        <w:ind w:left="259"/>
      </w:pPr>
      <w:r>
        <w:rPr>
          <w:b/>
        </w:rPr>
        <w:t xml:space="preserve">A: </w:t>
      </w:r>
      <w:r>
        <w:t>Revenue Operations enforces stage criteria, maintains CRM hygiene, audits pipeline data, supports forecast calls, and ensures pricing and approvals follow policy.</w:t>
      </w:r>
    </w:p>
    <w:p>
      <w:r>
        <w:rPr>
          <w:b/>
        </w:rPr>
        <w:t xml:space="preserve">Q: </w:t>
      </w:r>
      <w:r>
        <w:rPr>
          <w:b/>
        </w:rPr>
        <w:t>How should the team record lost deals?</w:t>
      </w:r>
    </w:p>
    <w:p>
      <w:pPr>
        <w:ind w:left="259"/>
      </w:pPr>
      <w:r>
        <w:rPr>
          <w:b/>
        </w:rPr>
        <w:t xml:space="preserve">A: </w:t>
      </w:r>
      <w:r>
        <w:t>Lost opportunities should include the primary loss reason, competitive context, pricing posture, timeline mismatch, product gap if applicable, and any follow-up date for future re-entry.</w:t>
      </w:r>
    </w:p>
    <w:p>
      <w:r>
        <w:rPr>
          <w:b/>
        </w:rPr>
        <w:t xml:space="preserve">Q: </w:t>
      </w:r>
      <w:r>
        <w:rPr>
          <w:b/>
        </w:rPr>
        <w:t>Why does the handoff package matter for RAG-like retrieval?</w:t>
      </w:r>
    </w:p>
    <w:p>
      <w:pPr>
        <w:ind w:left="259"/>
      </w:pPr>
      <w:r>
        <w:rPr>
          <w:b/>
        </w:rPr>
        <w:t xml:space="preserve">A: </w:t>
      </w:r>
      <w:r>
        <w:t>The handoff package concentrates the most important facts about the customer in one place: objectives, constraints, commitments, and owners. In a real knowledge system, it is often the best retrieval anchor for downstream questions.</w:t>
      </w:r>
    </w:p>
    <w:p>
      <w:pPr>
        <w:pStyle w:val="Heading1"/>
      </w:pPr>
      <w:r>
        <w:t>Control metrics and escalation guide</w:t>
      </w:r>
    </w:p>
    <w:tbl>
      <w:tblPr>
        <w:tblStyle w:val="TableGrid"/>
        <w:tblW w:type="auto" w:w="0"/>
        <w:tblLook w:firstColumn="1" w:firstRow="1" w:lastColumn="0" w:lastRow="0" w:noHBand="0" w:noVBand="1" w:val="04A0"/>
      </w:tblPr>
      <w:tblGrid>
        <w:gridCol w:w="2469"/>
        <w:gridCol w:w="2469"/>
        <w:gridCol w:w="2469"/>
        <w:gridCol w:w="2469"/>
      </w:tblGrid>
      <w:tr>
        <w:tc>
          <w:tcPr>
            <w:tcW w:type="dxa" w:w="2469"/>
            <w:shd w:fill="D9EAF7"/>
            <w:tcMar>
              <w:top w:w="80" w:type="dxa"/>
              <w:start w:w="100" w:type="dxa"/>
              <w:bottom w:w="80" w:type="dxa"/>
              <w:end w:w="100" w:type="dxa"/>
            </w:tcMar>
          </w:tcPr>
          <w:p>
            <w:r>
              <w:rPr>
                <w:b/>
              </w:rPr>
              <w:t>Measure</w:t>
            </w:r>
          </w:p>
        </w:tc>
        <w:tc>
          <w:tcPr>
            <w:tcW w:type="dxa" w:w="2469"/>
            <w:shd w:fill="D9EAF7"/>
            <w:tcMar>
              <w:top w:w="80" w:type="dxa"/>
              <w:start w:w="100" w:type="dxa"/>
              <w:bottom w:w="80" w:type="dxa"/>
              <w:end w:w="100" w:type="dxa"/>
            </w:tcMar>
          </w:tcPr>
          <w:p>
            <w:r>
              <w:rPr>
                <w:b/>
              </w:rPr>
              <w:t>Target</w:t>
            </w:r>
          </w:p>
        </w:tc>
        <w:tc>
          <w:tcPr>
            <w:tcW w:type="dxa" w:w="2469"/>
            <w:shd w:fill="D9EAF7"/>
            <w:tcMar>
              <w:top w:w="80" w:type="dxa"/>
              <w:start w:w="100" w:type="dxa"/>
              <w:bottom w:w="80" w:type="dxa"/>
              <w:end w:w="100" w:type="dxa"/>
            </w:tcMar>
          </w:tcPr>
          <w:p>
            <w:r>
              <w:rPr>
                <w:b/>
              </w:rPr>
              <w:t>Reviewed by</w:t>
            </w:r>
          </w:p>
        </w:tc>
        <w:tc>
          <w:tcPr>
            <w:tcW w:type="dxa" w:w="2469"/>
            <w:shd w:fill="D9EAF7"/>
            <w:tcMar>
              <w:top w:w="80" w:type="dxa"/>
              <w:start w:w="100" w:type="dxa"/>
              <w:bottom w:w="80" w:type="dxa"/>
              <w:end w:w="100" w:type="dxa"/>
            </w:tcMar>
          </w:tcPr>
          <w:p>
            <w:r>
              <w:rPr>
                <w:b/>
              </w:rPr>
              <w:t>Notes</w:t>
            </w:r>
          </w:p>
        </w:tc>
      </w:tr>
      <w:tr>
        <w:tc>
          <w:tcPr>
            <w:tcW w:type="dxa" w:w="2469"/>
            <w:tcMar>
              <w:top w:w="80" w:type="dxa"/>
              <w:start w:w="100" w:type="dxa"/>
              <w:bottom w:w="80" w:type="dxa"/>
              <w:end w:w="100" w:type="dxa"/>
            </w:tcMar>
          </w:tcPr>
          <w:p>
            <w:r>
              <w:t>CRM stage compliance</w:t>
            </w:r>
          </w:p>
        </w:tc>
        <w:tc>
          <w:tcPr>
            <w:tcW w:type="dxa" w:w="2469"/>
            <w:tcMar>
              <w:top w:w="80" w:type="dxa"/>
              <w:start w:w="100" w:type="dxa"/>
              <w:bottom w:w="80" w:type="dxa"/>
              <w:end w:w="100" w:type="dxa"/>
            </w:tcMar>
          </w:tcPr>
          <w:p>
            <w:r>
              <w:t>98%+</w:t>
            </w:r>
          </w:p>
        </w:tc>
        <w:tc>
          <w:tcPr>
            <w:tcW w:type="dxa" w:w="2469"/>
            <w:tcMar>
              <w:top w:w="80" w:type="dxa"/>
              <w:start w:w="100" w:type="dxa"/>
              <w:bottom w:w="80" w:type="dxa"/>
              <w:end w:w="100" w:type="dxa"/>
            </w:tcMar>
          </w:tcPr>
          <w:p>
            <w:r>
              <w:t>Revenue Operations</w:t>
            </w:r>
          </w:p>
        </w:tc>
        <w:tc>
          <w:tcPr>
            <w:tcW w:type="dxa" w:w="2469"/>
            <w:tcMar>
              <w:top w:w="80" w:type="dxa"/>
              <w:start w:w="100" w:type="dxa"/>
              <w:bottom w:w="80" w:type="dxa"/>
              <w:end w:w="100" w:type="dxa"/>
            </w:tcMar>
          </w:tcPr>
          <w:p>
            <w:r>
              <w:t>Stages must match documented evidence</w:t>
            </w:r>
          </w:p>
        </w:tc>
      </w:tr>
      <w:tr>
        <w:tc>
          <w:tcPr>
            <w:tcW w:type="dxa" w:w="2469"/>
            <w:tcMar>
              <w:top w:w="80" w:type="dxa"/>
              <w:start w:w="100" w:type="dxa"/>
              <w:bottom w:w="80" w:type="dxa"/>
              <w:end w:w="100" w:type="dxa"/>
            </w:tcMar>
          </w:tcPr>
          <w:p>
            <w:r>
              <w:t>Handoff package completeness</w:t>
            </w:r>
          </w:p>
        </w:tc>
        <w:tc>
          <w:tcPr>
            <w:tcW w:type="dxa" w:w="2469"/>
            <w:tcMar>
              <w:top w:w="80" w:type="dxa"/>
              <w:start w:w="100" w:type="dxa"/>
              <w:bottom w:w="80" w:type="dxa"/>
              <w:end w:w="100" w:type="dxa"/>
            </w:tcMar>
          </w:tcPr>
          <w:p>
            <w:r>
              <w:t>100% closed-won deals</w:t>
            </w:r>
          </w:p>
        </w:tc>
        <w:tc>
          <w:tcPr>
            <w:tcW w:type="dxa" w:w="2469"/>
            <w:tcMar>
              <w:top w:w="80" w:type="dxa"/>
              <w:start w:w="100" w:type="dxa"/>
              <w:bottom w:w="80" w:type="dxa"/>
              <w:end w:w="100" w:type="dxa"/>
            </w:tcMar>
          </w:tcPr>
          <w:p>
            <w:r>
              <w:t>Regional CS manager</w:t>
            </w:r>
          </w:p>
        </w:tc>
        <w:tc>
          <w:tcPr>
            <w:tcW w:type="dxa" w:w="2469"/>
            <w:tcMar>
              <w:top w:w="80" w:type="dxa"/>
              <w:start w:w="100" w:type="dxa"/>
              <w:bottom w:w="80" w:type="dxa"/>
              <w:end w:w="100" w:type="dxa"/>
            </w:tcMar>
          </w:tcPr>
          <w:p>
            <w:r>
              <w:t>No project kickoff without required artifacts</w:t>
            </w:r>
          </w:p>
        </w:tc>
      </w:tr>
      <w:tr>
        <w:tc>
          <w:tcPr>
            <w:tcW w:type="dxa" w:w="2469"/>
            <w:tcMar>
              <w:top w:w="80" w:type="dxa"/>
              <w:start w:w="100" w:type="dxa"/>
              <w:bottom w:w="80" w:type="dxa"/>
              <w:end w:w="100" w:type="dxa"/>
            </w:tcMar>
          </w:tcPr>
          <w:p>
            <w:r>
              <w:t>Discount exception approval latency</w:t>
            </w:r>
          </w:p>
        </w:tc>
        <w:tc>
          <w:tcPr>
            <w:tcW w:type="dxa" w:w="2469"/>
            <w:tcMar>
              <w:top w:w="80" w:type="dxa"/>
              <w:start w:w="100" w:type="dxa"/>
              <w:bottom w:w="80" w:type="dxa"/>
              <w:end w:w="100" w:type="dxa"/>
            </w:tcMar>
          </w:tcPr>
          <w:p>
            <w:r>
              <w:t>&lt; 2 business days</w:t>
            </w:r>
          </w:p>
        </w:tc>
        <w:tc>
          <w:tcPr>
            <w:tcW w:type="dxa" w:w="2469"/>
            <w:tcMar>
              <w:top w:w="80" w:type="dxa"/>
              <w:start w:w="100" w:type="dxa"/>
              <w:bottom w:w="80" w:type="dxa"/>
              <w:end w:w="100" w:type="dxa"/>
            </w:tcMar>
          </w:tcPr>
          <w:p>
            <w:r>
              <w:t>Finance + RevOps</w:t>
            </w:r>
          </w:p>
        </w:tc>
        <w:tc>
          <w:tcPr>
            <w:tcW w:type="dxa" w:w="2469"/>
            <w:tcMar>
              <w:top w:w="80" w:type="dxa"/>
              <w:start w:w="100" w:type="dxa"/>
              <w:bottom w:w="80" w:type="dxa"/>
              <w:end w:w="100" w:type="dxa"/>
            </w:tcMar>
          </w:tcPr>
          <w:p>
            <w:r>
              <w:t>Urgent deals require documented justification</w:t>
            </w:r>
          </w:p>
        </w:tc>
      </w:tr>
      <w:tr>
        <w:tc>
          <w:tcPr>
            <w:tcW w:type="dxa" w:w="2469"/>
            <w:tcMar>
              <w:top w:w="80" w:type="dxa"/>
              <w:start w:w="100" w:type="dxa"/>
              <w:bottom w:w="80" w:type="dxa"/>
              <w:end w:w="100" w:type="dxa"/>
            </w:tcMar>
          </w:tcPr>
          <w:p>
            <w:r>
              <w:t>Forecast commit accuracy</w:t>
            </w:r>
          </w:p>
        </w:tc>
        <w:tc>
          <w:tcPr>
            <w:tcW w:type="dxa" w:w="2469"/>
            <w:tcMar>
              <w:top w:w="80" w:type="dxa"/>
              <w:start w:w="100" w:type="dxa"/>
              <w:bottom w:w="80" w:type="dxa"/>
              <w:end w:w="100" w:type="dxa"/>
            </w:tcMar>
          </w:tcPr>
          <w:p>
            <w:r>
              <w:t>Within approved variance</w:t>
            </w:r>
          </w:p>
        </w:tc>
        <w:tc>
          <w:tcPr>
            <w:tcW w:type="dxa" w:w="2469"/>
            <w:tcMar>
              <w:top w:w="80" w:type="dxa"/>
              <w:start w:w="100" w:type="dxa"/>
              <w:bottom w:w="80" w:type="dxa"/>
              <w:end w:w="100" w:type="dxa"/>
            </w:tcMar>
          </w:tcPr>
          <w:p>
            <w:r>
              <w:t>Sales leadership</w:t>
            </w:r>
          </w:p>
        </w:tc>
        <w:tc>
          <w:tcPr>
            <w:tcW w:type="dxa" w:w="2469"/>
            <w:tcMar>
              <w:top w:w="80" w:type="dxa"/>
              <w:start w:w="100" w:type="dxa"/>
              <w:bottom w:w="80" w:type="dxa"/>
              <w:end w:w="100" w:type="dxa"/>
            </w:tcMar>
          </w:tcPr>
          <w:p>
            <w:r>
              <w:t>Measured at regional and team level</w:t>
            </w:r>
          </w:p>
        </w:tc>
      </w:tr>
      <w:tr>
        <w:tc>
          <w:tcPr>
            <w:tcW w:type="dxa" w:w="2469"/>
            <w:tcMar>
              <w:top w:w="80" w:type="dxa"/>
              <w:start w:w="100" w:type="dxa"/>
              <w:bottom w:w="80" w:type="dxa"/>
              <w:end w:w="100" w:type="dxa"/>
            </w:tcMar>
          </w:tcPr>
          <w:p>
            <w:r>
              <w:t>Documented loss reason coverage</w:t>
            </w:r>
          </w:p>
        </w:tc>
        <w:tc>
          <w:tcPr>
            <w:tcW w:type="dxa" w:w="2469"/>
            <w:tcMar>
              <w:top w:w="80" w:type="dxa"/>
              <w:start w:w="100" w:type="dxa"/>
              <w:bottom w:w="80" w:type="dxa"/>
              <w:end w:w="100" w:type="dxa"/>
            </w:tcMar>
          </w:tcPr>
          <w:p>
            <w:r>
              <w:t>100% closed-lost deals</w:t>
            </w:r>
          </w:p>
        </w:tc>
        <w:tc>
          <w:tcPr>
            <w:tcW w:type="dxa" w:w="2469"/>
            <w:tcMar>
              <w:top w:w="80" w:type="dxa"/>
              <w:start w:w="100" w:type="dxa"/>
              <w:bottom w:w="80" w:type="dxa"/>
              <w:end w:w="100" w:type="dxa"/>
            </w:tcMar>
          </w:tcPr>
          <w:p>
            <w:r>
              <w:t>Revenue Operations</w:t>
            </w:r>
          </w:p>
        </w:tc>
        <w:tc>
          <w:tcPr>
            <w:tcW w:type="dxa" w:w="2469"/>
            <w:tcMar>
              <w:top w:w="80" w:type="dxa"/>
              <w:start w:w="100" w:type="dxa"/>
              <w:bottom w:w="80" w:type="dxa"/>
              <w:end w:w="100" w:type="dxa"/>
            </w:tcMar>
          </w:tcPr>
          <w:p>
            <w:r>
              <w:t>Supports product and messaging review</w:t>
            </w:r>
          </w:p>
        </w:tc>
      </w:tr>
    </w:tbl>
    <w:p>
      <w:r>
        <w:t>Escalation rule of thumb: escalate based on the blocker, not the loudest stakeholder. Use Product for roadmap or fit questions, Finance for pricing and margin exceptions, Logistics for hardware timing, Customer Success for adoption risk, and executive leadership only when cross-functional decisions cannot be made through standard paths.</w:t>
      </w:r>
    </w:p>
    <w:p>
      <w:pPr>
        <w:pStyle w:val="Heading1"/>
      </w:pPr>
      <w:r>
        <w:t>Glossary and related references</w:t>
      </w:r>
    </w:p>
    <w:p>
      <w:pPr>
        <w:ind w:left="288" w:hanging="216"/>
      </w:pPr>
      <w:r>
        <w:rPr>
          <w:b/>
        </w:rPr>
        <w:t xml:space="preserve">• </w:t>
      </w:r>
      <w:r>
        <w:t>AtlasCRM: OrchestrAI customer relationship system of record.</w:t>
      </w:r>
    </w:p>
    <w:p>
      <w:pPr>
        <w:ind w:left="288" w:hanging="216"/>
      </w:pPr>
      <w:r>
        <w:rPr>
          <w:b/>
        </w:rPr>
        <w:t xml:space="preserve">• </w:t>
      </w:r>
      <w:r>
        <w:t>QuoteForge: Pricing, approvals, and commercial package workflow tool.</w:t>
      </w:r>
    </w:p>
    <w:p>
      <w:pPr>
        <w:ind w:left="288" w:hanging="216"/>
      </w:pPr>
      <w:r>
        <w:rPr>
          <w:b/>
        </w:rPr>
        <w:t xml:space="preserve">• </w:t>
      </w:r>
      <w:r>
        <w:t>Solutions brief: Structured summary of proposed workflows, dependencies, assumptions, and identified risks.</w:t>
      </w:r>
    </w:p>
    <w:p>
      <w:pPr>
        <w:ind w:left="288" w:hanging="216"/>
      </w:pPr>
      <w:r>
        <w:rPr>
          <w:b/>
        </w:rPr>
        <w:t xml:space="preserve">• </w:t>
      </w:r>
      <w:r>
        <w:t>Commit review: Internal checkpoint that validates whether the deal can move to close without creating downstream operational failure.</w:t>
      </w:r>
    </w:p>
    <w:p>
      <w:pPr>
        <w:ind w:left="288" w:hanging="216"/>
      </w:pPr>
      <w:r>
        <w:rPr>
          <w:b/>
        </w:rPr>
        <w:t xml:space="preserve">• </w:t>
      </w:r>
      <w:r>
        <w:t>Related documents: lead routing rules, webinar launch brief, campaign approval workflow, CRM field governance note, and discount exception policy.</w:t>
      </w:r>
    </w:p>
    <w:sectPr w:rsidR="00FC693F" w:rsidRPr="0006063C" w:rsidSect="00034616">
      <w:pgSz w:w="12240" w:h="15840"/>
      <w:pgMar w:top="936"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55C7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