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F7E48" w14:textId="77777777" w:rsidR="003A56F0" w:rsidRDefault="00000000">
      <w:pPr>
        <w:pStyle w:val="OrchestrAITitle"/>
      </w:pPr>
      <w:r>
        <w:t>Cybersecurity, Access, and Compliance Handbook</w:t>
      </w:r>
    </w:p>
    <w:p w14:paraId="18EC56F7" w14:textId="77777777" w:rsidR="003A56F0" w:rsidRDefault="00000000">
      <w:pPr>
        <w:pStyle w:val="OrchestrAISubtitle"/>
      </w:pPr>
      <w:r>
        <w:t>Department Handbook | Team Q&amp;A Series | OrchestrAI</w:t>
      </w:r>
    </w:p>
    <w:tbl>
      <w:tblPr>
        <w:tblStyle w:val="TableGrid"/>
        <w:tblW w:w="0" w:type="auto"/>
        <w:jc w:val="center"/>
        <w:tblLook w:val="04A0" w:firstRow="1" w:lastRow="0" w:firstColumn="1" w:lastColumn="0" w:noHBand="0" w:noVBand="1"/>
      </w:tblPr>
      <w:tblGrid>
        <w:gridCol w:w="1584"/>
        <w:gridCol w:w="3024"/>
        <w:gridCol w:w="1584"/>
        <w:gridCol w:w="2880"/>
      </w:tblGrid>
      <w:tr w:rsidR="003A56F0" w14:paraId="02ECF7D9" w14:textId="77777777">
        <w:trPr>
          <w:jc w:val="center"/>
        </w:trPr>
        <w:tc>
          <w:tcPr>
            <w:tcW w:w="1584" w:type="dxa"/>
            <w:shd w:val="clear" w:color="auto" w:fill="DCE6F2"/>
            <w:tcMar>
              <w:top w:w="80" w:type="dxa"/>
              <w:left w:w="120" w:type="dxa"/>
              <w:bottom w:w="80" w:type="dxa"/>
              <w:right w:w="120" w:type="dxa"/>
            </w:tcMar>
            <w:vAlign w:val="center"/>
          </w:tcPr>
          <w:p w14:paraId="3DD10E28" w14:textId="77777777" w:rsidR="003A56F0" w:rsidRDefault="00000000">
            <w:r>
              <w:rPr>
                <w:b/>
                <w:sz w:val="18"/>
              </w:rPr>
              <w:t>Document ID</w:t>
            </w:r>
          </w:p>
        </w:tc>
        <w:tc>
          <w:tcPr>
            <w:tcW w:w="3024" w:type="dxa"/>
            <w:tcMar>
              <w:top w:w="80" w:type="dxa"/>
              <w:left w:w="120" w:type="dxa"/>
              <w:bottom w:w="80" w:type="dxa"/>
              <w:right w:w="120" w:type="dxa"/>
            </w:tcMar>
            <w:vAlign w:val="center"/>
          </w:tcPr>
          <w:p w14:paraId="1818F8DD" w14:textId="77777777" w:rsidR="003A56F0" w:rsidRDefault="00000000">
            <w:r>
              <w:rPr>
                <w:sz w:val="18"/>
              </w:rPr>
              <w:t>TEAMQA-SEC-001</w:t>
            </w:r>
          </w:p>
        </w:tc>
        <w:tc>
          <w:tcPr>
            <w:tcW w:w="1584" w:type="dxa"/>
            <w:shd w:val="clear" w:color="auto" w:fill="DCE6F2"/>
            <w:tcMar>
              <w:top w:w="80" w:type="dxa"/>
              <w:left w:w="120" w:type="dxa"/>
              <w:bottom w:w="80" w:type="dxa"/>
              <w:right w:w="120" w:type="dxa"/>
            </w:tcMar>
            <w:vAlign w:val="center"/>
          </w:tcPr>
          <w:p w14:paraId="110FF215" w14:textId="77777777" w:rsidR="003A56F0" w:rsidRDefault="00000000">
            <w:r>
              <w:rPr>
                <w:b/>
                <w:sz w:val="18"/>
              </w:rPr>
              <w:t>Owner</w:t>
            </w:r>
          </w:p>
        </w:tc>
        <w:tc>
          <w:tcPr>
            <w:tcW w:w="2880" w:type="dxa"/>
            <w:tcMar>
              <w:top w:w="80" w:type="dxa"/>
              <w:left w:w="120" w:type="dxa"/>
              <w:bottom w:w="80" w:type="dxa"/>
              <w:right w:w="120" w:type="dxa"/>
            </w:tcMar>
            <w:vAlign w:val="center"/>
          </w:tcPr>
          <w:p w14:paraId="2BC6C128" w14:textId="77777777" w:rsidR="003A56F0" w:rsidRDefault="00000000">
            <w:r>
              <w:rPr>
                <w:sz w:val="18"/>
              </w:rPr>
              <w:t>Director of Security Operations</w:t>
            </w:r>
          </w:p>
        </w:tc>
      </w:tr>
      <w:tr w:rsidR="003A56F0" w14:paraId="101E7E4E" w14:textId="77777777">
        <w:trPr>
          <w:jc w:val="center"/>
        </w:trPr>
        <w:tc>
          <w:tcPr>
            <w:tcW w:w="1584" w:type="dxa"/>
            <w:shd w:val="clear" w:color="auto" w:fill="DCE6F2"/>
            <w:tcMar>
              <w:top w:w="80" w:type="dxa"/>
              <w:left w:w="120" w:type="dxa"/>
              <w:bottom w:w="80" w:type="dxa"/>
              <w:right w:w="120" w:type="dxa"/>
            </w:tcMar>
            <w:vAlign w:val="center"/>
          </w:tcPr>
          <w:p w14:paraId="57ECEAEA" w14:textId="77777777" w:rsidR="003A56F0" w:rsidRDefault="00000000">
            <w:r>
              <w:rPr>
                <w:b/>
                <w:sz w:val="18"/>
              </w:rPr>
              <w:t>Department</w:t>
            </w:r>
          </w:p>
        </w:tc>
        <w:tc>
          <w:tcPr>
            <w:tcW w:w="3024" w:type="dxa"/>
            <w:tcMar>
              <w:top w:w="80" w:type="dxa"/>
              <w:left w:w="120" w:type="dxa"/>
              <w:bottom w:w="80" w:type="dxa"/>
              <w:right w:w="120" w:type="dxa"/>
            </w:tcMar>
            <w:vAlign w:val="center"/>
          </w:tcPr>
          <w:p w14:paraId="36FCFDDC" w14:textId="77777777" w:rsidR="003A56F0" w:rsidRDefault="00000000">
            <w:r>
              <w:rPr>
                <w:sz w:val="18"/>
              </w:rPr>
              <w:t>Cybersecurity &amp; GRC</w:t>
            </w:r>
          </w:p>
        </w:tc>
        <w:tc>
          <w:tcPr>
            <w:tcW w:w="1584" w:type="dxa"/>
            <w:shd w:val="clear" w:color="auto" w:fill="DCE6F2"/>
            <w:tcMar>
              <w:top w:w="80" w:type="dxa"/>
              <w:left w:w="120" w:type="dxa"/>
              <w:bottom w:w="80" w:type="dxa"/>
              <w:right w:w="120" w:type="dxa"/>
            </w:tcMar>
            <w:vAlign w:val="center"/>
          </w:tcPr>
          <w:p w14:paraId="22A3AC27" w14:textId="77777777" w:rsidR="003A56F0" w:rsidRDefault="00000000">
            <w:r>
              <w:rPr>
                <w:b/>
                <w:sz w:val="18"/>
              </w:rPr>
              <w:t>Version</w:t>
            </w:r>
          </w:p>
        </w:tc>
        <w:tc>
          <w:tcPr>
            <w:tcW w:w="2880" w:type="dxa"/>
            <w:tcMar>
              <w:top w:w="80" w:type="dxa"/>
              <w:left w:w="120" w:type="dxa"/>
              <w:bottom w:w="80" w:type="dxa"/>
              <w:right w:w="120" w:type="dxa"/>
            </w:tcMar>
            <w:vAlign w:val="center"/>
          </w:tcPr>
          <w:p w14:paraId="7C1015BA" w14:textId="77777777" w:rsidR="003A56F0" w:rsidRDefault="00000000">
            <w:r>
              <w:rPr>
                <w:sz w:val="18"/>
              </w:rPr>
              <w:t>1.0</w:t>
            </w:r>
          </w:p>
        </w:tc>
      </w:tr>
      <w:tr w:rsidR="003A56F0" w14:paraId="278FF466" w14:textId="77777777">
        <w:trPr>
          <w:jc w:val="center"/>
        </w:trPr>
        <w:tc>
          <w:tcPr>
            <w:tcW w:w="1584" w:type="dxa"/>
            <w:shd w:val="clear" w:color="auto" w:fill="DCE6F2"/>
            <w:tcMar>
              <w:top w:w="80" w:type="dxa"/>
              <w:left w:w="120" w:type="dxa"/>
              <w:bottom w:w="80" w:type="dxa"/>
              <w:right w:w="120" w:type="dxa"/>
            </w:tcMar>
            <w:vAlign w:val="center"/>
          </w:tcPr>
          <w:p w14:paraId="7CE021DE" w14:textId="77777777" w:rsidR="003A56F0" w:rsidRDefault="00000000">
            <w:r>
              <w:rPr>
                <w:b/>
                <w:sz w:val="18"/>
              </w:rPr>
              <w:t>Effective Date</w:t>
            </w:r>
          </w:p>
        </w:tc>
        <w:tc>
          <w:tcPr>
            <w:tcW w:w="3024" w:type="dxa"/>
            <w:tcMar>
              <w:top w:w="80" w:type="dxa"/>
              <w:left w:w="120" w:type="dxa"/>
              <w:bottom w:w="80" w:type="dxa"/>
              <w:right w:w="120" w:type="dxa"/>
            </w:tcMar>
            <w:vAlign w:val="center"/>
          </w:tcPr>
          <w:p w14:paraId="3D802FF1" w14:textId="77777777" w:rsidR="003A56F0" w:rsidRDefault="00000000">
            <w:r>
              <w:rPr>
                <w:sz w:val="18"/>
              </w:rPr>
              <w:t>2026-02-10</w:t>
            </w:r>
          </w:p>
        </w:tc>
        <w:tc>
          <w:tcPr>
            <w:tcW w:w="1584" w:type="dxa"/>
            <w:shd w:val="clear" w:color="auto" w:fill="DCE6F2"/>
            <w:tcMar>
              <w:top w:w="80" w:type="dxa"/>
              <w:left w:w="120" w:type="dxa"/>
              <w:bottom w:w="80" w:type="dxa"/>
              <w:right w:w="120" w:type="dxa"/>
            </w:tcMar>
            <w:vAlign w:val="center"/>
          </w:tcPr>
          <w:p w14:paraId="79BC18C6" w14:textId="77777777" w:rsidR="003A56F0" w:rsidRDefault="00000000">
            <w:r>
              <w:rPr>
                <w:b/>
                <w:sz w:val="18"/>
              </w:rPr>
              <w:t>Review Date</w:t>
            </w:r>
          </w:p>
        </w:tc>
        <w:tc>
          <w:tcPr>
            <w:tcW w:w="2880" w:type="dxa"/>
            <w:tcMar>
              <w:top w:w="80" w:type="dxa"/>
              <w:left w:w="120" w:type="dxa"/>
              <w:bottom w:w="80" w:type="dxa"/>
              <w:right w:w="120" w:type="dxa"/>
            </w:tcMar>
            <w:vAlign w:val="center"/>
          </w:tcPr>
          <w:p w14:paraId="400F572B" w14:textId="77777777" w:rsidR="003A56F0" w:rsidRDefault="00000000">
            <w:r>
              <w:rPr>
                <w:sz w:val="18"/>
              </w:rPr>
              <w:t>2026-08-10</w:t>
            </w:r>
          </w:p>
        </w:tc>
      </w:tr>
      <w:tr w:rsidR="003A56F0" w14:paraId="5F53ABD9" w14:textId="77777777">
        <w:trPr>
          <w:jc w:val="center"/>
        </w:trPr>
        <w:tc>
          <w:tcPr>
            <w:tcW w:w="1584" w:type="dxa"/>
            <w:shd w:val="clear" w:color="auto" w:fill="DCE6F2"/>
            <w:tcMar>
              <w:top w:w="80" w:type="dxa"/>
              <w:left w:w="120" w:type="dxa"/>
              <w:bottom w:w="80" w:type="dxa"/>
              <w:right w:w="120" w:type="dxa"/>
            </w:tcMar>
            <w:vAlign w:val="center"/>
          </w:tcPr>
          <w:p w14:paraId="589FB67C" w14:textId="77777777" w:rsidR="003A56F0" w:rsidRDefault="00000000">
            <w:r>
              <w:rPr>
                <w:b/>
                <w:sz w:val="18"/>
              </w:rPr>
              <w:t>Classification</w:t>
            </w:r>
          </w:p>
        </w:tc>
        <w:tc>
          <w:tcPr>
            <w:tcW w:w="3024" w:type="dxa"/>
            <w:tcMar>
              <w:top w:w="80" w:type="dxa"/>
              <w:left w:w="120" w:type="dxa"/>
              <w:bottom w:w="80" w:type="dxa"/>
              <w:right w:w="120" w:type="dxa"/>
            </w:tcMar>
            <w:vAlign w:val="center"/>
          </w:tcPr>
          <w:p w14:paraId="02288D31" w14:textId="77777777" w:rsidR="003A56F0" w:rsidRDefault="00000000">
            <w:r>
              <w:rPr>
                <w:sz w:val="18"/>
              </w:rPr>
              <w:t>Internal - Controlled</w:t>
            </w:r>
          </w:p>
        </w:tc>
        <w:tc>
          <w:tcPr>
            <w:tcW w:w="1584" w:type="dxa"/>
            <w:shd w:val="clear" w:color="auto" w:fill="DCE6F2"/>
            <w:tcMar>
              <w:top w:w="80" w:type="dxa"/>
              <w:left w:w="120" w:type="dxa"/>
              <w:bottom w:w="80" w:type="dxa"/>
              <w:right w:w="120" w:type="dxa"/>
            </w:tcMar>
            <w:vAlign w:val="center"/>
          </w:tcPr>
          <w:p w14:paraId="68BD319E" w14:textId="77777777" w:rsidR="003A56F0" w:rsidRDefault="00000000">
            <w:r>
              <w:rPr>
                <w:b/>
                <w:sz w:val="18"/>
              </w:rPr>
              <w:t>Related Systems</w:t>
            </w:r>
          </w:p>
        </w:tc>
        <w:tc>
          <w:tcPr>
            <w:tcW w:w="2880" w:type="dxa"/>
            <w:tcMar>
              <w:top w:w="80" w:type="dxa"/>
              <w:left w:w="120" w:type="dxa"/>
              <w:bottom w:w="80" w:type="dxa"/>
              <w:right w:w="120" w:type="dxa"/>
            </w:tcMar>
            <w:vAlign w:val="center"/>
          </w:tcPr>
          <w:p w14:paraId="3D2569AB" w14:textId="77777777" w:rsidR="003A56F0" w:rsidRDefault="00000000">
            <w:r>
              <w:rPr>
                <w:sz w:val="18"/>
              </w:rPr>
              <w:t>SentinelOne, SecureHub, VaultGate, NexusID</w:t>
            </w:r>
          </w:p>
        </w:tc>
      </w:tr>
    </w:tbl>
    <w:tbl>
      <w:tblPr>
        <w:tblW w:w="0" w:type="auto"/>
        <w:jc w:val="center"/>
        <w:tblLook w:val="04A0" w:firstRow="1" w:lastRow="0" w:firstColumn="1" w:lastColumn="0" w:noHBand="0" w:noVBand="1"/>
      </w:tblPr>
      <w:tblGrid>
        <w:gridCol w:w="10080"/>
      </w:tblGrid>
      <w:tr w:rsidR="003A56F0" w14:paraId="69B11F37" w14:textId="77777777">
        <w:trPr>
          <w:jc w:val="center"/>
        </w:trPr>
        <w:tc>
          <w:tcPr>
            <w:tcW w:w="10080" w:type="dxa"/>
            <w:shd w:val="clear" w:color="auto" w:fill="EEF3F8"/>
            <w:tcMar>
              <w:top w:w="120" w:type="dxa"/>
              <w:left w:w="180" w:type="dxa"/>
              <w:bottom w:w="120" w:type="dxa"/>
              <w:right w:w="180" w:type="dxa"/>
            </w:tcMar>
            <w:vAlign w:val="center"/>
          </w:tcPr>
          <w:p w14:paraId="27F47ECC" w14:textId="77777777" w:rsidR="003A56F0" w:rsidRDefault="00000000">
            <w:pPr>
              <w:pStyle w:val="OrchestrAIBox"/>
            </w:pPr>
            <w:r>
              <w:rPr>
                <w:b/>
              </w:rPr>
              <w:t xml:space="preserve">Purpose: </w:t>
            </w:r>
            <w:r>
              <w:t>This handbook explains how OrchestrAI manages identity, endpoint protection, vulnerability response, compliance evidence, and third-party access in support of the company's AI warehouse orchestration platform, edge devices, and cloud control plane.</w:t>
            </w:r>
          </w:p>
        </w:tc>
      </w:tr>
    </w:tbl>
    <w:p w14:paraId="4B076948" w14:textId="77777777" w:rsidR="003A56F0" w:rsidRDefault="00000000">
      <w:pPr>
        <w:pStyle w:val="OrchestrAIH1"/>
      </w:pPr>
      <w:r>
        <w:t>1. Team Mission and Operating Scope</w:t>
      </w:r>
    </w:p>
    <w:p w14:paraId="765EC2FF" w14:textId="77777777" w:rsidR="003A56F0" w:rsidRDefault="00000000">
      <w:r>
        <w:t>The Cybersecurity &amp; GRC team protects OrchestrAI's people, cloud services, edge gateways, corporate endpoints, and regulated operational data. The team owns preventive controls, detective monitoring, incident coordination, policy stewardship, and audit readiness for internal systems and customer-facing production environments.</w:t>
      </w:r>
    </w:p>
    <w:p w14:paraId="2C6BBAA8" w14:textId="77777777" w:rsidR="003A56F0" w:rsidRDefault="00000000">
      <w:pPr>
        <w:pStyle w:val="ListBullet"/>
      </w:pPr>
      <w:r>
        <w:t>Primary mission areas: identity and access governance, endpoint and workload protection, vulnerability management, security monitoring, third-party risk, and compliance evidence management.</w:t>
      </w:r>
    </w:p>
    <w:p w14:paraId="3BE488D6" w14:textId="77777777" w:rsidR="003A56F0" w:rsidRDefault="00000000">
      <w:pPr>
        <w:pStyle w:val="ListBullet"/>
      </w:pPr>
      <w:r>
        <w:t>Operating model: Security Engineering defines control patterns, Security Operations monitors signals and incidents, and Governance/Risk/Compliance manages policy, attestations, and audit artifacts.</w:t>
      </w:r>
    </w:p>
    <w:p w14:paraId="4962505C" w14:textId="77777777" w:rsidR="003A56F0" w:rsidRDefault="00000000">
      <w:pPr>
        <w:pStyle w:val="ListBullet"/>
      </w:pPr>
      <w:r>
        <w:t>Shared interfaces: IT handles workforce device support, Engineering owns service remediation, and Product/Support coordinate customer communications for security-impacting incidents.</w:t>
      </w:r>
    </w:p>
    <w:p w14:paraId="5BB1B25C" w14:textId="77777777" w:rsidR="003A56F0" w:rsidRDefault="00000000">
      <w:pPr>
        <w:pStyle w:val="OrchestrAIH1"/>
      </w:pPr>
      <w:r>
        <w:t>2. Core Platforms and Ownership</w:t>
      </w:r>
    </w:p>
    <w:tbl>
      <w:tblPr>
        <w:tblStyle w:val="TableGrid"/>
        <w:tblW w:w="0" w:type="auto"/>
        <w:jc w:val="center"/>
        <w:tblLook w:val="04A0" w:firstRow="1" w:lastRow="0" w:firstColumn="1" w:lastColumn="0" w:noHBand="0" w:noVBand="1"/>
      </w:tblPr>
      <w:tblGrid>
        <w:gridCol w:w="2520"/>
        <w:gridCol w:w="2520"/>
        <w:gridCol w:w="2520"/>
        <w:gridCol w:w="2520"/>
      </w:tblGrid>
      <w:tr w:rsidR="003A56F0" w14:paraId="3642FB28" w14:textId="77777777">
        <w:trPr>
          <w:tblHeader/>
          <w:jc w:val="center"/>
        </w:trPr>
        <w:tc>
          <w:tcPr>
            <w:tcW w:w="2520" w:type="dxa"/>
            <w:shd w:val="clear" w:color="auto" w:fill="DCE6F2"/>
            <w:tcMar>
              <w:top w:w="80" w:type="dxa"/>
              <w:left w:w="120" w:type="dxa"/>
              <w:bottom w:w="80" w:type="dxa"/>
              <w:right w:w="120" w:type="dxa"/>
            </w:tcMar>
            <w:vAlign w:val="center"/>
          </w:tcPr>
          <w:p w14:paraId="4B146490" w14:textId="77777777" w:rsidR="003A56F0" w:rsidRDefault="00000000">
            <w:pPr>
              <w:jc w:val="center"/>
            </w:pPr>
            <w:r>
              <w:rPr>
                <w:b/>
                <w:sz w:val="18"/>
              </w:rPr>
              <w:t>Platform / Repository</w:t>
            </w:r>
          </w:p>
        </w:tc>
        <w:tc>
          <w:tcPr>
            <w:tcW w:w="2520" w:type="dxa"/>
            <w:shd w:val="clear" w:color="auto" w:fill="DCE6F2"/>
            <w:tcMar>
              <w:top w:w="80" w:type="dxa"/>
              <w:left w:w="120" w:type="dxa"/>
              <w:bottom w:w="80" w:type="dxa"/>
              <w:right w:w="120" w:type="dxa"/>
            </w:tcMar>
            <w:vAlign w:val="center"/>
          </w:tcPr>
          <w:p w14:paraId="6862CCCA" w14:textId="77777777" w:rsidR="003A56F0" w:rsidRDefault="00000000">
            <w:pPr>
              <w:jc w:val="center"/>
            </w:pPr>
            <w:r>
              <w:rPr>
                <w:b/>
                <w:sz w:val="18"/>
              </w:rPr>
              <w:t>Purpose</w:t>
            </w:r>
          </w:p>
        </w:tc>
        <w:tc>
          <w:tcPr>
            <w:tcW w:w="2520" w:type="dxa"/>
            <w:shd w:val="clear" w:color="auto" w:fill="DCE6F2"/>
            <w:tcMar>
              <w:top w:w="80" w:type="dxa"/>
              <w:left w:w="120" w:type="dxa"/>
              <w:bottom w:w="80" w:type="dxa"/>
              <w:right w:w="120" w:type="dxa"/>
            </w:tcMar>
            <w:vAlign w:val="center"/>
          </w:tcPr>
          <w:p w14:paraId="3157517A" w14:textId="77777777" w:rsidR="003A56F0" w:rsidRDefault="00000000">
            <w:pPr>
              <w:jc w:val="center"/>
            </w:pPr>
            <w:r>
              <w:rPr>
                <w:b/>
                <w:sz w:val="18"/>
              </w:rPr>
              <w:t>Primary Owner</w:t>
            </w:r>
          </w:p>
        </w:tc>
        <w:tc>
          <w:tcPr>
            <w:tcW w:w="2520" w:type="dxa"/>
            <w:shd w:val="clear" w:color="auto" w:fill="DCE6F2"/>
            <w:tcMar>
              <w:top w:w="80" w:type="dxa"/>
              <w:left w:w="120" w:type="dxa"/>
              <w:bottom w:w="80" w:type="dxa"/>
              <w:right w:w="120" w:type="dxa"/>
            </w:tcMar>
            <w:vAlign w:val="center"/>
          </w:tcPr>
          <w:p w14:paraId="7DDD84F7" w14:textId="77777777" w:rsidR="003A56F0" w:rsidRDefault="00000000">
            <w:pPr>
              <w:jc w:val="center"/>
            </w:pPr>
            <w:r>
              <w:rPr>
                <w:b/>
                <w:sz w:val="18"/>
              </w:rPr>
              <w:t>Notes</w:t>
            </w:r>
          </w:p>
        </w:tc>
      </w:tr>
      <w:tr w:rsidR="003A56F0" w14:paraId="240E3E3F" w14:textId="77777777">
        <w:trPr>
          <w:jc w:val="center"/>
        </w:trPr>
        <w:tc>
          <w:tcPr>
            <w:tcW w:w="2520" w:type="dxa"/>
            <w:tcMar>
              <w:top w:w="80" w:type="dxa"/>
              <w:left w:w="120" w:type="dxa"/>
              <w:bottom w:w="80" w:type="dxa"/>
              <w:right w:w="120" w:type="dxa"/>
            </w:tcMar>
            <w:vAlign w:val="center"/>
          </w:tcPr>
          <w:p w14:paraId="42A9F7EF" w14:textId="77777777" w:rsidR="003A56F0" w:rsidRDefault="00000000">
            <w:pPr>
              <w:jc w:val="center"/>
            </w:pPr>
            <w:r>
              <w:rPr>
                <w:sz w:val="18"/>
              </w:rPr>
              <w:t>NexusID</w:t>
            </w:r>
          </w:p>
        </w:tc>
        <w:tc>
          <w:tcPr>
            <w:tcW w:w="2520" w:type="dxa"/>
            <w:tcMar>
              <w:top w:w="80" w:type="dxa"/>
              <w:left w:w="120" w:type="dxa"/>
              <w:bottom w:w="80" w:type="dxa"/>
              <w:right w:w="120" w:type="dxa"/>
            </w:tcMar>
            <w:vAlign w:val="center"/>
          </w:tcPr>
          <w:p w14:paraId="0D9973D4" w14:textId="77777777" w:rsidR="003A56F0" w:rsidRDefault="00000000">
            <w:r>
              <w:rPr>
                <w:sz w:val="18"/>
              </w:rPr>
              <w:t>Workforce SSO, MFA, lifecycle events</w:t>
            </w:r>
          </w:p>
        </w:tc>
        <w:tc>
          <w:tcPr>
            <w:tcW w:w="2520" w:type="dxa"/>
            <w:tcMar>
              <w:top w:w="80" w:type="dxa"/>
              <w:left w:w="120" w:type="dxa"/>
              <w:bottom w:w="80" w:type="dxa"/>
              <w:right w:w="120" w:type="dxa"/>
            </w:tcMar>
            <w:vAlign w:val="center"/>
          </w:tcPr>
          <w:p w14:paraId="52FD43FC" w14:textId="77777777" w:rsidR="003A56F0" w:rsidRDefault="00000000">
            <w:pPr>
              <w:jc w:val="center"/>
            </w:pPr>
            <w:r>
              <w:rPr>
                <w:sz w:val="18"/>
              </w:rPr>
              <w:t>Identity &amp; Access Lead</w:t>
            </w:r>
          </w:p>
        </w:tc>
        <w:tc>
          <w:tcPr>
            <w:tcW w:w="2520" w:type="dxa"/>
            <w:tcMar>
              <w:top w:w="80" w:type="dxa"/>
              <w:left w:w="120" w:type="dxa"/>
              <w:bottom w:w="80" w:type="dxa"/>
              <w:right w:w="120" w:type="dxa"/>
            </w:tcMar>
            <w:vAlign w:val="center"/>
          </w:tcPr>
          <w:p w14:paraId="59260EAF" w14:textId="77777777" w:rsidR="003A56F0" w:rsidRDefault="00000000">
            <w:r>
              <w:rPr>
                <w:sz w:val="18"/>
              </w:rPr>
              <w:t>Authoritative source for role-based access and quarterly reviews</w:t>
            </w:r>
          </w:p>
        </w:tc>
      </w:tr>
      <w:tr w:rsidR="003A56F0" w14:paraId="53FACC21" w14:textId="77777777">
        <w:trPr>
          <w:jc w:val="center"/>
        </w:trPr>
        <w:tc>
          <w:tcPr>
            <w:tcW w:w="2520" w:type="dxa"/>
            <w:tcMar>
              <w:top w:w="80" w:type="dxa"/>
              <w:left w:w="120" w:type="dxa"/>
              <w:bottom w:w="80" w:type="dxa"/>
              <w:right w:w="120" w:type="dxa"/>
            </w:tcMar>
            <w:vAlign w:val="center"/>
          </w:tcPr>
          <w:p w14:paraId="5176B53A" w14:textId="77777777" w:rsidR="003A56F0" w:rsidRDefault="00000000">
            <w:pPr>
              <w:jc w:val="center"/>
            </w:pPr>
            <w:r>
              <w:rPr>
                <w:sz w:val="18"/>
              </w:rPr>
              <w:t>VaultGate</w:t>
            </w:r>
          </w:p>
        </w:tc>
        <w:tc>
          <w:tcPr>
            <w:tcW w:w="2520" w:type="dxa"/>
            <w:tcMar>
              <w:top w:w="80" w:type="dxa"/>
              <w:left w:w="120" w:type="dxa"/>
              <w:bottom w:w="80" w:type="dxa"/>
              <w:right w:w="120" w:type="dxa"/>
            </w:tcMar>
            <w:vAlign w:val="center"/>
          </w:tcPr>
          <w:p w14:paraId="521350B4" w14:textId="77777777" w:rsidR="003A56F0" w:rsidRDefault="00000000">
            <w:r>
              <w:rPr>
                <w:sz w:val="18"/>
              </w:rPr>
              <w:t>Privileged access vault and break-glass workflows</w:t>
            </w:r>
          </w:p>
        </w:tc>
        <w:tc>
          <w:tcPr>
            <w:tcW w:w="2520" w:type="dxa"/>
            <w:tcMar>
              <w:top w:w="80" w:type="dxa"/>
              <w:left w:w="120" w:type="dxa"/>
              <w:bottom w:w="80" w:type="dxa"/>
              <w:right w:w="120" w:type="dxa"/>
            </w:tcMar>
            <w:vAlign w:val="center"/>
          </w:tcPr>
          <w:p w14:paraId="4A0BF30A" w14:textId="77777777" w:rsidR="003A56F0" w:rsidRDefault="00000000">
            <w:pPr>
              <w:jc w:val="center"/>
            </w:pPr>
            <w:r>
              <w:rPr>
                <w:sz w:val="18"/>
              </w:rPr>
              <w:t>Security Operations</w:t>
            </w:r>
          </w:p>
        </w:tc>
        <w:tc>
          <w:tcPr>
            <w:tcW w:w="2520" w:type="dxa"/>
            <w:tcMar>
              <w:top w:w="80" w:type="dxa"/>
              <w:left w:w="120" w:type="dxa"/>
              <w:bottom w:w="80" w:type="dxa"/>
              <w:right w:w="120" w:type="dxa"/>
            </w:tcMar>
            <w:vAlign w:val="center"/>
          </w:tcPr>
          <w:p w14:paraId="4777A4D1" w14:textId="77777777" w:rsidR="003A56F0" w:rsidRDefault="00000000">
            <w:r>
              <w:rPr>
                <w:sz w:val="18"/>
              </w:rPr>
              <w:t>Stores elevated credentials, session logs, and emergency check-out approvals</w:t>
            </w:r>
          </w:p>
        </w:tc>
      </w:tr>
      <w:tr w:rsidR="003A56F0" w14:paraId="06748D06" w14:textId="77777777">
        <w:trPr>
          <w:jc w:val="center"/>
        </w:trPr>
        <w:tc>
          <w:tcPr>
            <w:tcW w:w="2520" w:type="dxa"/>
            <w:tcMar>
              <w:top w:w="80" w:type="dxa"/>
              <w:left w:w="120" w:type="dxa"/>
              <w:bottom w:w="80" w:type="dxa"/>
              <w:right w:w="120" w:type="dxa"/>
            </w:tcMar>
            <w:vAlign w:val="center"/>
          </w:tcPr>
          <w:p w14:paraId="5775DE89" w14:textId="77777777" w:rsidR="003A56F0" w:rsidRDefault="00000000">
            <w:pPr>
              <w:jc w:val="center"/>
            </w:pPr>
            <w:r>
              <w:rPr>
                <w:sz w:val="18"/>
              </w:rPr>
              <w:t>PulseWatch</w:t>
            </w:r>
          </w:p>
        </w:tc>
        <w:tc>
          <w:tcPr>
            <w:tcW w:w="2520" w:type="dxa"/>
            <w:tcMar>
              <w:top w:w="80" w:type="dxa"/>
              <w:left w:w="120" w:type="dxa"/>
              <w:bottom w:w="80" w:type="dxa"/>
              <w:right w:w="120" w:type="dxa"/>
            </w:tcMar>
            <w:vAlign w:val="center"/>
          </w:tcPr>
          <w:p w14:paraId="5FE711B9" w14:textId="77777777" w:rsidR="003A56F0" w:rsidRDefault="00000000">
            <w:r>
              <w:rPr>
                <w:sz w:val="18"/>
              </w:rPr>
              <w:t>SIEM and alert triage for cloud, endpoint, and edge telemetry</w:t>
            </w:r>
          </w:p>
        </w:tc>
        <w:tc>
          <w:tcPr>
            <w:tcW w:w="2520" w:type="dxa"/>
            <w:tcMar>
              <w:top w:w="80" w:type="dxa"/>
              <w:left w:w="120" w:type="dxa"/>
              <w:bottom w:w="80" w:type="dxa"/>
              <w:right w:w="120" w:type="dxa"/>
            </w:tcMar>
            <w:vAlign w:val="center"/>
          </w:tcPr>
          <w:p w14:paraId="3E9FCBE3" w14:textId="77777777" w:rsidR="003A56F0" w:rsidRDefault="00000000">
            <w:pPr>
              <w:jc w:val="center"/>
            </w:pPr>
            <w:r>
              <w:rPr>
                <w:sz w:val="18"/>
              </w:rPr>
              <w:t>Detection Engineering</w:t>
            </w:r>
          </w:p>
        </w:tc>
        <w:tc>
          <w:tcPr>
            <w:tcW w:w="2520" w:type="dxa"/>
            <w:tcMar>
              <w:top w:w="80" w:type="dxa"/>
              <w:left w:w="120" w:type="dxa"/>
              <w:bottom w:w="80" w:type="dxa"/>
              <w:right w:w="120" w:type="dxa"/>
            </w:tcMar>
            <w:vAlign w:val="center"/>
          </w:tcPr>
          <w:p w14:paraId="135D899A" w14:textId="77777777" w:rsidR="003A56F0" w:rsidRDefault="00000000">
            <w:r>
              <w:rPr>
                <w:sz w:val="18"/>
              </w:rPr>
              <w:t>Correlates login anomalies, malware, and control-plane events</w:t>
            </w:r>
          </w:p>
        </w:tc>
      </w:tr>
      <w:tr w:rsidR="003A56F0" w14:paraId="0EFB5C52" w14:textId="77777777">
        <w:trPr>
          <w:jc w:val="center"/>
        </w:trPr>
        <w:tc>
          <w:tcPr>
            <w:tcW w:w="2520" w:type="dxa"/>
            <w:tcMar>
              <w:top w:w="80" w:type="dxa"/>
              <w:left w:w="120" w:type="dxa"/>
              <w:bottom w:w="80" w:type="dxa"/>
              <w:right w:w="120" w:type="dxa"/>
            </w:tcMar>
            <w:vAlign w:val="center"/>
          </w:tcPr>
          <w:p w14:paraId="4052DBDF" w14:textId="77777777" w:rsidR="003A56F0" w:rsidRDefault="00000000">
            <w:pPr>
              <w:jc w:val="center"/>
            </w:pPr>
            <w:r>
              <w:rPr>
                <w:sz w:val="18"/>
              </w:rPr>
              <w:t>PatchLens</w:t>
            </w:r>
          </w:p>
        </w:tc>
        <w:tc>
          <w:tcPr>
            <w:tcW w:w="2520" w:type="dxa"/>
            <w:tcMar>
              <w:top w:w="80" w:type="dxa"/>
              <w:left w:w="120" w:type="dxa"/>
              <w:bottom w:w="80" w:type="dxa"/>
              <w:right w:w="120" w:type="dxa"/>
            </w:tcMar>
            <w:vAlign w:val="center"/>
          </w:tcPr>
          <w:p w14:paraId="45C9D8CC" w14:textId="77777777" w:rsidR="003A56F0" w:rsidRDefault="00000000">
            <w:r>
              <w:rPr>
                <w:sz w:val="18"/>
              </w:rPr>
              <w:t>Vulnerability and patch governance</w:t>
            </w:r>
          </w:p>
        </w:tc>
        <w:tc>
          <w:tcPr>
            <w:tcW w:w="2520" w:type="dxa"/>
            <w:tcMar>
              <w:top w:w="80" w:type="dxa"/>
              <w:left w:w="120" w:type="dxa"/>
              <w:bottom w:w="80" w:type="dxa"/>
              <w:right w:w="120" w:type="dxa"/>
            </w:tcMar>
            <w:vAlign w:val="center"/>
          </w:tcPr>
          <w:p w14:paraId="6B8EDB54" w14:textId="77777777" w:rsidR="003A56F0" w:rsidRDefault="00000000">
            <w:pPr>
              <w:jc w:val="center"/>
            </w:pPr>
            <w:r>
              <w:rPr>
                <w:sz w:val="18"/>
              </w:rPr>
              <w:t>Security Engineering</w:t>
            </w:r>
          </w:p>
        </w:tc>
        <w:tc>
          <w:tcPr>
            <w:tcW w:w="2520" w:type="dxa"/>
            <w:tcMar>
              <w:top w:w="80" w:type="dxa"/>
              <w:left w:w="120" w:type="dxa"/>
              <w:bottom w:w="80" w:type="dxa"/>
              <w:right w:w="120" w:type="dxa"/>
            </w:tcMar>
            <w:vAlign w:val="center"/>
          </w:tcPr>
          <w:p w14:paraId="628121D2" w14:textId="77777777" w:rsidR="003A56F0" w:rsidRDefault="00000000">
            <w:r>
              <w:rPr>
                <w:sz w:val="18"/>
              </w:rPr>
              <w:t>Tracks asset exposure, remediation SLAs, and exception approvals</w:t>
            </w:r>
          </w:p>
        </w:tc>
      </w:tr>
      <w:tr w:rsidR="003A56F0" w14:paraId="39DC722A" w14:textId="77777777">
        <w:trPr>
          <w:jc w:val="center"/>
        </w:trPr>
        <w:tc>
          <w:tcPr>
            <w:tcW w:w="2520" w:type="dxa"/>
            <w:tcMar>
              <w:top w:w="80" w:type="dxa"/>
              <w:left w:w="120" w:type="dxa"/>
              <w:bottom w:w="80" w:type="dxa"/>
              <w:right w:w="120" w:type="dxa"/>
            </w:tcMar>
            <w:vAlign w:val="center"/>
          </w:tcPr>
          <w:p w14:paraId="5C115FE6" w14:textId="77777777" w:rsidR="003A56F0" w:rsidRDefault="00000000">
            <w:pPr>
              <w:jc w:val="center"/>
            </w:pPr>
            <w:r>
              <w:rPr>
                <w:sz w:val="18"/>
              </w:rPr>
              <w:lastRenderedPageBreak/>
              <w:t>TrustBinder</w:t>
            </w:r>
          </w:p>
        </w:tc>
        <w:tc>
          <w:tcPr>
            <w:tcW w:w="2520" w:type="dxa"/>
            <w:tcMar>
              <w:top w:w="80" w:type="dxa"/>
              <w:left w:w="120" w:type="dxa"/>
              <w:bottom w:w="80" w:type="dxa"/>
              <w:right w:w="120" w:type="dxa"/>
            </w:tcMar>
            <w:vAlign w:val="center"/>
          </w:tcPr>
          <w:p w14:paraId="2198D78B" w14:textId="77777777" w:rsidR="003A56F0" w:rsidRDefault="00000000">
            <w:r>
              <w:rPr>
                <w:sz w:val="18"/>
              </w:rPr>
              <w:t>Policy, audit evidence, and vendor assurance library</w:t>
            </w:r>
          </w:p>
        </w:tc>
        <w:tc>
          <w:tcPr>
            <w:tcW w:w="2520" w:type="dxa"/>
            <w:tcMar>
              <w:top w:w="80" w:type="dxa"/>
              <w:left w:w="120" w:type="dxa"/>
              <w:bottom w:w="80" w:type="dxa"/>
              <w:right w:w="120" w:type="dxa"/>
            </w:tcMar>
            <w:vAlign w:val="center"/>
          </w:tcPr>
          <w:p w14:paraId="7F91B2EE" w14:textId="77777777" w:rsidR="003A56F0" w:rsidRDefault="00000000">
            <w:pPr>
              <w:jc w:val="center"/>
            </w:pPr>
            <w:r>
              <w:rPr>
                <w:sz w:val="18"/>
              </w:rPr>
              <w:t>GRC Program Manager</w:t>
            </w:r>
          </w:p>
        </w:tc>
        <w:tc>
          <w:tcPr>
            <w:tcW w:w="2520" w:type="dxa"/>
            <w:tcMar>
              <w:top w:w="80" w:type="dxa"/>
              <w:left w:w="120" w:type="dxa"/>
              <w:bottom w:w="80" w:type="dxa"/>
              <w:right w:w="120" w:type="dxa"/>
            </w:tcMar>
            <w:vAlign w:val="center"/>
          </w:tcPr>
          <w:p w14:paraId="138A4096" w14:textId="77777777" w:rsidR="003A56F0" w:rsidRDefault="00000000">
            <w:r>
              <w:rPr>
                <w:sz w:val="18"/>
              </w:rPr>
              <w:t>Houses control mappings, attestation records, and external audit requests</w:t>
            </w:r>
          </w:p>
        </w:tc>
      </w:tr>
    </w:tbl>
    <w:p w14:paraId="59148D86" w14:textId="77777777" w:rsidR="003A56F0" w:rsidRDefault="00000000">
      <w:pPr>
        <w:pStyle w:val="OrchestrAIH1"/>
      </w:pPr>
      <w:r>
        <w:t>3. Standard Security Workflow</w:t>
      </w:r>
    </w:p>
    <w:p w14:paraId="04862679" w14:textId="77777777" w:rsidR="003A56F0" w:rsidRDefault="00000000">
      <w:r>
        <w:t>Most operational work follows a five-stage control loop so that preventive controls, review checkpoints, and evidence records stay aligned across teams.</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3A56F0" w14:paraId="65FF7212" w14:textId="77777777">
        <w:trPr>
          <w:tblHeader/>
          <w:jc w:val="center"/>
        </w:trPr>
        <w:tc>
          <w:tcPr>
            <w:tcW w:w="2016" w:type="dxa"/>
            <w:shd w:val="clear" w:color="auto" w:fill="DCE6F2"/>
            <w:tcMar>
              <w:top w:w="80" w:type="dxa"/>
              <w:left w:w="120" w:type="dxa"/>
              <w:bottom w:w="80" w:type="dxa"/>
              <w:right w:w="120" w:type="dxa"/>
            </w:tcMar>
            <w:vAlign w:val="center"/>
          </w:tcPr>
          <w:p w14:paraId="297EACCD" w14:textId="77777777" w:rsidR="003A56F0" w:rsidRDefault="00000000">
            <w:pPr>
              <w:jc w:val="center"/>
            </w:pPr>
            <w:r>
              <w:rPr>
                <w:b/>
                <w:sz w:val="18"/>
              </w:rPr>
              <w:t>Stage</w:t>
            </w:r>
          </w:p>
        </w:tc>
        <w:tc>
          <w:tcPr>
            <w:tcW w:w="2016" w:type="dxa"/>
            <w:shd w:val="clear" w:color="auto" w:fill="DCE6F2"/>
            <w:tcMar>
              <w:top w:w="80" w:type="dxa"/>
              <w:left w:w="120" w:type="dxa"/>
              <w:bottom w:w="80" w:type="dxa"/>
              <w:right w:w="120" w:type="dxa"/>
            </w:tcMar>
            <w:vAlign w:val="center"/>
          </w:tcPr>
          <w:p w14:paraId="7BB7FAD4" w14:textId="77777777" w:rsidR="003A56F0" w:rsidRDefault="00000000">
            <w:pPr>
              <w:jc w:val="center"/>
            </w:pPr>
            <w:r>
              <w:rPr>
                <w:b/>
                <w:sz w:val="18"/>
              </w:rPr>
              <w:t>Trigger</w:t>
            </w:r>
          </w:p>
        </w:tc>
        <w:tc>
          <w:tcPr>
            <w:tcW w:w="2016" w:type="dxa"/>
            <w:shd w:val="clear" w:color="auto" w:fill="DCE6F2"/>
            <w:tcMar>
              <w:top w:w="80" w:type="dxa"/>
              <w:left w:w="120" w:type="dxa"/>
              <w:bottom w:w="80" w:type="dxa"/>
              <w:right w:w="120" w:type="dxa"/>
            </w:tcMar>
            <w:vAlign w:val="center"/>
          </w:tcPr>
          <w:p w14:paraId="5C1E865C" w14:textId="77777777" w:rsidR="003A56F0" w:rsidRDefault="00000000">
            <w:pPr>
              <w:jc w:val="center"/>
            </w:pPr>
            <w:r>
              <w:rPr>
                <w:b/>
                <w:sz w:val="18"/>
              </w:rPr>
              <w:t>Primary Action</w:t>
            </w:r>
          </w:p>
        </w:tc>
        <w:tc>
          <w:tcPr>
            <w:tcW w:w="2016" w:type="dxa"/>
            <w:shd w:val="clear" w:color="auto" w:fill="DCE6F2"/>
            <w:tcMar>
              <w:top w:w="80" w:type="dxa"/>
              <w:left w:w="120" w:type="dxa"/>
              <w:bottom w:w="80" w:type="dxa"/>
              <w:right w:w="120" w:type="dxa"/>
            </w:tcMar>
            <w:vAlign w:val="center"/>
          </w:tcPr>
          <w:p w14:paraId="1A154E1E" w14:textId="77777777" w:rsidR="003A56F0" w:rsidRDefault="00000000">
            <w:pPr>
              <w:jc w:val="center"/>
            </w:pPr>
            <w:r>
              <w:rPr>
                <w:b/>
                <w:sz w:val="18"/>
              </w:rPr>
              <w:t>Escalation Point</w:t>
            </w:r>
          </w:p>
        </w:tc>
        <w:tc>
          <w:tcPr>
            <w:tcW w:w="2016" w:type="dxa"/>
            <w:shd w:val="clear" w:color="auto" w:fill="DCE6F2"/>
            <w:tcMar>
              <w:top w:w="80" w:type="dxa"/>
              <w:left w:w="120" w:type="dxa"/>
              <w:bottom w:w="80" w:type="dxa"/>
              <w:right w:w="120" w:type="dxa"/>
            </w:tcMar>
            <w:vAlign w:val="center"/>
          </w:tcPr>
          <w:p w14:paraId="3E628E72" w14:textId="77777777" w:rsidR="003A56F0" w:rsidRDefault="00000000">
            <w:pPr>
              <w:jc w:val="center"/>
            </w:pPr>
            <w:r>
              <w:rPr>
                <w:b/>
                <w:sz w:val="18"/>
              </w:rPr>
              <w:t>Recorded Evidence</w:t>
            </w:r>
          </w:p>
        </w:tc>
      </w:tr>
      <w:tr w:rsidR="003A56F0" w14:paraId="3010B40E" w14:textId="77777777">
        <w:trPr>
          <w:jc w:val="center"/>
        </w:trPr>
        <w:tc>
          <w:tcPr>
            <w:tcW w:w="2016" w:type="dxa"/>
            <w:tcMar>
              <w:top w:w="80" w:type="dxa"/>
              <w:left w:w="120" w:type="dxa"/>
              <w:bottom w:w="80" w:type="dxa"/>
              <w:right w:w="120" w:type="dxa"/>
            </w:tcMar>
            <w:vAlign w:val="center"/>
          </w:tcPr>
          <w:p w14:paraId="13C80165" w14:textId="77777777" w:rsidR="003A56F0" w:rsidRDefault="00000000">
            <w:pPr>
              <w:jc w:val="center"/>
            </w:pPr>
            <w:r>
              <w:rPr>
                <w:sz w:val="18"/>
              </w:rPr>
              <w:t>1. Intake</w:t>
            </w:r>
          </w:p>
        </w:tc>
        <w:tc>
          <w:tcPr>
            <w:tcW w:w="2016" w:type="dxa"/>
            <w:tcMar>
              <w:top w:w="80" w:type="dxa"/>
              <w:left w:w="120" w:type="dxa"/>
              <w:bottom w:w="80" w:type="dxa"/>
              <w:right w:w="120" w:type="dxa"/>
            </w:tcMar>
            <w:vAlign w:val="center"/>
          </w:tcPr>
          <w:p w14:paraId="7AEA45E5" w14:textId="77777777" w:rsidR="003A56F0" w:rsidRDefault="00000000">
            <w:r>
              <w:rPr>
                <w:sz w:val="18"/>
              </w:rPr>
              <w:t>New access request, finding, alert, or vendor review</w:t>
            </w:r>
          </w:p>
        </w:tc>
        <w:tc>
          <w:tcPr>
            <w:tcW w:w="2016" w:type="dxa"/>
            <w:tcMar>
              <w:top w:w="80" w:type="dxa"/>
              <w:left w:w="120" w:type="dxa"/>
              <w:bottom w:w="80" w:type="dxa"/>
              <w:right w:w="120" w:type="dxa"/>
            </w:tcMar>
            <w:vAlign w:val="center"/>
          </w:tcPr>
          <w:p w14:paraId="088869F7" w14:textId="77777777" w:rsidR="003A56F0" w:rsidRDefault="00000000">
            <w:r>
              <w:rPr>
                <w:sz w:val="18"/>
              </w:rPr>
              <w:t>Validate source, assign severity, map owner</w:t>
            </w:r>
          </w:p>
        </w:tc>
        <w:tc>
          <w:tcPr>
            <w:tcW w:w="2016" w:type="dxa"/>
            <w:tcMar>
              <w:top w:w="80" w:type="dxa"/>
              <w:left w:w="120" w:type="dxa"/>
              <w:bottom w:w="80" w:type="dxa"/>
              <w:right w:w="120" w:type="dxa"/>
            </w:tcMar>
            <w:vAlign w:val="center"/>
          </w:tcPr>
          <w:p w14:paraId="7455E14C" w14:textId="77777777" w:rsidR="003A56F0" w:rsidRDefault="00000000">
            <w:r>
              <w:rPr>
                <w:sz w:val="18"/>
              </w:rPr>
              <w:t>Security Duty Lead if scope unclear</w:t>
            </w:r>
          </w:p>
        </w:tc>
        <w:tc>
          <w:tcPr>
            <w:tcW w:w="2016" w:type="dxa"/>
            <w:tcMar>
              <w:top w:w="80" w:type="dxa"/>
              <w:left w:w="120" w:type="dxa"/>
              <w:bottom w:w="80" w:type="dxa"/>
              <w:right w:w="120" w:type="dxa"/>
            </w:tcMar>
            <w:vAlign w:val="center"/>
          </w:tcPr>
          <w:p w14:paraId="1DB12622" w14:textId="77777777" w:rsidR="003A56F0" w:rsidRDefault="00000000">
            <w:r>
              <w:rPr>
                <w:sz w:val="18"/>
              </w:rPr>
              <w:t>Ticket in SecureOps queue</w:t>
            </w:r>
          </w:p>
        </w:tc>
      </w:tr>
      <w:tr w:rsidR="003A56F0" w14:paraId="7F637C4D" w14:textId="77777777">
        <w:trPr>
          <w:jc w:val="center"/>
        </w:trPr>
        <w:tc>
          <w:tcPr>
            <w:tcW w:w="2016" w:type="dxa"/>
            <w:tcMar>
              <w:top w:w="80" w:type="dxa"/>
              <w:left w:w="120" w:type="dxa"/>
              <w:bottom w:w="80" w:type="dxa"/>
              <w:right w:w="120" w:type="dxa"/>
            </w:tcMar>
            <w:vAlign w:val="center"/>
          </w:tcPr>
          <w:p w14:paraId="0BD83E6D" w14:textId="77777777" w:rsidR="003A56F0" w:rsidRDefault="00000000">
            <w:pPr>
              <w:jc w:val="center"/>
            </w:pPr>
            <w:r>
              <w:rPr>
                <w:sz w:val="18"/>
              </w:rPr>
              <w:t>2. Assessment</w:t>
            </w:r>
          </w:p>
        </w:tc>
        <w:tc>
          <w:tcPr>
            <w:tcW w:w="2016" w:type="dxa"/>
            <w:tcMar>
              <w:top w:w="80" w:type="dxa"/>
              <w:left w:w="120" w:type="dxa"/>
              <w:bottom w:w="80" w:type="dxa"/>
              <w:right w:w="120" w:type="dxa"/>
            </w:tcMar>
            <w:vAlign w:val="center"/>
          </w:tcPr>
          <w:p w14:paraId="01DF9E10" w14:textId="77777777" w:rsidR="003A56F0" w:rsidRDefault="00000000">
            <w:r>
              <w:rPr>
                <w:sz w:val="18"/>
              </w:rPr>
              <w:t>Asset criticality and business impact known</w:t>
            </w:r>
          </w:p>
        </w:tc>
        <w:tc>
          <w:tcPr>
            <w:tcW w:w="2016" w:type="dxa"/>
            <w:tcMar>
              <w:top w:w="80" w:type="dxa"/>
              <w:left w:w="120" w:type="dxa"/>
              <w:bottom w:w="80" w:type="dxa"/>
              <w:right w:w="120" w:type="dxa"/>
            </w:tcMar>
            <w:vAlign w:val="center"/>
          </w:tcPr>
          <w:p w14:paraId="7ABF83B5" w14:textId="77777777" w:rsidR="003A56F0" w:rsidRDefault="00000000">
            <w:r>
              <w:rPr>
                <w:sz w:val="18"/>
              </w:rPr>
              <w:t>Confirm system tier, user scope, data sensitivity</w:t>
            </w:r>
          </w:p>
        </w:tc>
        <w:tc>
          <w:tcPr>
            <w:tcW w:w="2016" w:type="dxa"/>
            <w:tcMar>
              <w:top w:w="80" w:type="dxa"/>
              <w:left w:w="120" w:type="dxa"/>
              <w:bottom w:w="80" w:type="dxa"/>
              <w:right w:w="120" w:type="dxa"/>
            </w:tcMar>
            <w:vAlign w:val="center"/>
          </w:tcPr>
          <w:p w14:paraId="202CA3EE" w14:textId="77777777" w:rsidR="003A56F0" w:rsidRDefault="00000000">
            <w:r>
              <w:rPr>
                <w:sz w:val="18"/>
              </w:rPr>
              <w:t>Manager on-call for production or privileged assets</w:t>
            </w:r>
          </w:p>
        </w:tc>
        <w:tc>
          <w:tcPr>
            <w:tcW w:w="2016" w:type="dxa"/>
            <w:tcMar>
              <w:top w:w="80" w:type="dxa"/>
              <w:left w:w="120" w:type="dxa"/>
              <w:bottom w:w="80" w:type="dxa"/>
              <w:right w:w="120" w:type="dxa"/>
            </w:tcMar>
            <w:vAlign w:val="center"/>
          </w:tcPr>
          <w:p w14:paraId="6B999E86" w14:textId="77777777" w:rsidR="003A56F0" w:rsidRDefault="00000000">
            <w:r>
              <w:rPr>
                <w:sz w:val="18"/>
              </w:rPr>
              <w:t>Impact notes and classification</w:t>
            </w:r>
          </w:p>
        </w:tc>
      </w:tr>
      <w:tr w:rsidR="003A56F0" w14:paraId="08F6C2A0" w14:textId="77777777">
        <w:trPr>
          <w:jc w:val="center"/>
        </w:trPr>
        <w:tc>
          <w:tcPr>
            <w:tcW w:w="2016" w:type="dxa"/>
            <w:tcMar>
              <w:top w:w="80" w:type="dxa"/>
              <w:left w:w="120" w:type="dxa"/>
              <w:bottom w:w="80" w:type="dxa"/>
              <w:right w:w="120" w:type="dxa"/>
            </w:tcMar>
            <w:vAlign w:val="center"/>
          </w:tcPr>
          <w:p w14:paraId="26A49F51" w14:textId="77777777" w:rsidR="003A56F0" w:rsidRDefault="00000000">
            <w:pPr>
              <w:jc w:val="center"/>
            </w:pPr>
            <w:r>
              <w:rPr>
                <w:sz w:val="18"/>
              </w:rPr>
              <w:t>3. Containment / Decision</w:t>
            </w:r>
          </w:p>
        </w:tc>
        <w:tc>
          <w:tcPr>
            <w:tcW w:w="2016" w:type="dxa"/>
            <w:tcMar>
              <w:top w:w="80" w:type="dxa"/>
              <w:left w:w="120" w:type="dxa"/>
              <w:bottom w:w="80" w:type="dxa"/>
              <w:right w:w="120" w:type="dxa"/>
            </w:tcMar>
            <w:vAlign w:val="center"/>
          </w:tcPr>
          <w:p w14:paraId="1480BE52" w14:textId="77777777" w:rsidR="003A56F0" w:rsidRDefault="00000000">
            <w:r>
              <w:rPr>
                <w:sz w:val="18"/>
              </w:rPr>
              <w:t>Risk accepted, mitigated, or contained</w:t>
            </w:r>
          </w:p>
        </w:tc>
        <w:tc>
          <w:tcPr>
            <w:tcW w:w="2016" w:type="dxa"/>
            <w:tcMar>
              <w:top w:w="80" w:type="dxa"/>
              <w:left w:w="120" w:type="dxa"/>
              <w:bottom w:w="80" w:type="dxa"/>
              <w:right w:w="120" w:type="dxa"/>
            </w:tcMar>
            <w:vAlign w:val="center"/>
          </w:tcPr>
          <w:p w14:paraId="2A1205BD" w14:textId="77777777" w:rsidR="003A56F0" w:rsidRDefault="00000000">
            <w:r>
              <w:rPr>
                <w:sz w:val="18"/>
              </w:rPr>
              <w:t>Revoke access, isolate asset, pause deployment, or request exception</w:t>
            </w:r>
          </w:p>
        </w:tc>
        <w:tc>
          <w:tcPr>
            <w:tcW w:w="2016" w:type="dxa"/>
            <w:tcMar>
              <w:top w:w="80" w:type="dxa"/>
              <w:left w:w="120" w:type="dxa"/>
              <w:bottom w:w="80" w:type="dxa"/>
              <w:right w:w="120" w:type="dxa"/>
            </w:tcMar>
            <w:vAlign w:val="center"/>
          </w:tcPr>
          <w:p w14:paraId="1072F51C" w14:textId="77777777" w:rsidR="003A56F0" w:rsidRDefault="00000000">
            <w:r>
              <w:rPr>
                <w:sz w:val="18"/>
              </w:rPr>
              <w:t>CISO delegate for material exceptions</w:t>
            </w:r>
          </w:p>
        </w:tc>
        <w:tc>
          <w:tcPr>
            <w:tcW w:w="2016" w:type="dxa"/>
            <w:tcMar>
              <w:top w:w="80" w:type="dxa"/>
              <w:left w:w="120" w:type="dxa"/>
              <w:bottom w:w="80" w:type="dxa"/>
              <w:right w:w="120" w:type="dxa"/>
            </w:tcMar>
            <w:vAlign w:val="center"/>
          </w:tcPr>
          <w:p w14:paraId="2531F7A9" w14:textId="77777777" w:rsidR="003A56F0" w:rsidRDefault="00000000">
            <w:r>
              <w:rPr>
                <w:sz w:val="18"/>
              </w:rPr>
              <w:t>Containment actions and approvals</w:t>
            </w:r>
          </w:p>
        </w:tc>
      </w:tr>
      <w:tr w:rsidR="003A56F0" w14:paraId="4867F8C5" w14:textId="77777777">
        <w:trPr>
          <w:jc w:val="center"/>
        </w:trPr>
        <w:tc>
          <w:tcPr>
            <w:tcW w:w="2016" w:type="dxa"/>
            <w:tcMar>
              <w:top w:w="80" w:type="dxa"/>
              <w:left w:w="120" w:type="dxa"/>
              <w:bottom w:w="80" w:type="dxa"/>
              <w:right w:w="120" w:type="dxa"/>
            </w:tcMar>
            <w:vAlign w:val="center"/>
          </w:tcPr>
          <w:p w14:paraId="7D951863" w14:textId="77777777" w:rsidR="003A56F0" w:rsidRDefault="00000000">
            <w:pPr>
              <w:jc w:val="center"/>
            </w:pPr>
            <w:r>
              <w:rPr>
                <w:sz w:val="18"/>
              </w:rPr>
              <w:t>4. Remediation</w:t>
            </w:r>
          </w:p>
        </w:tc>
        <w:tc>
          <w:tcPr>
            <w:tcW w:w="2016" w:type="dxa"/>
            <w:tcMar>
              <w:top w:w="80" w:type="dxa"/>
              <w:left w:w="120" w:type="dxa"/>
              <w:bottom w:w="80" w:type="dxa"/>
              <w:right w:w="120" w:type="dxa"/>
            </w:tcMar>
            <w:vAlign w:val="center"/>
          </w:tcPr>
          <w:p w14:paraId="5BD58ADE" w14:textId="77777777" w:rsidR="003A56F0" w:rsidRDefault="00000000">
            <w:r>
              <w:rPr>
                <w:sz w:val="18"/>
              </w:rPr>
              <w:t>Control owner identified</w:t>
            </w:r>
          </w:p>
        </w:tc>
        <w:tc>
          <w:tcPr>
            <w:tcW w:w="2016" w:type="dxa"/>
            <w:tcMar>
              <w:top w:w="80" w:type="dxa"/>
              <w:left w:w="120" w:type="dxa"/>
              <w:bottom w:w="80" w:type="dxa"/>
              <w:right w:w="120" w:type="dxa"/>
            </w:tcMar>
            <w:vAlign w:val="center"/>
          </w:tcPr>
          <w:p w14:paraId="2A3D5F0F" w14:textId="77777777" w:rsidR="003A56F0" w:rsidRDefault="00000000">
            <w:r>
              <w:rPr>
                <w:sz w:val="18"/>
              </w:rPr>
              <w:t>Patch, reconfigure, rotate credentials, update policy, or retrain user group</w:t>
            </w:r>
          </w:p>
        </w:tc>
        <w:tc>
          <w:tcPr>
            <w:tcW w:w="2016" w:type="dxa"/>
            <w:tcMar>
              <w:top w:w="80" w:type="dxa"/>
              <w:left w:w="120" w:type="dxa"/>
              <w:bottom w:w="80" w:type="dxa"/>
              <w:right w:w="120" w:type="dxa"/>
            </w:tcMar>
            <w:vAlign w:val="center"/>
          </w:tcPr>
          <w:p w14:paraId="0F749852" w14:textId="77777777" w:rsidR="003A56F0" w:rsidRDefault="00000000">
            <w:r>
              <w:rPr>
                <w:sz w:val="18"/>
              </w:rPr>
              <w:t>Engineering or IT leadership if SLA at risk</w:t>
            </w:r>
          </w:p>
        </w:tc>
        <w:tc>
          <w:tcPr>
            <w:tcW w:w="2016" w:type="dxa"/>
            <w:tcMar>
              <w:top w:w="80" w:type="dxa"/>
              <w:left w:w="120" w:type="dxa"/>
              <w:bottom w:w="80" w:type="dxa"/>
              <w:right w:w="120" w:type="dxa"/>
            </w:tcMar>
            <w:vAlign w:val="center"/>
          </w:tcPr>
          <w:p w14:paraId="07043B6A" w14:textId="77777777" w:rsidR="003A56F0" w:rsidRDefault="00000000">
            <w:r>
              <w:rPr>
                <w:sz w:val="18"/>
              </w:rPr>
              <w:t>Change record and completion proof</w:t>
            </w:r>
          </w:p>
        </w:tc>
      </w:tr>
      <w:tr w:rsidR="003A56F0" w14:paraId="4ABDEBAE" w14:textId="77777777">
        <w:trPr>
          <w:jc w:val="center"/>
        </w:trPr>
        <w:tc>
          <w:tcPr>
            <w:tcW w:w="2016" w:type="dxa"/>
            <w:tcMar>
              <w:top w:w="80" w:type="dxa"/>
              <w:left w:w="120" w:type="dxa"/>
              <w:bottom w:w="80" w:type="dxa"/>
              <w:right w:w="120" w:type="dxa"/>
            </w:tcMar>
            <w:vAlign w:val="center"/>
          </w:tcPr>
          <w:p w14:paraId="57BF7E4C" w14:textId="77777777" w:rsidR="003A56F0" w:rsidRDefault="00000000">
            <w:pPr>
              <w:jc w:val="center"/>
            </w:pPr>
            <w:r>
              <w:rPr>
                <w:sz w:val="18"/>
              </w:rPr>
              <w:t>5. Evidence Closure</w:t>
            </w:r>
          </w:p>
        </w:tc>
        <w:tc>
          <w:tcPr>
            <w:tcW w:w="2016" w:type="dxa"/>
            <w:tcMar>
              <w:top w:w="80" w:type="dxa"/>
              <w:left w:w="120" w:type="dxa"/>
              <w:bottom w:w="80" w:type="dxa"/>
              <w:right w:w="120" w:type="dxa"/>
            </w:tcMar>
            <w:vAlign w:val="center"/>
          </w:tcPr>
          <w:p w14:paraId="685D168E" w14:textId="77777777" w:rsidR="003A56F0" w:rsidRDefault="00000000">
            <w:r>
              <w:rPr>
                <w:sz w:val="18"/>
              </w:rPr>
              <w:t>Issue resolved or formally excepted</w:t>
            </w:r>
          </w:p>
        </w:tc>
        <w:tc>
          <w:tcPr>
            <w:tcW w:w="2016" w:type="dxa"/>
            <w:tcMar>
              <w:top w:w="80" w:type="dxa"/>
              <w:left w:w="120" w:type="dxa"/>
              <w:bottom w:w="80" w:type="dxa"/>
              <w:right w:w="120" w:type="dxa"/>
            </w:tcMar>
            <w:vAlign w:val="center"/>
          </w:tcPr>
          <w:p w14:paraId="56372378" w14:textId="77777777" w:rsidR="003A56F0" w:rsidRDefault="00000000">
            <w:r>
              <w:rPr>
                <w:sz w:val="18"/>
              </w:rPr>
              <w:t>Archive approvals, screenshots, logs, and sign-off</w:t>
            </w:r>
          </w:p>
        </w:tc>
        <w:tc>
          <w:tcPr>
            <w:tcW w:w="2016" w:type="dxa"/>
            <w:tcMar>
              <w:top w:w="80" w:type="dxa"/>
              <w:left w:w="120" w:type="dxa"/>
              <w:bottom w:w="80" w:type="dxa"/>
              <w:right w:w="120" w:type="dxa"/>
            </w:tcMar>
            <w:vAlign w:val="center"/>
          </w:tcPr>
          <w:p w14:paraId="1C58A34A" w14:textId="77777777" w:rsidR="003A56F0" w:rsidRDefault="00000000">
            <w:r>
              <w:rPr>
                <w:sz w:val="18"/>
              </w:rPr>
              <w:t>GRC if audit trail incomplete</w:t>
            </w:r>
          </w:p>
        </w:tc>
        <w:tc>
          <w:tcPr>
            <w:tcW w:w="2016" w:type="dxa"/>
            <w:tcMar>
              <w:top w:w="80" w:type="dxa"/>
              <w:left w:w="120" w:type="dxa"/>
              <w:bottom w:w="80" w:type="dxa"/>
              <w:right w:w="120" w:type="dxa"/>
            </w:tcMar>
            <w:vAlign w:val="center"/>
          </w:tcPr>
          <w:p w14:paraId="0F7D088E" w14:textId="77777777" w:rsidR="003A56F0" w:rsidRDefault="00000000">
            <w:r>
              <w:rPr>
                <w:sz w:val="18"/>
              </w:rPr>
              <w:t>Control evidence package in TrustBinder</w:t>
            </w:r>
          </w:p>
        </w:tc>
      </w:tr>
    </w:tbl>
    <w:p w14:paraId="73073F9C" w14:textId="77777777" w:rsidR="003A56F0" w:rsidRDefault="00000000">
      <w:pPr>
        <w:pStyle w:val="OrchestrAIH1"/>
      </w:pPr>
      <w:r>
        <w:t>4. Team Q&amp;A Reference</w:t>
      </w:r>
    </w:p>
    <w:p w14:paraId="782035DC" w14:textId="77777777" w:rsidR="003A56F0" w:rsidRDefault="00000000">
      <w:pPr>
        <w:pStyle w:val="OrchestrAIH2"/>
      </w:pPr>
      <w:r>
        <w:t>Q1. What does Security own directly versus what IT or Engineering own?</w:t>
      </w:r>
    </w:p>
    <w:p w14:paraId="06BF323C" w14:textId="77777777" w:rsidR="003A56F0" w:rsidRDefault="00000000">
      <w:r>
        <w:t>Security owns policy, control standards, privileged-access governance, monitoring, incident coordination, and control evidence. IT owns workforce enablement tasks such as device imaging and routine account support. Engineering owns service code changes, infrastructure remediation, and production rollback execution.</w:t>
      </w:r>
    </w:p>
    <w:p w14:paraId="6FF6DE44" w14:textId="77777777" w:rsidR="003A56F0" w:rsidRDefault="00000000">
      <w:pPr>
        <w:pStyle w:val="OrchestrAIH2"/>
      </w:pPr>
      <w:r>
        <w:t>Q2. How are production-access requests approved?</w:t>
      </w:r>
    </w:p>
    <w:p w14:paraId="6CB9D8ED" w14:textId="77777777" w:rsidR="003A56F0" w:rsidRDefault="00000000">
      <w:r>
        <w:t>Production access is role-based by default and must be tied to a documented support or engineering function. The requester's manager approves business need, the system owner confirms scope, and Security validates least-privilege alignment before NexusID provisions access.</w:t>
      </w:r>
    </w:p>
    <w:p w14:paraId="30C3F076" w14:textId="77777777" w:rsidR="003A56F0" w:rsidRDefault="00000000">
      <w:pPr>
        <w:pStyle w:val="OrchestrAIH2"/>
      </w:pPr>
      <w:r>
        <w:lastRenderedPageBreak/>
        <w:t>Q3. When is temporary elevation allowed?</w:t>
      </w:r>
    </w:p>
    <w:p w14:paraId="67ECBC27" w14:textId="77777777" w:rsidR="003A56F0" w:rsidRDefault="00000000">
      <w:r>
        <w:t>Temporary elevation is allowed for deployment support, incident investigation, or regulated maintenance windows. It must carry a defined duration, a ticket reference, and a post-use review. Standing admin access is not permitted for routine work.</w:t>
      </w:r>
    </w:p>
    <w:p w14:paraId="7FFB0379" w14:textId="77777777" w:rsidR="003A56F0" w:rsidRDefault="00000000">
      <w:pPr>
        <w:pStyle w:val="OrchestrAIH2"/>
      </w:pPr>
      <w:r>
        <w:t>Q4. What is the break-glass process?</w:t>
      </w:r>
    </w:p>
    <w:p w14:paraId="5BC13AF5" w14:textId="77777777" w:rsidR="003A56F0" w:rsidRDefault="00000000">
      <w:r>
        <w:t>Break-glass access is reserved for high-severity production disruption or safety-impacting warehouse events. VaultGate releases credentials only after Security Duty Lead approval, and the session must be logged, justified, and reviewed within one business day.</w:t>
      </w:r>
    </w:p>
    <w:p w14:paraId="1EFFA88A" w14:textId="77777777" w:rsidR="003A56F0" w:rsidRDefault="00000000">
      <w:pPr>
        <w:pStyle w:val="OrchestrAIH2"/>
      </w:pPr>
      <w:r>
        <w:t>Q5. How are privileged accounts reviewed?</w:t>
      </w:r>
    </w:p>
    <w:p w14:paraId="50F18050" w14:textId="77777777" w:rsidR="003A56F0" w:rsidRDefault="00000000">
      <w:r>
        <w:t>Security performs quarterly privileged-access attestations with each system owner. Inactive, duplicate, or over-scoped entitlements are removed, and unresolved review items are escalated to the owning director.</w:t>
      </w:r>
    </w:p>
    <w:p w14:paraId="5BD45028" w14:textId="77777777" w:rsidR="003A56F0" w:rsidRDefault="00000000">
      <w:pPr>
        <w:pStyle w:val="OrchestrAIH2"/>
      </w:pPr>
      <w:r>
        <w:t>Q6. Which alerts must be treated as high priority?</w:t>
      </w:r>
    </w:p>
    <w:p w14:paraId="7B13F93A" w14:textId="77777777" w:rsidR="003A56F0" w:rsidRDefault="00000000">
      <w:r>
        <w:t>Credential theft indicators, impossible-travel logins for privileged users, malware on high-value endpoints, production secret exposure, suspicious vendor remote sessions, and active exploitation signals on internet-facing assets are all treated as high priority.</w:t>
      </w:r>
    </w:p>
    <w:p w14:paraId="484D1916" w14:textId="77777777" w:rsidR="003A56F0" w:rsidRDefault="00000000">
      <w:pPr>
        <w:pStyle w:val="OrchestrAIH2"/>
      </w:pPr>
      <w:r>
        <w:t>Q7. Who leads a security incident?</w:t>
      </w:r>
    </w:p>
    <w:p w14:paraId="50C833F0" w14:textId="77777777" w:rsidR="003A56F0" w:rsidRDefault="00000000">
      <w:r>
        <w:t>Security Operations leads the incident bridge for confirmed or suspected security events. Engineering and IT contribute technical remediation, while Product, Legal, and Customer Success are engaged depending on customer impact and contractual obligations.</w:t>
      </w:r>
    </w:p>
    <w:p w14:paraId="2B7D5AF3" w14:textId="77777777" w:rsidR="003A56F0" w:rsidRDefault="00000000">
      <w:pPr>
        <w:pStyle w:val="OrchestrAIH2"/>
      </w:pPr>
      <w:r>
        <w:t>Q8. What is the difference between a security event and a security incident?</w:t>
      </w:r>
    </w:p>
    <w:p w14:paraId="0316F12D" w14:textId="77777777" w:rsidR="003A56F0" w:rsidRDefault="00000000">
      <w:r>
        <w:t>A security event is an observable occurrence such as an alert, failed control, or anomaly. A security incident is a validated event that threatens confidentiality, integrity, availability, or compliance obligations and requires coordinated response.</w:t>
      </w:r>
    </w:p>
    <w:p w14:paraId="222EF71C" w14:textId="77777777" w:rsidR="003A56F0" w:rsidRDefault="00000000">
      <w:pPr>
        <w:pStyle w:val="OrchestrAIH2"/>
      </w:pPr>
      <w:r>
        <w:t>Q9. How are endpoint threats handled?</w:t>
      </w:r>
    </w:p>
    <w:p w14:paraId="7ECAA3A5" w14:textId="77777777" w:rsidR="003A56F0" w:rsidRDefault="00000000">
      <w:r>
        <w:t>Endpoints with malware or active exploitation indicators are isolated from the network, assigned an incident record, and evaluated for credential exposure and lateral movement. IT supports reimage or replacement after Security confirms containment.</w:t>
      </w:r>
    </w:p>
    <w:p w14:paraId="3EF4E3CF" w14:textId="77777777" w:rsidR="003A56F0" w:rsidRDefault="00000000">
      <w:pPr>
        <w:pStyle w:val="OrchestrAIH2"/>
      </w:pPr>
      <w:r>
        <w:t>Q10. What are the vulnerability remediation SLAs?</w:t>
      </w:r>
    </w:p>
    <w:p w14:paraId="53D44135" w14:textId="77777777" w:rsidR="003A56F0" w:rsidRDefault="00000000">
      <w:r>
        <w:t>Critical internet-facing findings target remediation within 72 hours, critical internal findings within 7 days, high findings within 14 days, and medium findings within 30 days unless a documented exception is approved.</w:t>
      </w:r>
    </w:p>
    <w:p w14:paraId="10D67343" w14:textId="77777777" w:rsidR="003A56F0" w:rsidRDefault="00000000">
      <w:pPr>
        <w:pStyle w:val="OrchestrAIH2"/>
      </w:pPr>
      <w:r>
        <w:t>Q11. When can a vulnerability exception be granted?</w:t>
      </w:r>
    </w:p>
    <w:p w14:paraId="0E107F20" w14:textId="77777777" w:rsidR="003A56F0" w:rsidRDefault="00000000">
      <w:r>
        <w:t>Exceptions may be granted when a fix is not technically feasible within the SLA and compensating controls are in place. The exception must specify residual risk, owner, end date, and a review cadence.</w:t>
      </w:r>
    </w:p>
    <w:p w14:paraId="29E9A16E" w14:textId="77777777" w:rsidR="003A56F0" w:rsidRDefault="00000000">
      <w:pPr>
        <w:pStyle w:val="OrchestrAIH2"/>
      </w:pPr>
      <w:r>
        <w:t>Q12. How does Security work with edge-device engineering?</w:t>
      </w:r>
    </w:p>
    <w:p w14:paraId="02E2B249" w14:textId="77777777" w:rsidR="003A56F0" w:rsidRDefault="00000000">
      <w:r>
        <w:t>Security defines hardening baselines, secret-handling rules, secure update requirements, and telemetry expectations for edge gateways deployed in warehouses. Engineering remains accountable for patching the software image and validating regression impact.</w:t>
      </w:r>
    </w:p>
    <w:p w14:paraId="4DDE4C45" w14:textId="77777777" w:rsidR="003A56F0" w:rsidRDefault="00000000">
      <w:pPr>
        <w:pStyle w:val="OrchestrAIH2"/>
      </w:pPr>
      <w:r>
        <w:lastRenderedPageBreak/>
        <w:t>Q13. What is required for a third-party vendor review?</w:t>
      </w:r>
    </w:p>
    <w:p w14:paraId="6420E449" w14:textId="77777777" w:rsidR="003A56F0" w:rsidRDefault="00000000">
      <w:r>
        <w:t>Vendors with network access, data handling responsibilities, or operational influence must complete a risk questionnaire and provide security evidence such as SOC reports, policy summaries, penetration test statements, or encryption attestations.</w:t>
      </w:r>
    </w:p>
    <w:p w14:paraId="5CE2A09B" w14:textId="77777777" w:rsidR="003A56F0" w:rsidRDefault="00000000">
      <w:pPr>
        <w:pStyle w:val="OrchestrAIH2"/>
      </w:pPr>
      <w:r>
        <w:t>Q14. How is customer data classified?</w:t>
      </w:r>
    </w:p>
    <w:p w14:paraId="7D383D36" w14:textId="77777777" w:rsidR="003A56F0" w:rsidRDefault="00000000">
      <w:r>
        <w:t>Operational customer data is classified according to business sensitivity, contractual obligations, and retention requirements. Security and Legal define the handling standard, while system owners apply tagging, access restrictions, and retention controls.</w:t>
      </w:r>
    </w:p>
    <w:p w14:paraId="719137D3" w14:textId="77777777" w:rsidR="003A56F0" w:rsidRDefault="00000000">
      <w:pPr>
        <w:pStyle w:val="OrchestrAIH2"/>
      </w:pPr>
      <w:r>
        <w:t>Q15. What evidence should be stored for audits?</w:t>
      </w:r>
    </w:p>
    <w:p w14:paraId="6B17998D" w14:textId="77777777" w:rsidR="003A56F0" w:rsidRDefault="00000000">
      <w:r>
        <w:t>Control owners must retain approval records, screenshots, system extracts, policy references, review notes, timestamps, and reviewer names. Evidence should be reproducible and stored in TrustBinder under the correct control mapping.</w:t>
      </w:r>
    </w:p>
    <w:p w14:paraId="036AB8D4" w14:textId="77777777" w:rsidR="003A56F0" w:rsidRDefault="00000000">
      <w:pPr>
        <w:pStyle w:val="OrchestrAIH2"/>
      </w:pPr>
      <w:r>
        <w:t>Q16. How are phishing reports triaged?</w:t>
      </w:r>
    </w:p>
    <w:p w14:paraId="30414135" w14:textId="77777777" w:rsidR="003A56F0" w:rsidRDefault="00000000">
      <w:r>
        <w:t>User reports are reviewed for sender reputation, header anomalies, URL destination, attachment behavior, and blast radius. Confirmed phishing campaigns trigger mailbox search, block actions, user outreach, and metrics tracking.</w:t>
      </w:r>
    </w:p>
    <w:p w14:paraId="526F5DD4" w14:textId="77777777" w:rsidR="003A56F0" w:rsidRDefault="00000000">
      <w:pPr>
        <w:pStyle w:val="OrchestrAIH2"/>
      </w:pPr>
      <w:r>
        <w:t>Q17. What does Security expect from change reviews?</w:t>
      </w:r>
    </w:p>
    <w:p w14:paraId="156F641C" w14:textId="77777777" w:rsidR="003A56F0" w:rsidRDefault="00000000">
      <w:r>
        <w:t>Changes that affect identity, network exposure, encryption, logging, secret handling, or vendor connectivity should include a security review note before production release. High-risk changes may require explicit approval from Security Engineering.</w:t>
      </w:r>
    </w:p>
    <w:p w14:paraId="6D6054B2" w14:textId="77777777" w:rsidR="003A56F0" w:rsidRDefault="00000000">
      <w:pPr>
        <w:pStyle w:val="OrchestrAIH2"/>
      </w:pPr>
      <w:r>
        <w:t>Q18. Who approves policy updates?</w:t>
      </w:r>
    </w:p>
    <w:p w14:paraId="239E184B" w14:textId="77777777" w:rsidR="003A56F0" w:rsidRDefault="00000000">
      <w:r>
        <w:t>The policy owner drafts the update, Security leadership approves control intent, and affected partner teams review operational impact. Major updates with contractual or regulatory implications also route through Legal and Compliance stakeholders.</w:t>
      </w:r>
    </w:p>
    <w:p w14:paraId="0316B0D1" w14:textId="77777777" w:rsidR="003A56F0" w:rsidRDefault="00000000">
      <w:pPr>
        <w:pStyle w:val="OrchestrAIH2"/>
      </w:pPr>
      <w:r>
        <w:t>Q19. How are compliance gaps escalated?</w:t>
      </w:r>
    </w:p>
    <w:p w14:paraId="188A04EA" w14:textId="77777777" w:rsidR="003A56F0" w:rsidRDefault="00000000">
      <w:r>
        <w:t>Material control failures, expired exceptions, missing evidence, and overdue remediation items are tracked in the GRC risk register. If a gap threatens an audit commitment or customer obligation, it is escalated to the responsible VP.</w:t>
      </w:r>
    </w:p>
    <w:p w14:paraId="01EB4753" w14:textId="77777777" w:rsidR="003A56F0" w:rsidRDefault="00000000">
      <w:pPr>
        <w:pStyle w:val="OrchestrAIH2"/>
      </w:pPr>
      <w:r>
        <w:t>Q20. What metrics does the team report monthly?</w:t>
      </w:r>
    </w:p>
    <w:p w14:paraId="3A1BFC1E" w14:textId="77777777" w:rsidR="003A56F0" w:rsidRDefault="00000000">
      <w:r>
        <w:t>Security reports privileged-review completion, critical-vulnerability aging, phishing-report rate, incident mean time to contain, endpoint coverage, exception aging, and audit evidence completion for in-scope controls.</w:t>
      </w:r>
    </w:p>
    <w:p w14:paraId="5EA3D0E2" w14:textId="77777777" w:rsidR="003A56F0" w:rsidRDefault="00000000">
      <w:pPr>
        <w:pStyle w:val="OrchestrAIH1"/>
      </w:pPr>
      <w:r>
        <w:lastRenderedPageBreak/>
        <w:t>5. KPI and Escalation Reference</w:t>
      </w:r>
    </w:p>
    <w:tbl>
      <w:tblPr>
        <w:tblW w:w="0" w:type="auto"/>
        <w:jc w:val="center"/>
        <w:tblLook w:val="04A0" w:firstRow="1" w:lastRow="0" w:firstColumn="1" w:lastColumn="0" w:noHBand="0" w:noVBand="1"/>
      </w:tblPr>
      <w:tblGrid>
        <w:gridCol w:w="5040"/>
        <w:gridCol w:w="5040"/>
      </w:tblGrid>
      <w:tr w:rsidR="003A56F0" w14:paraId="51DC79D5" w14:textId="77777777">
        <w:trPr>
          <w:jc w:val="center"/>
        </w:trPr>
        <w:tc>
          <w:tcPr>
            <w:tcW w:w="5040" w:type="dxa"/>
            <w:shd w:val="clear" w:color="auto" w:fill="F4F7FA"/>
            <w:tcMar>
              <w:top w:w="120" w:type="dxa"/>
              <w:left w:w="150" w:type="dxa"/>
              <w:bottom w:w="120" w:type="dxa"/>
              <w:right w:w="150" w:type="dxa"/>
            </w:tcMar>
          </w:tcPr>
          <w:p w14:paraId="4D91519B" w14:textId="77777777" w:rsidR="003A56F0" w:rsidRDefault="00000000">
            <w:pPr>
              <w:pStyle w:val="OrchestrAIH2"/>
            </w:pPr>
            <w:r>
              <w:t>Monthly KPIs</w:t>
            </w:r>
          </w:p>
          <w:p w14:paraId="5AF4898A" w14:textId="77777777" w:rsidR="003A56F0" w:rsidRDefault="00000000">
            <w:pPr>
              <w:pStyle w:val="ListBullet"/>
            </w:pPr>
            <w:r>
              <w:t>Critical vulnerability SLA attainment ≥ 95%</w:t>
            </w:r>
          </w:p>
          <w:p w14:paraId="724D51FD" w14:textId="77777777" w:rsidR="003A56F0" w:rsidRDefault="00000000">
            <w:pPr>
              <w:pStyle w:val="ListBullet"/>
            </w:pPr>
            <w:r>
              <w:t>Privileged-access review completion = 100%</w:t>
            </w:r>
          </w:p>
          <w:p w14:paraId="1B4F5577" w14:textId="77777777" w:rsidR="003A56F0" w:rsidRDefault="00000000">
            <w:pPr>
              <w:pStyle w:val="ListBullet"/>
            </w:pPr>
            <w:r>
              <w:t>Endpoint protection coverage ≥ 98%</w:t>
            </w:r>
          </w:p>
          <w:p w14:paraId="4D8E8820" w14:textId="77777777" w:rsidR="003A56F0" w:rsidRDefault="00000000">
            <w:pPr>
              <w:pStyle w:val="ListBullet"/>
            </w:pPr>
            <w:r>
              <w:t>Mean time to contain Sev-1 security incidents &lt; 60 minutes</w:t>
            </w:r>
          </w:p>
        </w:tc>
        <w:tc>
          <w:tcPr>
            <w:tcW w:w="5040" w:type="dxa"/>
            <w:shd w:val="clear" w:color="auto" w:fill="F4F7FA"/>
            <w:tcMar>
              <w:top w:w="120" w:type="dxa"/>
              <w:left w:w="150" w:type="dxa"/>
              <w:bottom w:w="120" w:type="dxa"/>
              <w:right w:w="150" w:type="dxa"/>
            </w:tcMar>
          </w:tcPr>
          <w:p w14:paraId="700921EB" w14:textId="77777777" w:rsidR="003A56F0" w:rsidRDefault="00000000">
            <w:pPr>
              <w:pStyle w:val="OrchestrAIH2"/>
            </w:pPr>
            <w:r>
              <w:t>Escalate Immediately When</w:t>
            </w:r>
          </w:p>
          <w:p w14:paraId="29671C99" w14:textId="77777777" w:rsidR="003A56F0" w:rsidRDefault="00000000">
            <w:pPr>
              <w:pStyle w:val="ListBullet"/>
            </w:pPr>
            <w:r>
              <w:t>A privileged account is suspected to be compromised</w:t>
            </w:r>
          </w:p>
          <w:p w14:paraId="73C0E688" w14:textId="77777777" w:rsidR="003A56F0" w:rsidRDefault="00000000">
            <w:pPr>
              <w:pStyle w:val="ListBullet"/>
            </w:pPr>
            <w:r>
              <w:t>A production secret or certificate is exposed</w:t>
            </w:r>
          </w:p>
          <w:p w14:paraId="4A58DE26" w14:textId="77777777" w:rsidR="003A56F0" w:rsidRDefault="00000000">
            <w:pPr>
              <w:pStyle w:val="ListBullet"/>
            </w:pPr>
            <w:r>
              <w:t>A third-party session affects customer operations</w:t>
            </w:r>
          </w:p>
          <w:p w14:paraId="4E4F437A" w14:textId="77777777" w:rsidR="003A56F0" w:rsidRDefault="00000000">
            <w:pPr>
              <w:pStyle w:val="ListBullet"/>
            </w:pPr>
            <w:r>
              <w:t>Required audit evidence cannot be produced for an active commitment</w:t>
            </w:r>
          </w:p>
        </w:tc>
      </w:tr>
    </w:tbl>
    <w:p w14:paraId="123ACA68" w14:textId="77777777" w:rsidR="003A56F0" w:rsidRDefault="00000000">
      <w:pPr>
        <w:pStyle w:val="OrchestrAIH1"/>
      </w:pPr>
      <w:r>
        <w:t>6. Glossary and Related References</w:t>
      </w:r>
    </w:p>
    <w:tbl>
      <w:tblPr>
        <w:tblStyle w:val="TableGrid"/>
        <w:tblW w:w="0" w:type="auto"/>
        <w:jc w:val="center"/>
        <w:tblLook w:val="04A0" w:firstRow="1" w:lastRow="0" w:firstColumn="1" w:lastColumn="0" w:noHBand="0" w:noVBand="1"/>
      </w:tblPr>
      <w:tblGrid>
        <w:gridCol w:w="5040"/>
        <w:gridCol w:w="5040"/>
      </w:tblGrid>
      <w:tr w:rsidR="003A56F0" w14:paraId="775A4A90" w14:textId="77777777">
        <w:trPr>
          <w:tblHeader/>
          <w:jc w:val="center"/>
        </w:trPr>
        <w:tc>
          <w:tcPr>
            <w:tcW w:w="5040" w:type="dxa"/>
            <w:shd w:val="clear" w:color="auto" w:fill="DCE6F2"/>
            <w:tcMar>
              <w:top w:w="80" w:type="dxa"/>
              <w:left w:w="120" w:type="dxa"/>
              <w:bottom w:w="80" w:type="dxa"/>
              <w:right w:w="120" w:type="dxa"/>
            </w:tcMar>
          </w:tcPr>
          <w:p w14:paraId="7473AC14" w14:textId="77777777" w:rsidR="003A56F0" w:rsidRDefault="00000000">
            <w:pPr>
              <w:jc w:val="center"/>
            </w:pPr>
            <w:r>
              <w:rPr>
                <w:b/>
                <w:sz w:val="18"/>
              </w:rPr>
              <w:t>Term</w:t>
            </w:r>
          </w:p>
        </w:tc>
        <w:tc>
          <w:tcPr>
            <w:tcW w:w="5040" w:type="dxa"/>
            <w:shd w:val="clear" w:color="auto" w:fill="DCE6F2"/>
            <w:tcMar>
              <w:top w:w="80" w:type="dxa"/>
              <w:left w:w="120" w:type="dxa"/>
              <w:bottom w:w="80" w:type="dxa"/>
              <w:right w:w="120" w:type="dxa"/>
            </w:tcMar>
          </w:tcPr>
          <w:p w14:paraId="149D733B" w14:textId="77777777" w:rsidR="003A56F0" w:rsidRDefault="00000000">
            <w:pPr>
              <w:jc w:val="center"/>
            </w:pPr>
            <w:r>
              <w:rPr>
                <w:b/>
                <w:sz w:val="18"/>
              </w:rPr>
              <w:t>Working Definition</w:t>
            </w:r>
          </w:p>
        </w:tc>
      </w:tr>
      <w:tr w:rsidR="003A56F0" w14:paraId="66C32947" w14:textId="77777777">
        <w:trPr>
          <w:jc w:val="center"/>
        </w:trPr>
        <w:tc>
          <w:tcPr>
            <w:tcW w:w="5040" w:type="dxa"/>
            <w:tcMar>
              <w:top w:w="80" w:type="dxa"/>
              <w:left w:w="120" w:type="dxa"/>
              <w:bottom w:w="80" w:type="dxa"/>
              <w:right w:w="120" w:type="dxa"/>
            </w:tcMar>
            <w:vAlign w:val="center"/>
          </w:tcPr>
          <w:p w14:paraId="5DEB75FD" w14:textId="77777777" w:rsidR="003A56F0" w:rsidRDefault="00000000">
            <w:pPr>
              <w:jc w:val="center"/>
            </w:pPr>
            <w:r>
              <w:rPr>
                <w:sz w:val="18"/>
              </w:rPr>
              <w:t>Least privilege</w:t>
            </w:r>
          </w:p>
        </w:tc>
        <w:tc>
          <w:tcPr>
            <w:tcW w:w="5040" w:type="dxa"/>
            <w:tcMar>
              <w:top w:w="80" w:type="dxa"/>
              <w:left w:w="120" w:type="dxa"/>
              <w:bottom w:w="80" w:type="dxa"/>
              <w:right w:w="120" w:type="dxa"/>
            </w:tcMar>
            <w:vAlign w:val="center"/>
          </w:tcPr>
          <w:p w14:paraId="2D1A5888" w14:textId="77777777" w:rsidR="003A56F0" w:rsidRDefault="00000000">
            <w:r>
              <w:rPr>
                <w:sz w:val="18"/>
              </w:rPr>
              <w:t>Access model in which users receive only the permissions required for their active job duties.</w:t>
            </w:r>
          </w:p>
        </w:tc>
      </w:tr>
      <w:tr w:rsidR="003A56F0" w14:paraId="524DC8DD" w14:textId="77777777">
        <w:trPr>
          <w:jc w:val="center"/>
        </w:trPr>
        <w:tc>
          <w:tcPr>
            <w:tcW w:w="5040" w:type="dxa"/>
            <w:tcMar>
              <w:top w:w="80" w:type="dxa"/>
              <w:left w:w="120" w:type="dxa"/>
              <w:bottom w:w="80" w:type="dxa"/>
              <w:right w:w="120" w:type="dxa"/>
            </w:tcMar>
            <w:vAlign w:val="center"/>
          </w:tcPr>
          <w:p w14:paraId="68137AC2" w14:textId="77777777" w:rsidR="003A56F0" w:rsidRDefault="00000000">
            <w:pPr>
              <w:jc w:val="center"/>
            </w:pPr>
            <w:r>
              <w:rPr>
                <w:sz w:val="18"/>
              </w:rPr>
              <w:t>Break-glass</w:t>
            </w:r>
          </w:p>
        </w:tc>
        <w:tc>
          <w:tcPr>
            <w:tcW w:w="5040" w:type="dxa"/>
            <w:tcMar>
              <w:top w:w="80" w:type="dxa"/>
              <w:left w:w="120" w:type="dxa"/>
              <w:bottom w:w="80" w:type="dxa"/>
              <w:right w:w="120" w:type="dxa"/>
            </w:tcMar>
            <w:vAlign w:val="center"/>
          </w:tcPr>
          <w:p w14:paraId="4E5948E1" w14:textId="77777777" w:rsidR="003A56F0" w:rsidRDefault="00000000">
            <w:r>
              <w:rPr>
                <w:sz w:val="18"/>
              </w:rPr>
              <w:t>Emergency elevation path used during high-severity incidents or production recovery when standard approval timing is impractical.</w:t>
            </w:r>
          </w:p>
        </w:tc>
      </w:tr>
      <w:tr w:rsidR="003A56F0" w14:paraId="307964DB" w14:textId="77777777">
        <w:trPr>
          <w:jc w:val="center"/>
        </w:trPr>
        <w:tc>
          <w:tcPr>
            <w:tcW w:w="5040" w:type="dxa"/>
            <w:tcMar>
              <w:top w:w="80" w:type="dxa"/>
              <w:left w:w="120" w:type="dxa"/>
              <w:bottom w:w="80" w:type="dxa"/>
              <w:right w:w="120" w:type="dxa"/>
            </w:tcMar>
            <w:vAlign w:val="center"/>
          </w:tcPr>
          <w:p w14:paraId="0D1F9A0F" w14:textId="77777777" w:rsidR="003A56F0" w:rsidRDefault="00000000">
            <w:pPr>
              <w:jc w:val="center"/>
            </w:pPr>
            <w:r>
              <w:rPr>
                <w:sz w:val="18"/>
              </w:rPr>
              <w:t>Compensating control</w:t>
            </w:r>
          </w:p>
        </w:tc>
        <w:tc>
          <w:tcPr>
            <w:tcW w:w="5040" w:type="dxa"/>
            <w:tcMar>
              <w:top w:w="80" w:type="dxa"/>
              <w:left w:w="120" w:type="dxa"/>
              <w:bottom w:w="80" w:type="dxa"/>
              <w:right w:w="120" w:type="dxa"/>
            </w:tcMar>
            <w:vAlign w:val="center"/>
          </w:tcPr>
          <w:p w14:paraId="1065E7C7" w14:textId="77777777" w:rsidR="003A56F0" w:rsidRDefault="00000000">
            <w:r>
              <w:rPr>
                <w:sz w:val="18"/>
              </w:rPr>
              <w:t>Alternative safeguard used temporarily when the preferred remediation cannot be completed on time.</w:t>
            </w:r>
          </w:p>
        </w:tc>
      </w:tr>
      <w:tr w:rsidR="003A56F0" w14:paraId="4A9F8735" w14:textId="77777777">
        <w:trPr>
          <w:jc w:val="center"/>
        </w:trPr>
        <w:tc>
          <w:tcPr>
            <w:tcW w:w="5040" w:type="dxa"/>
            <w:tcMar>
              <w:top w:w="80" w:type="dxa"/>
              <w:left w:w="120" w:type="dxa"/>
              <w:bottom w:w="80" w:type="dxa"/>
              <w:right w:w="120" w:type="dxa"/>
            </w:tcMar>
            <w:vAlign w:val="center"/>
          </w:tcPr>
          <w:p w14:paraId="3C1EFBCD" w14:textId="77777777" w:rsidR="003A56F0" w:rsidRDefault="00000000">
            <w:pPr>
              <w:jc w:val="center"/>
            </w:pPr>
            <w:r>
              <w:rPr>
                <w:sz w:val="18"/>
              </w:rPr>
              <w:t>Evidence package</w:t>
            </w:r>
          </w:p>
        </w:tc>
        <w:tc>
          <w:tcPr>
            <w:tcW w:w="5040" w:type="dxa"/>
            <w:tcMar>
              <w:top w:w="80" w:type="dxa"/>
              <w:left w:w="120" w:type="dxa"/>
              <w:bottom w:w="80" w:type="dxa"/>
              <w:right w:w="120" w:type="dxa"/>
            </w:tcMar>
            <w:vAlign w:val="center"/>
          </w:tcPr>
          <w:p w14:paraId="0BAEC3F0" w14:textId="77777777" w:rsidR="003A56F0" w:rsidRDefault="00000000">
            <w:r>
              <w:rPr>
                <w:sz w:val="18"/>
              </w:rPr>
              <w:t>Collection of records that demonstrates a control was designed, executed, reviewed, and retained correctly.</w:t>
            </w:r>
          </w:p>
        </w:tc>
      </w:tr>
      <w:tr w:rsidR="003A56F0" w14:paraId="33C4C2ED" w14:textId="77777777">
        <w:trPr>
          <w:jc w:val="center"/>
        </w:trPr>
        <w:tc>
          <w:tcPr>
            <w:tcW w:w="5040" w:type="dxa"/>
            <w:tcMar>
              <w:top w:w="80" w:type="dxa"/>
              <w:left w:w="120" w:type="dxa"/>
              <w:bottom w:w="80" w:type="dxa"/>
              <w:right w:w="120" w:type="dxa"/>
            </w:tcMar>
            <w:vAlign w:val="center"/>
          </w:tcPr>
          <w:p w14:paraId="6512DEDC" w14:textId="77777777" w:rsidR="003A56F0" w:rsidRDefault="00000000">
            <w:pPr>
              <w:jc w:val="center"/>
            </w:pPr>
            <w:r>
              <w:rPr>
                <w:sz w:val="18"/>
              </w:rPr>
              <w:t>Third-party session</w:t>
            </w:r>
          </w:p>
        </w:tc>
        <w:tc>
          <w:tcPr>
            <w:tcW w:w="5040" w:type="dxa"/>
            <w:tcMar>
              <w:top w:w="80" w:type="dxa"/>
              <w:left w:w="120" w:type="dxa"/>
              <w:bottom w:w="80" w:type="dxa"/>
              <w:right w:w="120" w:type="dxa"/>
            </w:tcMar>
            <w:vAlign w:val="center"/>
          </w:tcPr>
          <w:p w14:paraId="1FFC7943" w14:textId="77777777" w:rsidR="003A56F0" w:rsidRDefault="00000000">
            <w:r>
              <w:rPr>
                <w:sz w:val="18"/>
              </w:rPr>
              <w:t>Remote or network-connected activity performed by an external vendor, contractor, or partner in an OrchestrAI-managed environment.</w:t>
            </w:r>
          </w:p>
        </w:tc>
      </w:tr>
    </w:tbl>
    <w:p w14:paraId="1E76D1CC" w14:textId="77777777" w:rsidR="003A56F0" w:rsidRDefault="00000000">
      <w:r>
        <w:rPr>
          <w:b/>
        </w:rPr>
        <w:t xml:space="preserve">Related references: </w:t>
      </w:r>
      <w:r>
        <w:t>IT Workplace and Service Desk Handbook; Engineering Platform and Edge Systems Handbook; Security Incident Classification Standard; Privileged Access Review Calendar; Vendor Assurance Questionnaire.</w:t>
      </w:r>
    </w:p>
    <w:sectPr w:rsidR="003A56F0" w:rsidSect="00034616">
      <w:headerReference w:type="default" r:id="rId8"/>
      <w:footerReference w:type="default" r:id="rId9"/>
      <w:pgSz w:w="12240" w:h="15840"/>
      <w:pgMar w:top="1008" w:right="1080" w:bottom="936"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9693A" w14:textId="77777777" w:rsidR="00923D65" w:rsidRDefault="00923D65">
      <w:pPr>
        <w:spacing w:after="0" w:line="240" w:lineRule="auto"/>
      </w:pPr>
      <w:r>
        <w:separator/>
      </w:r>
    </w:p>
  </w:endnote>
  <w:endnote w:type="continuationSeparator" w:id="0">
    <w:p w14:paraId="7E8BC39A" w14:textId="77777777" w:rsidR="00923D65" w:rsidRDefault="00923D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A1"/>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25981" w14:textId="77777777" w:rsidR="003A56F0" w:rsidRDefault="00000000">
    <w:pPr>
      <w:pStyle w:val="Footer"/>
      <w:jc w:val="center"/>
    </w:pPr>
    <w:proofErr w:type="spellStart"/>
    <w:r>
      <w:rPr>
        <w:color w:val="5F666E"/>
        <w:sz w:val="16"/>
      </w:rPr>
      <w:t>OrchestrAI</w:t>
    </w:r>
    <w:proofErr w:type="spellEnd"/>
    <w:r>
      <w:rPr>
        <w:color w:val="5F666E"/>
        <w:sz w:val="16"/>
      </w:rPr>
      <w:t xml:space="preserve"> Security Handbook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9C7F1" w14:textId="77777777" w:rsidR="00923D65" w:rsidRDefault="00923D65">
      <w:pPr>
        <w:spacing w:after="0" w:line="240" w:lineRule="auto"/>
      </w:pPr>
      <w:r>
        <w:separator/>
      </w:r>
    </w:p>
  </w:footnote>
  <w:footnote w:type="continuationSeparator" w:id="0">
    <w:p w14:paraId="12980851" w14:textId="77777777" w:rsidR="00923D65" w:rsidRDefault="00923D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E6CAE" w14:textId="77777777" w:rsidR="003A56F0" w:rsidRDefault="00000000">
    <w:pPr>
      <w:pStyle w:val="Header"/>
      <w:jc w:val="right"/>
    </w:pPr>
    <w:proofErr w:type="spellStart"/>
    <w:r>
      <w:rPr>
        <w:color w:val="5F666E"/>
        <w:sz w:val="16"/>
      </w:rPr>
      <w:t>OrchestrAI</w:t>
    </w:r>
    <w:proofErr w:type="spellEnd"/>
    <w:r>
      <w:rPr>
        <w:color w:val="5F666E"/>
        <w:sz w:val="16"/>
      </w:rPr>
      <w:t xml:space="preserve"> Internal | Security Knowledge Base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9383643">
    <w:abstractNumId w:val="8"/>
  </w:num>
  <w:num w:numId="2" w16cid:durableId="574051889">
    <w:abstractNumId w:val="6"/>
  </w:num>
  <w:num w:numId="3" w16cid:durableId="1728141308">
    <w:abstractNumId w:val="5"/>
  </w:num>
  <w:num w:numId="4" w16cid:durableId="1989703652">
    <w:abstractNumId w:val="4"/>
  </w:num>
  <w:num w:numId="5" w16cid:durableId="733163007">
    <w:abstractNumId w:val="7"/>
  </w:num>
  <w:num w:numId="6" w16cid:durableId="717358910">
    <w:abstractNumId w:val="3"/>
  </w:num>
  <w:num w:numId="7" w16cid:durableId="290404167">
    <w:abstractNumId w:val="2"/>
  </w:num>
  <w:num w:numId="8" w16cid:durableId="444203910">
    <w:abstractNumId w:val="1"/>
  </w:num>
  <w:num w:numId="9" w16cid:durableId="970477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55EB"/>
    <w:rsid w:val="0029639D"/>
    <w:rsid w:val="00326F90"/>
    <w:rsid w:val="003A56F0"/>
    <w:rsid w:val="00923D65"/>
    <w:rsid w:val="00AA1D8D"/>
    <w:rsid w:val="00B47730"/>
    <w:rsid w:val="00C13F3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A048EB"/>
  <w14:defaultImageDpi w14:val="300"/>
  <w15:docId w15:val="{E15E092F-1572-B641-9A4F-0E08D097E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rchestrAITitle">
    <w:name w:val="OrchestrAITitle"/>
    <w:pPr>
      <w:spacing w:after="60"/>
    </w:pPr>
    <w:rPr>
      <w:rFonts w:ascii="Aptos" w:hAnsi="Aptos"/>
      <w:b/>
      <w:color w:val="153E75"/>
      <w:sz w:val="40"/>
    </w:rPr>
  </w:style>
  <w:style w:type="paragraph" w:customStyle="1" w:styleId="OrchestrAISubtitle">
    <w:name w:val="OrchestrAISubtitle"/>
    <w:pPr>
      <w:spacing w:after="80"/>
    </w:pPr>
    <w:rPr>
      <w:rFonts w:ascii="Aptos" w:hAnsi="Aptos"/>
      <w:color w:val="5B6570"/>
    </w:rPr>
  </w:style>
  <w:style w:type="paragraph" w:customStyle="1" w:styleId="OrchestrAIH1">
    <w:name w:val="OrchestrAIH1"/>
    <w:pPr>
      <w:keepNext/>
      <w:spacing w:before="200" w:after="80"/>
    </w:pPr>
    <w:rPr>
      <w:rFonts w:ascii="Aptos" w:hAnsi="Aptos"/>
      <w:b/>
      <w:color w:val="153E75"/>
      <w:sz w:val="26"/>
    </w:rPr>
  </w:style>
  <w:style w:type="paragraph" w:customStyle="1" w:styleId="OrchestrAIH2">
    <w:name w:val="OrchestrAIH2"/>
    <w:pPr>
      <w:keepNext/>
      <w:spacing w:before="160" w:after="40"/>
    </w:pPr>
    <w:rPr>
      <w:rFonts w:ascii="Aptos" w:hAnsi="Aptos"/>
      <w:b/>
      <w:color w:val="2E4A62"/>
    </w:rPr>
  </w:style>
  <w:style w:type="paragraph" w:customStyle="1" w:styleId="OrchestrAIBox">
    <w:name w:val="OrchestrAIBox"/>
    <w:pPr>
      <w:spacing w:after="80"/>
    </w:pPr>
    <w:rPr>
      <w:rFonts w:ascii="Aptos" w:hAnsi="Aptos"/>
      <w:color w:val="2D3136"/>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1424</Words>
  <Characters>9442</Characters>
  <Application>Microsoft Office Word</Application>
  <DocSecurity>0</DocSecurity>
  <Lines>262</Lines>
  <Paragraphs>167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Nikos Kalogirou</cp:lastModifiedBy>
  <cp:revision>2</cp:revision>
  <dcterms:created xsi:type="dcterms:W3CDTF">2013-12-23T23:15:00Z</dcterms:created>
  <dcterms:modified xsi:type="dcterms:W3CDTF">2026-03-24T11:02:00Z</dcterms:modified>
  <cp:category/>
</cp:coreProperties>
</file>