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6B7A"/>
          <w:sz w:val="17"/>
        </w:rPr>
        <w:t>ORCHESTRAI INTERNAL KNOWLEDGE BASE</w:t>
      </w:r>
    </w:p>
    <w:p>
      <w:pPr>
        <w:pStyle w:val="Title"/>
      </w:pPr>
      <w:r>
        <w:t>Webinar Launch Brief</w:t>
      </w:r>
    </w:p>
    <w:p>
      <w:r>
        <w:rPr>
          <w:b/>
        </w:rPr>
        <w:t xml:space="preserve">Document ID: </w:t>
      </w:r>
      <w:r>
        <w:t xml:space="preserve">VAL-SALES-002   </w:t>
      </w:r>
      <w:r>
        <w:rPr>
          <w:b/>
        </w:rPr>
        <w:t xml:space="preserve">Department: </w:t>
      </w:r>
      <w:r>
        <w:t xml:space="preserve">Sales &amp; Solutions   </w:t>
      </w:r>
      <w:r>
        <w:rPr>
          <w:b/>
        </w:rPr>
        <w:t xml:space="preserve">Confidentiality: </w:t>
      </w:r>
      <w:r>
        <w:t xml:space="preserve">Internal Use Only   </w:t>
      </w:r>
    </w:p>
    <w:p>
      <w:r>
        <w:rPr>
          <w:i/>
        </w:rPr>
        <w:t>Sales / Solutions Validation Document</w:t>
      </w:r>
    </w:p>
    <w:p>
      <w:r>
        <w:t>Campaign: “Scaling Warehouse Orchestration with OrchestrAI Edge Gateways”</w:t>
      </w:r>
    </w:p>
    <w:p>
      <w:pPr>
        <w:pStyle w:val="Heading1"/>
      </w:pPr>
      <w:r>
        <w:t>Launch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939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Target audience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Operations leaders, warehouse IT managers, solution architects</w:t>
            </w:r>
          </w:p>
        </w:tc>
      </w:tr>
      <w:tr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Primary objective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Generate qualified meetings for multi-site orchestration opportunities</w:t>
            </w:r>
          </w:p>
        </w:tc>
      </w:tr>
      <w:tr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Primary CTA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Book an operational assessment</w:t>
            </w:r>
          </w:p>
        </w:tc>
      </w:tr>
      <w:tr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Follow-up owner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Regional BDR team</w:t>
            </w:r>
          </w:p>
        </w:tc>
      </w:tr>
      <w:tr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Success metric</w:t>
            </w:r>
          </w:p>
        </w:tc>
        <w:tc>
          <w:tcPr>
            <w:tcW w:type="dxa" w:w="493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Qualified meeting conversion rate &gt; 12%</w:t>
            </w:r>
          </w:p>
        </w:tc>
      </w:tr>
    </w:tbl>
    <w:p>
      <w:pPr>
        <w:pStyle w:val="Heading1"/>
      </w:pPr>
      <w:r>
        <w:t>Messaging guardrails</w:t>
      </w:r>
    </w:p>
    <w:p>
      <w:pPr>
        <w:ind w:left="288" w:hanging="216"/>
      </w:pPr>
      <w:r>
        <w:rPr>
          <w:b/>
        </w:rPr>
        <w:t xml:space="preserve">• </w:t>
      </w:r>
      <w:r>
        <w:t>Use approved claims only. Do not promise unsupported roadmap features during promotion or live Q and A.</w:t>
      </w:r>
    </w:p>
    <w:p>
      <w:pPr>
        <w:ind w:left="288" w:hanging="216"/>
      </w:pPr>
      <w:r>
        <w:rPr>
          <w:b/>
        </w:rPr>
        <w:t xml:space="preserve">• </w:t>
      </w:r>
      <w:r>
        <w:t>All customer examples must be anonymized unless written approval exists.</w:t>
      </w:r>
    </w:p>
    <w:p>
      <w:pPr>
        <w:ind w:left="288" w:hanging="216"/>
      </w:pPr>
      <w:r>
        <w:rPr>
          <w:b/>
        </w:rPr>
        <w:t xml:space="preserve">• </w:t>
      </w:r>
      <w:r>
        <w:t>Pricing questions should route to the assigned account team rather than being answered in the webinar chat.</w:t>
      </w:r>
    </w:p>
    <w:p>
      <w:pPr>
        <w:pStyle w:val="Heading1"/>
      </w:pPr>
      <w:r>
        <w:t>Post-event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3293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3293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Due</w:t>
            </w:r>
          </w:p>
        </w:tc>
      </w:tr>
      <w:tr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Upload attendance and engagement signals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Marketing Ops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Within 1 business day</w:t>
            </w:r>
          </w:p>
        </w:tc>
      </w:tr>
      <w:tr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Route MQLs by segment and region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RevOps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Within 1 business day</w:t>
            </w:r>
          </w:p>
        </w:tc>
      </w:tr>
      <w:tr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Follow up with engaged attendees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BDR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Within 2 business days</w:t>
            </w:r>
          </w:p>
        </w:tc>
      </w:tr>
      <w:tr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Summarize objections and product questions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Solutions lead</w:t>
            </w:r>
          </w:p>
        </w:tc>
        <w:tc>
          <w:tcPr>
            <w:tcW w:type="dxa" w:w="3293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Within 3 business days</w:t>
            </w:r>
          </w:p>
        </w:tc>
      </w:tr>
    </w:tbl>
    <w:sectPr w:rsidR="00FC693F" w:rsidRPr="0006063C" w:rsidSect="00034616">
      <w:pgSz w:w="12240" w:h="15840"/>
      <w:pgMar w:top="936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55C7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