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Campaign Approval Workflow</w:t>
      </w:r>
    </w:p>
    <w:p>
      <w:r>
        <w:rPr>
          <w:b/>
        </w:rPr>
        <w:t xml:space="preserve">Document ID: </w:t>
      </w:r>
      <w:r>
        <w:t xml:space="preserve">VAL-SALES-003   </w:t>
      </w:r>
      <w:r>
        <w:rPr>
          <w:b/>
        </w:rPr>
        <w:t xml:space="preserve">Department: </w:t>
      </w:r>
      <w:r>
        <w:t xml:space="preserve">Sales &amp; Solutions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rPr>
          <w:i/>
        </w:rPr>
        <w:t>Sales / Solutions Validation Document</w:t>
      </w:r>
    </w:p>
    <w:p>
      <w:r>
        <w:t>Purpose: Standardize how outbound and event campaigns are reviewed before launch so content, claims, targeting, and spend comply with OrchestrAI policy.</w:t>
      </w:r>
    </w:p>
    <w:p>
      <w:pPr>
        <w:pStyle w:val="Heading1"/>
      </w:pPr>
      <w:r>
        <w:t>Approval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Required input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46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Exit rule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Draft submission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Audience, messaging, CTA, budget, target date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Campaign owner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Brief is complete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Message review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Draft copy and claims list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Marketing lead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 unapproved claims remain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Commercial/policy review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Offer details and routing logic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RevOps / Sales lead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Follow-up path and ownership approved</w:t>
            </w:r>
          </w:p>
        </w:tc>
      </w:tr>
      <w:tr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Final launch review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Assets, schedule, and tracking plan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Campaign manager</w:t>
            </w:r>
          </w:p>
        </w:tc>
        <w:tc>
          <w:tcPr>
            <w:tcW w:type="dxa" w:w="24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Launch checklist signed off</w:t>
            </w:r>
          </w:p>
        </w:tc>
      </w:tr>
    </w:tbl>
    <w:p>
      <w:pPr>
        <w:pStyle w:val="Heading1"/>
      </w:pPr>
      <w:r>
        <w:t>Required controls</w:t>
      </w:r>
    </w:p>
    <w:p>
      <w:pPr>
        <w:ind w:left="288" w:hanging="216"/>
      </w:pPr>
      <w:r>
        <w:rPr>
          <w:b/>
        </w:rPr>
        <w:t xml:space="preserve">• </w:t>
      </w:r>
      <w:r>
        <w:t>All campaign assets must specify lead source and routing logic before launch.</w:t>
      </w:r>
    </w:p>
    <w:p>
      <w:pPr>
        <w:ind w:left="288" w:hanging="216"/>
      </w:pPr>
      <w:r>
        <w:rPr>
          <w:b/>
        </w:rPr>
        <w:t xml:space="preserve">• </w:t>
      </w:r>
      <w:r>
        <w:t>Any incentive, discount, or promotional term must align with current pricing policy.</w:t>
      </w:r>
    </w:p>
    <w:p>
      <w:pPr>
        <w:ind w:left="288" w:hanging="216"/>
      </w:pPr>
      <w:r>
        <w:rPr>
          <w:b/>
        </w:rPr>
        <w:t xml:space="preserve">• </w:t>
      </w:r>
      <w:r>
        <w:t>Campaigns referencing customer outcomes need documented source support from approved case material.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