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jc w:val="center"/>
      </w:pPr>
      <w:r>
        <w:rPr>
          <w:b/>
          <w:color w:val="0F3D56"/>
          <w:sz w:val="34"/>
        </w:rPr>
        <w:t>OrchestrAI Security Standard</w:t>
      </w:r>
    </w:p>
    <w:p>
      <w:pPr>
        <w:spacing w:line="259" w:lineRule="auto"/>
        <w:jc w:val="center"/>
      </w:pPr>
      <w:r>
        <w:rPr>
          <w:b/>
          <w:color w:val="1F2937"/>
          <w:sz w:val="28"/>
        </w:rPr>
        <w:t>VAL-SEC-005 — Third-Party Access Approval Standard</w:t>
      </w:r>
    </w:p>
    <w:p>
      <w:pPr>
        <w:spacing w:line="259" w:lineRule="auto"/>
        <w:jc w:val="center"/>
      </w:pPr>
      <w:r>
        <w:rPr>
          <w:i/>
          <w:color w:val="4B5563"/>
          <w:sz w:val="21"/>
        </w:rPr>
        <w:t>Requirements for onboarding, approving, monitoring, and retiring vendor access to OrchestrAI systems and facilities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CEAF7"/>
            <w:vAlign w:val="center"/>
            <w:tcMar>
              <w:top w:w="80" w:type="dxa"/>
              <w:start w:w="100" w:type="dxa"/>
              <w:bottom w:w="80" w:type="dxa"/>
              <w:end w:w="100" w:type="dxa"/>
            </w:tcMar>
          </w:tcPr>
          <w:p>
            <w:r>
              <w:rPr>
                <w:rFonts w:ascii="Aptos" w:hAnsi="Aptos"/>
                <w:b/>
                <w:color w:val="0F3D56"/>
                <w:sz w:val="20"/>
              </w:rPr>
              <w:t>Document ID</w:t>
            </w:r>
          </w:p>
        </w:tc>
        <w:tc>
          <w:tcPr>
            <w:tcW w:type="dxa" w:w="2484"/>
            <w:vAlign w:val="center"/>
            <w:tcMar>
              <w:top w:w="80" w:type="dxa"/>
              <w:start w:w="100" w:type="dxa"/>
              <w:bottom w:w="80" w:type="dxa"/>
              <w:end w:w="100" w:type="dxa"/>
            </w:tcMar>
          </w:tcPr>
          <w:p>
            <w:r>
              <w:rPr>
                <w:rFonts w:ascii="Aptos" w:hAnsi="Aptos"/>
                <w:b w:val="0"/>
                <w:color w:val="111827"/>
                <w:sz w:val="20"/>
              </w:rPr>
              <w:t>VAL-SEC-005</w:t>
            </w:r>
          </w:p>
        </w:tc>
        <w:tc>
          <w:tcPr>
            <w:tcW w:type="dxa" w:w="2484"/>
            <w:shd w:fill="DCEAF7"/>
            <w:vAlign w:val="center"/>
            <w:tcMar>
              <w:top w:w="80" w:type="dxa"/>
              <w:start w:w="100" w:type="dxa"/>
              <w:bottom w:w="80" w:type="dxa"/>
              <w:end w:w="100" w:type="dxa"/>
            </w:tcMar>
          </w:tcPr>
          <w:p>
            <w:r>
              <w:rPr>
                <w:rFonts w:ascii="Aptos" w:hAnsi="Aptos"/>
                <w:b/>
                <w:color w:val="0F3D56"/>
                <w:sz w:val="20"/>
              </w:rPr>
              <w:t>Owner</w:t>
            </w:r>
          </w:p>
        </w:tc>
        <w:tc>
          <w:tcPr>
            <w:tcW w:type="dxa" w:w="2484"/>
            <w:vAlign w:val="center"/>
            <w:tcMar>
              <w:top w:w="80" w:type="dxa"/>
              <w:start w:w="100" w:type="dxa"/>
              <w:bottom w:w="80" w:type="dxa"/>
              <w:end w:w="100" w:type="dxa"/>
            </w:tcMar>
          </w:tcPr>
          <w:p>
            <w:r>
              <w:rPr>
                <w:rFonts w:ascii="Aptos" w:hAnsi="Aptos"/>
                <w:b w:val="0"/>
                <w:color w:val="111827"/>
                <w:sz w:val="20"/>
              </w:rPr>
              <w:t>Security Governance</w:t>
            </w:r>
          </w:p>
        </w:tc>
      </w:tr>
      <w:tr>
        <w:tc>
          <w:tcPr>
            <w:tcW w:type="dxa" w:w="2484"/>
            <w:shd w:fill="DCEAF7"/>
            <w:vAlign w:val="center"/>
            <w:tcMar>
              <w:top w:w="80" w:type="dxa"/>
              <w:start w:w="100" w:type="dxa"/>
              <w:bottom w:w="80" w:type="dxa"/>
              <w:end w:w="100" w:type="dxa"/>
            </w:tcMar>
          </w:tcPr>
          <w:p>
            <w:r>
              <w:rPr>
                <w:rFonts w:ascii="Aptos" w:hAnsi="Aptos"/>
                <w:b/>
                <w:color w:val="0F3D56"/>
                <w:sz w:val="20"/>
              </w:rPr>
              <w:t>Version</w:t>
            </w:r>
          </w:p>
        </w:tc>
        <w:tc>
          <w:tcPr>
            <w:tcW w:type="dxa" w:w="2484"/>
            <w:vAlign w:val="center"/>
            <w:tcMar>
              <w:top w:w="80" w:type="dxa"/>
              <w:start w:w="100" w:type="dxa"/>
              <w:bottom w:w="80" w:type="dxa"/>
              <w:end w:w="100" w:type="dxa"/>
            </w:tcMar>
          </w:tcPr>
          <w:p>
            <w:r>
              <w:rPr>
                <w:rFonts w:ascii="Aptos" w:hAnsi="Aptos"/>
                <w:b w:val="0"/>
                <w:color w:val="111827"/>
                <w:sz w:val="20"/>
              </w:rPr>
              <w:t>1.0</w:t>
            </w:r>
          </w:p>
        </w:tc>
        <w:tc>
          <w:tcPr>
            <w:tcW w:type="dxa" w:w="2484"/>
            <w:shd w:fill="DCEAF7"/>
            <w:vAlign w:val="center"/>
            <w:tcMar>
              <w:top w:w="80" w:type="dxa"/>
              <w:start w:w="100" w:type="dxa"/>
              <w:bottom w:w="80" w:type="dxa"/>
              <w:end w:w="100" w:type="dxa"/>
            </w:tcMar>
          </w:tcPr>
          <w:p>
            <w:r>
              <w:rPr>
                <w:rFonts w:ascii="Aptos" w:hAnsi="Aptos"/>
                <w:b/>
                <w:color w:val="0F3D56"/>
                <w:sz w:val="20"/>
              </w:rPr>
              <w:t>Effective Date</w:t>
            </w:r>
          </w:p>
        </w:tc>
        <w:tc>
          <w:tcPr>
            <w:tcW w:type="dxa" w:w="2484"/>
            <w:vAlign w:val="center"/>
            <w:tcMar>
              <w:top w:w="80" w:type="dxa"/>
              <w:start w:w="100" w:type="dxa"/>
              <w:bottom w:w="80" w:type="dxa"/>
              <w:end w:w="100" w:type="dxa"/>
            </w:tcMar>
          </w:tcPr>
          <w:p>
            <w:r>
              <w:rPr>
                <w:rFonts w:ascii="Aptos" w:hAnsi="Aptos"/>
                <w:b w:val="0"/>
                <w:color w:val="111827"/>
                <w:sz w:val="20"/>
              </w:rPr>
              <w:t>2026-03-10</w:t>
            </w:r>
          </w:p>
        </w:tc>
      </w:tr>
      <w:tr>
        <w:tc>
          <w:tcPr>
            <w:tcW w:type="dxa" w:w="2484"/>
            <w:shd w:fill="DCEAF7"/>
            <w:vAlign w:val="center"/>
            <w:tcMar>
              <w:top w:w="80" w:type="dxa"/>
              <w:start w:w="100" w:type="dxa"/>
              <w:bottom w:w="80" w:type="dxa"/>
              <w:end w:w="100" w:type="dxa"/>
            </w:tcMar>
          </w:tcPr>
          <w:p>
            <w:r>
              <w:rPr>
                <w:rFonts w:ascii="Aptos" w:hAnsi="Aptos"/>
                <w:b/>
                <w:color w:val="0F3D56"/>
                <w:sz w:val="20"/>
              </w:rPr>
              <w:t>Review Cycle</w:t>
            </w:r>
          </w:p>
        </w:tc>
        <w:tc>
          <w:tcPr>
            <w:tcW w:type="dxa" w:w="2484"/>
            <w:vAlign w:val="center"/>
            <w:tcMar>
              <w:top w:w="80" w:type="dxa"/>
              <w:start w:w="100" w:type="dxa"/>
              <w:bottom w:w="80" w:type="dxa"/>
              <w:end w:w="100" w:type="dxa"/>
            </w:tcMar>
          </w:tcPr>
          <w:p>
            <w:r>
              <w:rPr>
                <w:rFonts w:ascii="Aptos" w:hAnsi="Aptos"/>
                <w:b w:val="0"/>
                <w:color w:val="111827"/>
                <w:sz w:val="20"/>
              </w:rPr>
              <w:t>Quarterly</w:t>
            </w:r>
          </w:p>
        </w:tc>
        <w:tc>
          <w:tcPr>
            <w:tcW w:type="dxa" w:w="2484"/>
            <w:shd w:fill="DCEAF7"/>
            <w:vAlign w:val="center"/>
            <w:tcMar>
              <w:top w:w="80" w:type="dxa"/>
              <w:start w:w="100" w:type="dxa"/>
              <w:bottom w:w="80" w:type="dxa"/>
              <w:end w:w="100" w:type="dxa"/>
            </w:tcMar>
          </w:tcPr>
          <w:p>
            <w:r>
              <w:rPr>
                <w:rFonts w:ascii="Aptos" w:hAnsi="Aptos"/>
                <w:b/>
                <w:color w:val="0F3D56"/>
                <w:sz w:val="20"/>
              </w:rPr>
              <w:t>Classification</w:t>
            </w:r>
          </w:p>
        </w:tc>
        <w:tc>
          <w:tcPr>
            <w:tcW w:type="dxa" w:w="2484"/>
            <w:vAlign w:val="center"/>
            <w:tcMar>
              <w:top w:w="80" w:type="dxa"/>
              <w:start w:w="100" w:type="dxa"/>
              <w:bottom w:w="80" w:type="dxa"/>
              <w:end w:w="100" w:type="dxa"/>
            </w:tcMar>
          </w:tcPr>
          <w:p>
            <w:r>
              <w:rPr>
                <w:rFonts w:ascii="Aptos" w:hAnsi="Aptos"/>
                <w:b w:val="0"/>
                <w:color w:val="111827"/>
                <w:sz w:val="20"/>
              </w:rPr>
              <w:t>Internal</w:t>
            </w:r>
          </w:p>
        </w:tc>
      </w:tr>
    </w:tbl>
    <w:p>
      <w:pPr>
        <w:spacing w:line="259" w:lineRule="auto"/>
      </w:pPr>
    </w:p>
    <w:p>
      <w:pPr>
        <w:spacing w:before="160" w:after="80" w:line="259" w:lineRule="auto"/>
      </w:pPr>
      <w:r>
        <w:rPr>
          <w:b/>
          <w:color w:val="0F3D56"/>
          <w:sz w:val="25"/>
        </w:rPr>
        <w:t>Purpose</w:t>
      </w:r>
    </w:p>
    <w:p>
      <w:pPr>
        <w:spacing w:after="80" w:line="259" w:lineRule="auto"/>
      </w:pPr>
      <w:r>
        <w:t>This standard defines the minimum approval, provisioning, and review requirements for granting third parties access to OrchestrAI resources. It applies to cloud environments, ticketing tools, identity platforms, source repositories, diagnostics portals, and any controlled workspace or warehouse system where external personnel may need temporary access.</w:t>
      </w:r>
    </w:p>
    <w:p>
      <w:pPr>
        <w:spacing w:before="160" w:after="80" w:line="259" w:lineRule="auto"/>
      </w:pPr>
      <w:r>
        <w:rPr>
          <w:b/>
          <w:color w:val="0F3D56"/>
          <w:sz w:val="25"/>
        </w:rPr>
        <w:t>Approval Principles</w:t>
      </w:r>
    </w:p>
    <w:p>
      <w:pPr>
        <w:pStyle w:val="ListBullet"/>
      </w:pPr>
      <w:r>
        <w:t>Every third-party account must have a named OrchestrAI business sponsor who confirms business need, duration, and scope before access is created.</w:t>
      </w:r>
    </w:p>
    <w:p>
      <w:pPr>
        <w:pStyle w:val="ListBullet"/>
      </w:pPr>
      <w:r>
        <w:t>Access must be provisioned to the least-privileged role that supports the approved task. Shared accounts are prohibited except documented break-glass credentials under Security custody.</w:t>
      </w:r>
    </w:p>
    <w:p>
      <w:pPr>
        <w:pStyle w:val="ListBullet"/>
      </w:pPr>
      <w:r>
        <w:t>Default approval duration is 30 days for operational work and 7 days for elevated or production-adjacent access unless a stricter contract term applies.</w:t>
      </w:r>
    </w:p>
    <w:p>
      <w:pPr>
        <w:pStyle w:val="ListBullet"/>
      </w:pPr>
      <w:r>
        <w:t>All access must be traceable to a vendor company, individual assignee, ticket number, and expiration date.</w:t>
      </w:r>
    </w:p>
    <w:p>
      <w:pPr>
        <w:spacing w:before="160" w:after="80" w:line="259" w:lineRule="auto"/>
      </w:pPr>
      <w:r>
        <w:rPr>
          <w:b/>
          <w:color w:val="0F3D56"/>
          <w:sz w:val="25"/>
        </w:rPr>
        <w:t>Required Approval Matrix</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0F3D56"/>
            <w:vAlign w:val="center"/>
            <w:tcMar>
              <w:top w:w="80" w:type="dxa"/>
              <w:start w:w="100" w:type="dxa"/>
              <w:bottom w:w="80" w:type="dxa"/>
              <w:end w:w="100" w:type="dxa"/>
            </w:tcMar>
          </w:tcPr>
          <w:p>
            <w:pPr>
              <w:jc w:val="center"/>
            </w:pPr>
            <w:r>
              <w:rPr>
                <w:rFonts w:ascii="Aptos" w:hAnsi="Aptos"/>
                <w:b/>
                <w:color w:val="FFFFFF"/>
                <w:sz w:val="20"/>
              </w:rPr>
              <w:t>Access Type</w:t>
            </w:r>
          </w:p>
        </w:tc>
        <w:tc>
          <w:tcPr>
            <w:tcW w:type="dxa" w:w="1987"/>
            <w:shd w:fill="0F3D56"/>
            <w:vAlign w:val="center"/>
            <w:tcMar>
              <w:top w:w="80" w:type="dxa"/>
              <w:start w:w="100" w:type="dxa"/>
              <w:bottom w:w="80" w:type="dxa"/>
              <w:end w:w="100" w:type="dxa"/>
            </w:tcMar>
          </w:tcPr>
          <w:p>
            <w:pPr>
              <w:jc w:val="center"/>
            </w:pPr>
            <w:r>
              <w:rPr>
                <w:rFonts w:ascii="Aptos" w:hAnsi="Aptos"/>
                <w:b/>
                <w:color w:val="FFFFFF"/>
                <w:sz w:val="20"/>
              </w:rPr>
              <w:t>Examples</w:t>
            </w:r>
          </w:p>
        </w:tc>
        <w:tc>
          <w:tcPr>
            <w:tcW w:type="dxa" w:w="1987"/>
            <w:shd w:fill="0F3D56"/>
            <w:vAlign w:val="center"/>
            <w:tcMar>
              <w:top w:w="80" w:type="dxa"/>
              <w:start w:w="100" w:type="dxa"/>
              <w:bottom w:w="80" w:type="dxa"/>
              <w:end w:w="100" w:type="dxa"/>
            </w:tcMar>
          </w:tcPr>
          <w:p>
            <w:pPr>
              <w:jc w:val="center"/>
            </w:pPr>
            <w:r>
              <w:rPr>
                <w:rFonts w:ascii="Aptos" w:hAnsi="Aptos"/>
                <w:b/>
                <w:color w:val="FFFFFF"/>
                <w:sz w:val="20"/>
              </w:rPr>
              <w:t>Required Approvers</w:t>
            </w:r>
          </w:p>
        </w:tc>
        <w:tc>
          <w:tcPr>
            <w:tcW w:type="dxa" w:w="1987"/>
            <w:shd w:fill="0F3D56"/>
            <w:vAlign w:val="center"/>
            <w:tcMar>
              <w:top w:w="80" w:type="dxa"/>
              <w:start w:w="100" w:type="dxa"/>
              <w:bottom w:w="80" w:type="dxa"/>
              <w:end w:w="100" w:type="dxa"/>
            </w:tcMar>
          </w:tcPr>
          <w:p>
            <w:pPr>
              <w:jc w:val="center"/>
            </w:pPr>
            <w:r>
              <w:rPr>
                <w:rFonts w:ascii="Aptos" w:hAnsi="Aptos"/>
                <w:b/>
                <w:color w:val="FFFFFF"/>
                <w:sz w:val="20"/>
              </w:rPr>
              <w:t>Default Duration</w:t>
            </w:r>
          </w:p>
        </w:tc>
        <w:tc>
          <w:tcPr>
            <w:tcW w:type="dxa" w:w="1987"/>
            <w:shd w:fill="0F3D56"/>
            <w:vAlign w:val="center"/>
            <w:tcMar>
              <w:top w:w="80" w:type="dxa"/>
              <w:start w:w="100" w:type="dxa"/>
              <w:bottom w:w="80" w:type="dxa"/>
              <w:end w:w="100" w:type="dxa"/>
            </w:tcMar>
          </w:tcPr>
          <w:p>
            <w:pPr>
              <w:jc w:val="center"/>
            </w:pPr>
            <w:r>
              <w:rPr>
                <w:rFonts w:ascii="Aptos" w:hAnsi="Aptos"/>
                <w:b/>
                <w:color w:val="FFFFFF"/>
                <w:sz w:val="20"/>
              </w:rPr>
              <w:t>Extra Controls</w:t>
            </w:r>
          </w:p>
        </w:tc>
      </w:tr>
      <w:tr>
        <w:tc>
          <w:tcPr>
            <w:tcW w:type="dxa" w:w="1987"/>
            <w:vAlign w:val="center"/>
            <w:tcMar>
              <w:top w:w="80" w:type="dxa"/>
              <w:start w:w="100" w:type="dxa"/>
              <w:bottom w:w="80" w:type="dxa"/>
              <w:end w:w="100" w:type="dxa"/>
            </w:tcMar>
          </w:tcPr>
          <w:p>
            <w:r>
              <w:rPr>
                <w:rFonts w:ascii="Aptos" w:hAnsi="Aptos"/>
                <w:b w:val="0"/>
                <w:color w:val="111827"/>
                <w:sz w:val="19"/>
              </w:rPr>
              <w:t>Business application access</w:t>
            </w:r>
          </w:p>
        </w:tc>
        <w:tc>
          <w:tcPr>
            <w:tcW w:type="dxa" w:w="1987"/>
            <w:vAlign w:val="center"/>
            <w:tcMar>
              <w:top w:w="80" w:type="dxa"/>
              <w:start w:w="100" w:type="dxa"/>
              <w:bottom w:w="80" w:type="dxa"/>
              <w:end w:w="100" w:type="dxa"/>
            </w:tcMar>
          </w:tcPr>
          <w:p>
            <w:r>
              <w:rPr>
                <w:rFonts w:ascii="Aptos" w:hAnsi="Aptos"/>
                <w:b w:val="0"/>
                <w:color w:val="111827"/>
                <w:sz w:val="19"/>
              </w:rPr>
              <w:t>Ticket portal, knowledge base, CRM sandbox</w:t>
            </w:r>
          </w:p>
        </w:tc>
        <w:tc>
          <w:tcPr>
            <w:tcW w:type="dxa" w:w="1987"/>
            <w:vAlign w:val="center"/>
            <w:tcMar>
              <w:top w:w="80" w:type="dxa"/>
              <w:start w:w="100" w:type="dxa"/>
              <w:bottom w:w="80" w:type="dxa"/>
              <w:end w:w="100" w:type="dxa"/>
            </w:tcMar>
          </w:tcPr>
          <w:p>
            <w:r>
              <w:rPr>
                <w:rFonts w:ascii="Aptos" w:hAnsi="Aptos"/>
                <w:b w:val="0"/>
                <w:color w:val="111827"/>
                <w:sz w:val="19"/>
              </w:rPr>
              <w:t>Business sponsor + system owner</w:t>
            </w:r>
          </w:p>
        </w:tc>
        <w:tc>
          <w:tcPr>
            <w:tcW w:type="dxa" w:w="1987"/>
            <w:vAlign w:val="center"/>
            <w:tcMar>
              <w:top w:w="80" w:type="dxa"/>
              <w:start w:w="100" w:type="dxa"/>
              <w:bottom w:w="80" w:type="dxa"/>
              <w:end w:w="100" w:type="dxa"/>
            </w:tcMar>
          </w:tcPr>
          <w:p>
            <w:pPr>
              <w:jc w:val="center"/>
            </w:pPr>
            <w:r>
              <w:rPr>
                <w:rFonts w:ascii="Aptos" w:hAnsi="Aptos"/>
                <w:b w:val="0"/>
                <w:color w:val="111827"/>
                <w:sz w:val="19"/>
              </w:rPr>
              <w:t>30 days</w:t>
            </w:r>
          </w:p>
        </w:tc>
        <w:tc>
          <w:tcPr>
            <w:tcW w:type="dxa" w:w="1987"/>
            <w:vAlign w:val="center"/>
            <w:tcMar>
              <w:top w:w="80" w:type="dxa"/>
              <w:start w:w="100" w:type="dxa"/>
              <w:bottom w:w="80" w:type="dxa"/>
              <w:end w:w="100" w:type="dxa"/>
            </w:tcMar>
          </w:tcPr>
          <w:p>
            <w:r>
              <w:rPr>
                <w:rFonts w:ascii="Aptos" w:hAnsi="Aptos"/>
                <w:b w:val="0"/>
                <w:color w:val="111827"/>
                <w:sz w:val="19"/>
              </w:rPr>
              <w:t>MFA required; no local admin rights</w:t>
            </w:r>
          </w:p>
        </w:tc>
      </w:tr>
      <w:tr>
        <w:tc>
          <w:tcPr>
            <w:tcW w:type="dxa" w:w="1987"/>
            <w:vAlign w:val="center"/>
            <w:tcMar>
              <w:top w:w="80" w:type="dxa"/>
              <w:start w:w="100" w:type="dxa"/>
              <w:bottom w:w="80" w:type="dxa"/>
              <w:end w:w="100" w:type="dxa"/>
            </w:tcMar>
          </w:tcPr>
          <w:p>
            <w:r>
              <w:rPr>
                <w:rFonts w:ascii="Aptos" w:hAnsi="Aptos"/>
                <w:b w:val="0"/>
                <w:color w:val="111827"/>
                <w:sz w:val="19"/>
              </w:rPr>
              <w:t>Implementation support access</w:t>
            </w:r>
          </w:p>
        </w:tc>
        <w:tc>
          <w:tcPr>
            <w:tcW w:type="dxa" w:w="1987"/>
            <w:vAlign w:val="center"/>
            <w:tcMar>
              <w:top w:w="80" w:type="dxa"/>
              <w:start w:w="100" w:type="dxa"/>
              <w:bottom w:w="80" w:type="dxa"/>
              <w:end w:w="100" w:type="dxa"/>
            </w:tcMar>
          </w:tcPr>
          <w:p>
            <w:r>
              <w:rPr>
                <w:rFonts w:ascii="Aptos" w:hAnsi="Aptos"/>
                <w:b w:val="0"/>
                <w:color w:val="111827"/>
                <w:sz w:val="19"/>
              </w:rPr>
              <w:t>Edge diagnostics portal, warehouse device staging tools</w:t>
            </w:r>
          </w:p>
        </w:tc>
        <w:tc>
          <w:tcPr>
            <w:tcW w:type="dxa" w:w="1987"/>
            <w:vAlign w:val="center"/>
            <w:tcMar>
              <w:top w:w="80" w:type="dxa"/>
              <w:start w:w="100" w:type="dxa"/>
              <w:bottom w:w="80" w:type="dxa"/>
              <w:end w:w="100" w:type="dxa"/>
            </w:tcMar>
          </w:tcPr>
          <w:p>
            <w:r>
              <w:rPr>
                <w:rFonts w:ascii="Aptos" w:hAnsi="Aptos"/>
                <w:b w:val="0"/>
                <w:color w:val="111827"/>
                <w:sz w:val="19"/>
              </w:rPr>
              <w:t>Business sponsor + Engineering/Operations owner</w:t>
            </w:r>
          </w:p>
        </w:tc>
        <w:tc>
          <w:tcPr>
            <w:tcW w:type="dxa" w:w="1987"/>
            <w:vAlign w:val="center"/>
            <w:tcMar>
              <w:top w:w="80" w:type="dxa"/>
              <w:start w:w="100" w:type="dxa"/>
              <w:bottom w:w="80" w:type="dxa"/>
              <w:end w:w="100" w:type="dxa"/>
            </w:tcMar>
          </w:tcPr>
          <w:p>
            <w:pPr>
              <w:jc w:val="center"/>
            </w:pPr>
            <w:r>
              <w:rPr>
                <w:rFonts w:ascii="Aptos" w:hAnsi="Aptos"/>
                <w:b w:val="0"/>
                <w:color w:val="111827"/>
                <w:sz w:val="19"/>
              </w:rPr>
              <w:t>14 days</w:t>
            </w:r>
          </w:p>
        </w:tc>
        <w:tc>
          <w:tcPr>
            <w:tcW w:type="dxa" w:w="1987"/>
            <w:vAlign w:val="center"/>
            <w:tcMar>
              <w:top w:w="80" w:type="dxa"/>
              <w:start w:w="100" w:type="dxa"/>
              <w:bottom w:w="80" w:type="dxa"/>
              <w:end w:w="100" w:type="dxa"/>
            </w:tcMar>
          </w:tcPr>
          <w:p>
            <w:r>
              <w:rPr>
                <w:rFonts w:ascii="Aptos" w:hAnsi="Aptos"/>
                <w:b w:val="0"/>
                <w:color w:val="111827"/>
                <w:sz w:val="19"/>
              </w:rPr>
              <w:t>Named account; IP restrictions when available</w:t>
            </w:r>
          </w:p>
        </w:tc>
      </w:tr>
      <w:tr>
        <w:tc>
          <w:tcPr>
            <w:tcW w:type="dxa" w:w="1987"/>
            <w:vAlign w:val="center"/>
            <w:tcMar>
              <w:top w:w="80" w:type="dxa"/>
              <w:start w:w="100" w:type="dxa"/>
              <w:bottom w:w="80" w:type="dxa"/>
              <w:end w:w="100" w:type="dxa"/>
            </w:tcMar>
          </w:tcPr>
          <w:p>
            <w:r>
              <w:rPr>
                <w:rFonts w:ascii="Aptos" w:hAnsi="Aptos"/>
                <w:b w:val="0"/>
                <w:color w:val="111827"/>
                <w:sz w:val="19"/>
              </w:rPr>
              <w:t>Production-adjacent support</w:t>
            </w:r>
          </w:p>
        </w:tc>
        <w:tc>
          <w:tcPr>
            <w:tcW w:type="dxa" w:w="1987"/>
            <w:vAlign w:val="center"/>
            <w:tcMar>
              <w:top w:w="80" w:type="dxa"/>
              <w:start w:w="100" w:type="dxa"/>
              <w:bottom w:w="80" w:type="dxa"/>
              <w:end w:w="100" w:type="dxa"/>
            </w:tcMar>
          </w:tcPr>
          <w:p>
            <w:r>
              <w:rPr>
                <w:rFonts w:ascii="Aptos" w:hAnsi="Aptos"/>
                <w:b w:val="0"/>
                <w:color w:val="111827"/>
                <w:sz w:val="19"/>
              </w:rPr>
              <w:t>Read-only monitoring, logs, health dashboards</w:t>
            </w:r>
          </w:p>
        </w:tc>
        <w:tc>
          <w:tcPr>
            <w:tcW w:type="dxa" w:w="1987"/>
            <w:vAlign w:val="center"/>
            <w:tcMar>
              <w:top w:w="80" w:type="dxa"/>
              <w:start w:w="100" w:type="dxa"/>
              <w:bottom w:w="80" w:type="dxa"/>
              <w:end w:w="100" w:type="dxa"/>
            </w:tcMar>
          </w:tcPr>
          <w:p>
            <w:r>
              <w:rPr>
                <w:rFonts w:ascii="Aptos" w:hAnsi="Aptos"/>
                <w:b w:val="0"/>
                <w:color w:val="111827"/>
                <w:sz w:val="19"/>
              </w:rPr>
              <w:t>System owner + Security Governance</w:t>
            </w:r>
          </w:p>
        </w:tc>
        <w:tc>
          <w:tcPr>
            <w:tcW w:type="dxa" w:w="1987"/>
            <w:vAlign w:val="center"/>
            <w:tcMar>
              <w:top w:w="80" w:type="dxa"/>
              <w:start w:w="100" w:type="dxa"/>
              <w:bottom w:w="80" w:type="dxa"/>
              <w:end w:w="100" w:type="dxa"/>
            </w:tcMar>
          </w:tcPr>
          <w:p>
            <w:pPr>
              <w:jc w:val="center"/>
            </w:pPr>
            <w:r>
              <w:rPr>
                <w:rFonts w:ascii="Aptos" w:hAnsi="Aptos"/>
                <w:b w:val="0"/>
                <w:color w:val="111827"/>
                <w:sz w:val="19"/>
              </w:rPr>
              <w:t>7 days</w:t>
            </w:r>
          </w:p>
        </w:tc>
        <w:tc>
          <w:tcPr>
            <w:tcW w:type="dxa" w:w="1987"/>
            <w:vAlign w:val="center"/>
            <w:tcMar>
              <w:top w:w="80" w:type="dxa"/>
              <w:start w:w="100" w:type="dxa"/>
              <w:bottom w:w="80" w:type="dxa"/>
              <w:end w:w="100" w:type="dxa"/>
            </w:tcMar>
          </w:tcPr>
          <w:p>
            <w:r>
              <w:rPr>
                <w:rFonts w:ascii="Aptos" w:hAnsi="Aptos"/>
                <w:b w:val="0"/>
                <w:color w:val="111827"/>
                <w:sz w:val="19"/>
              </w:rPr>
              <w:t>Session logging; change execution prohibited</w:t>
            </w:r>
          </w:p>
        </w:tc>
      </w:tr>
      <w:tr>
        <w:tc>
          <w:tcPr>
            <w:tcW w:type="dxa" w:w="1987"/>
            <w:vAlign w:val="center"/>
            <w:tcMar>
              <w:top w:w="80" w:type="dxa"/>
              <w:start w:w="100" w:type="dxa"/>
              <w:bottom w:w="80" w:type="dxa"/>
              <w:end w:w="100" w:type="dxa"/>
            </w:tcMar>
          </w:tcPr>
          <w:p>
            <w:r>
              <w:rPr>
                <w:rFonts w:ascii="Aptos" w:hAnsi="Aptos"/>
                <w:b w:val="0"/>
                <w:color w:val="111827"/>
                <w:sz w:val="19"/>
              </w:rPr>
              <w:t>Privileged or elevated access</w:t>
            </w:r>
          </w:p>
        </w:tc>
        <w:tc>
          <w:tcPr>
            <w:tcW w:type="dxa" w:w="1987"/>
            <w:vAlign w:val="center"/>
            <w:tcMar>
              <w:top w:w="80" w:type="dxa"/>
              <w:start w:w="100" w:type="dxa"/>
              <w:bottom w:w="80" w:type="dxa"/>
              <w:end w:w="100" w:type="dxa"/>
            </w:tcMar>
          </w:tcPr>
          <w:p>
            <w:r>
              <w:rPr>
                <w:rFonts w:ascii="Aptos" w:hAnsi="Aptos"/>
                <w:b w:val="0"/>
                <w:color w:val="111827"/>
                <w:sz w:val="19"/>
              </w:rPr>
              <w:t>Admin roles, configuration rights, firewall changes</w:t>
            </w:r>
          </w:p>
        </w:tc>
        <w:tc>
          <w:tcPr>
            <w:tcW w:type="dxa" w:w="1987"/>
            <w:vAlign w:val="center"/>
            <w:tcMar>
              <w:top w:w="80" w:type="dxa"/>
              <w:start w:w="100" w:type="dxa"/>
              <w:bottom w:w="80" w:type="dxa"/>
              <w:end w:w="100" w:type="dxa"/>
            </w:tcMar>
          </w:tcPr>
          <w:p>
            <w:r>
              <w:rPr>
                <w:rFonts w:ascii="Aptos" w:hAnsi="Aptos"/>
                <w:b w:val="0"/>
                <w:color w:val="111827"/>
                <w:sz w:val="19"/>
              </w:rPr>
              <w:t>System owner + Security Governance director + IT Identity</w:t>
            </w:r>
          </w:p>
        </w:tc>
        <w:tc>
          <w:tcPr>
            <w:tcW w:type="dxa" w:w="1987"/>
            <w:vAlign w:val="center"/>
            <w:tcMar>
              <w:top w:w="80" w:type="dxa"/>
              <w:start w:w="100" w:type="dxa"/>
              <w:bottom w:w="80" w:type="dxa"/>
              <w:end w:w="100" w:type="dxa"/>
            </w:tcMar>
          </w:tcPr>
          <w:p>
            <w:pPr>
              <w:jc w:val="center"/>
            </w:pPr>
            <w:r>
              <w:rPr>
                <w:rFonts w:ascii="Aptos" w:hAnsi="Aptos"/>
                <w:b w:val="0"/>
                <w:color w:val="111827"/>
                <w:sz w:val="19"/>
              </w:rPr>
              <w:t>24 hours to 7 days</w:t>
            </w:r>
          </w:p>
        </w:tc>
        <w:tc>
          <w:tcPr>
            <w:tcW w:type="dxa" w:w="1987"/>
            <w:vAlign w:val="center"/>
            <w:tcMar>
              <w:top w:w="80" w:type="dxa"/>
              <w:start w:w="100" w:type="dxa"/>
              <w:bottom w:w="80" w:type="dxa"/>
              <w:end w:w="100" w:type="dxa"/>
            </w:tcMar>
          </w:tcPr>
          <w:p>
            <w:r>
              <w:rPr>
                <w:rFonts w:ascii="Aptos" w:hAnsi="Aptos"/>
                <w:b w:val="0"/>
                <w:color w:val="111827"/>
                <w:sz w:val="19"/>
              </w:rPr>
              <w:t>PAM or just-in-time elevation; post-use review required</w:t>
            </w:r>
          </w:p>
        </w:tc>
      </w:tr>
    </w:tbl>
    <w:p>
      <w:pPr>
        <w:spacing w:before="160" w:after="80" w:line="259" w:lineRule="auto"/>
      </w:pPr>
      <w:r>
        <w:rPr>
          <w:b/>
          <w:color w:val="0F3D56"/>
          <w:sz w:val="25"/>
        </w:rPr>
        <w:t>Minimum Provisioning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DCEAF7"/>
            <w:vAlign w:val="center"/>
            <w:tcMar>
              <w:top w:w="80" w:type="dxa"/>
              <w:start w:w="100" w:type="dxa"/>
              <w:bottom w:w="80" w:type="dxa"/>
              <w:end w:w="100" w:type="dxa"/>
            </w:tcMar>
          </w:tcPr>
          <w:p>
            <w:r>
              <w:rPr>
                <w:rFonts w:ascii="Aptos" w:hAnsi="Aptos"/>
                <w:b/>
                <w:color w:val="0F3D56"/>
                <w:sz w:val="21"/>
              </w:rPr>
              <w:t>Requirement</w:t>
            </w:r>
          </w:p>
        </w:tc>
        <w:tc>
          <w:tcPr>
            <w:tcW w:type="dxa" w:w="4968"/>
            <w:shd w:fill="DCEAF7"/>
            <w:vAlign w:val="center"/>
            <w:tcMar>
              <w:top w:w="80" w:type="dxa"/>
              <w:start w:w="100" w:type="dxa"/>
              <w:bottom w:w="80" w:type="dxa"/>
              <w:end w:w="100" w:type="dxa"/>
            </w:tcMar>
          </w:tcPr>
          <w:p>
            <w:r>
              <w:rPr>
                <w:rFonts w:ascii="Aptos" w:hAnsi="Aptos"/>
                <w:b/>
                <w:color w:val="0F3D56"/>
                <w:sz w:val="21"/>
              </w:rPr>
              <w:t>Standard</w:t>
            </w:r>
          </w:p>
        </w:tc>
      </w:tr>
      <w:tr>
        <w:tc>
          <w:tcPr>
            <w:tcW w:type="dxa" w:w="4968"/>
            <w:vAlign w:val="center"/>
            <w:tcMar>
              <w:top w:w="80" w:type="dxa"/>
              <w:start w:w="100" w:type="dxa"/>
              <w:bottom w:w="80" w:type="dxa"/>
              <w:end w:w="100" w:type="dxa"/>
            </w:tcMar>
          </w:tcPr>
          <w:p>
            <w:r>
              <w:rPr>
                <w:rFonts w:ascii="Aptos" w:hAnsi="Aptos"/>
                <w:b/>
                <w:color w:val="1F2937"/>
                <w:sz w:val="19"/>
              </w:rPr>
              <w:t>Identity proofing</w:t>
            </w:r>
          </w:p>
        </w:tc>
        <w:tc>
          <w:tcPr>
            <w:tcW w:type="dxa" w:w="4968"/>
            <w:vAlign w:val="center"/>
            <w:tcMar>
              <w:top w:w="80" w:type="dxa"/>
              <w:start w:w="100" w:type="dxa"/>
              <w:bottom w:w="80" w:type="dxa"/>
              <w:end w:w="100" w:type="dxa"/>
            </w:tcMar>
          </w:tcPr>
          <w:p>
            <w:r>
              <w:rPr>
                <w:rFonts w:ascii="Aptos" w:hAnsi="Aptos"/>
                <w:b w:val="0"/>
                <w:color w:val="111827"/>
                <w:sz w:val="19"/>
              </w:rPr>
              <w:t>Vendor assignee must be named individually and linked to a company domain or verified contact record.</w:t>
            </w:r>
          </w:p>
        </w:tc>
      </w:tr>
      <w:tr>
        <w:tc>
          <w:tcPr>
            <w:tcW w:type="dxa" w:w="4968"/>
            <w:vAlign w:val="center"/>
            <w:tcMar>
              <w:top w:w="80" w:type="dxa"/>
              <w:start w:w="100" w:type="dxa"/>
              <w:bottom w:w="80" w:type="dxa"/>
              <w:end w:w="100" w:type="dxa"/>
            </w:tcMar>
          </w:tcPr>
          <w:p>
            <w:r>
              <w:rPr>
                <w:rFonts w:ascii="Aptos" w:hAnsi="Aptos"/>
                <w:b/>
                <w:color w:val="1F2937"/>
                <w:sz w:val="19"/>
              </w:rPr>
              <w:t>Authentication</w:t>
            </w:r>
          </w:p>
        </w:tc>
        <w:tc>
          <w:tcPr>
            <w:tcW w:type="dxa" w:w="4968"/>
            <w:vAlign w:val="center"/>
            <w:tcMar>
              <w:top w:w="80" w:type="dxa"/>
              <w:start w:w="100" w:type="dxa"/>
              <w:bottom w:w="80" w:type="dxa"/>
              <w:end w:w="100" w:type="dxa"/>
            </w:tcMar>
          </w:tcPr>
          <w:p>
            <w:r>
              <w:rPr>
                <w:rFonts w:ascii="Aptos" w:hAnsi="Aptos"/>
                <w:b w:val="0"/>
                <w:color w:val="111827"/>
                <w:sz w:val="19"/>
              </w:rPr>
              <w:t>MFA is mandatory for all third-party accounts. SMS-only fallback is not permitted for privileged access.</w:t>
            </w:r>
          </w:p>
        </w:tc>
      </w:tr>
      <w:tr>
        <w:tc>
          <w:tcPr>
            <w:tcW w:type="dxa" w:w="4968"/>
            <w:vAlign w:val="center"/>
            <w:tcMar>
              <w:top w:w="80" w:type="dxa"/>
              <w:start w:w="100" w:type="dxa"/>
              <w:bottom w:w="80" w:type="dxa"/>
              <w:end w:w="100" w:type="dxa"/>
            </w:tcMar>
          </w:tcPr>
          <w:p>
            <w:r>
              <w:rPr>
                <w:rFonts w:ascii="Aptos" w:hAnsi="Aptos"/>
                <w:b/>
                <w:color w:val="1F2937"/>
                <w:sz w:val="19"/>
              </w:rPr>
              <w:t>Time bounds</w:t>
            </w:r>
          </w:p>
        </w:tc>
        <w:tc>
          <w:tcPr>
            <w:tcW w:type="dxa" w:w="4968"/>
            <w:vAlign w:val="center"/>
            <w:tcMar>
              <w:top w:w="80" w:type="dxa"/>
              <w:start w:w="100" w:type="dxa"/>
              <w:bottom w:w="80" w:type="dxa"/>
              <w:end w:w="100" w:type="dxa"/>
            </w:tcMar>
          </w:tcPr>
          <w:p>
            <w:r>
              <w:rPr>
                <w:rFonts w:ascii="Aptos" w:hAnsi="Aptos"/>
                <w:b w:val="0"/>
                <w:color w:val="111827"/>
                <w:sz w:val="19"/>
              </w:rPr>
              <w:t>Every account must have a start date and expiration date; indefinite access is not allowed.</w:t>
            </w:r>
          </w:p>
        </w:tc>
      </w:tr>
      <w:tr>
        <w:tc>
          <w:tcPr>
            <w:tcW w:type="dxa" w:w="4968"/>
            <w:vAlign w:val="center"/>
            <w:tcMar>
              <w:top w:w="80" w:type="dxa"/>
              <w:start w:w="100" w:type="dxa"/>
              <w:bottom w:w="80" w:type="dxa"/>
              <w:end w:w="100" w:type="dxa"/>
            </w:tcMar>
          </w:tcPr>
          <w:p>
            <w:r>
              <w:rPr>
                <w:rFonts w:ascii="Aptos" w:hAnsi="Aptos"/>
                <w:b/>
                <w:color w:val="1F2937"/>
                <w:sz w:val="19"/>
              </w:rPr>
              <w:t>Monitoring</w:t>
            </w:r>
          </w:p>
        </w:tc>
        <w:tc>
          <w:tcPr>
            <w:tcW w:type="dxa" w:w="4968"/>
            <w:vAlign w:val="center"/>
            <w:tcMar>
              <w:top w:w="80" w:type="dxa"/>
              <w:start w:w="100" w:type="dxa"/>
              <w:bottom w:w="80" w:type="dxa"/>
              <w:end w:w="100" w:type="dxa"/>
            </w:tcMar>
          </w:tcPr>
          <w:p>
            <w:r>
              <w:rPr>
                <w:rFonts w:ascii="Aptos" w:hAnsi="Aptos"/>
                <w:b w:val="0"/>
                <w:color w:val="111827"/>
                <w:sz w:val="19"/>
              </w:rPr>
              <w:t>Activity must be logged to the system of record for the target environment or through the access broker/PAM tool.</w:t>
            </w:r>
          </w:p>
        </w:tc>
      </w:tr>
      <w:tr>
        <w:tc>
          <w:tcPr>
            <w:tcW w:type="dxa" w:w="4968"/>
            <w:vAlign w:val="center"/>
            <w:tcMar>
              <w:top w:w="80" w:type="dxa"/>
              <w:start w:w="100" w:type="dxa"/>
              <w:bottom w:w="80" w:type="dxa"/>
              <w:end w:w="100" w:type="dxa"/>
            </w:tcMar>
          </w:tcPr>
          <w:p>
            <w:r>
              <w:rPr>
                <w:rFonts w:ascii="Aptos" w:hAnsi="Aptos"/>
                <w:b/>
                <w:color w:val="1F2937"/>
                <w:sz w:val="19"/>
              </w:rPr>
              <w:t>Termination trigger</w:t>
            </w:r>
          </w:p>
        </w:tc>
        <w:tc>
          <w:tcPr>
            <w:tcW w:type="dxa" w:w="4968"/>
            <w:vAlign w:val="center"/>
            <w:tcMar>
              <w:top w:w="80" w:type="dxa"/>
              <w:start w:w="100" w:type="dxa"/>
              <w:bottom w:w="80" w:type="dxa"/>
              <w:end w:w="100" w:type="dxa"/>
            </w:tcMar>
          </w:tcPr>
          <w:p>
            <w:r>
              <w:rPr>
                <w:rFonts w:ascii="Aptos" w:hAnsi="Aptos"/>
                <w:b w:val="0"/>
                <w:color w:val="111827"/>
                <w:sz w:val="19"/>
              </w:rPr>
              <w:t>Access must be removed within one business day of contract end, task completion, or sponsor withdrawal.</w:t>
            </w:r>
          </w:p>
        </w:tc>
      </w:tr>
    </w:tbl>
    <w:p>
      <w:pPr>
        <w:spacing w:before="160" w:after="80" w:line="259" w:lineRule="auto"/>
      </w:pPr>
      <w:r>
        <w:rPr>
          <w:b/>
          <w:color w:val="0F3D56"/>
          <w:sz w:val="25"/>
        </w:rPr>
        <w:t>Standard Workflow</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0F3D56"/>
            <w:vAlign w:val="center"/>
            <w:tcMar>
              <w:top w:w="80" w:type="dxa"/>
              <w:start w:w="100" w:type="dxa"/>
              <w:bottom w:w="80" w:type="dxa"/>
              <w:end w:w="100" w:type="dxa"/>
            </w:tcMar>
          </w:tcPr>
          <w:p>
            <w:pPr>
              <w:jc w:val="center"/>
            </w:pPr>
            <w:r>
              <w:rPr>
                <w:rFonts w:ascii="Aptos" w:hAnsi="Aptos"/>
                <w:b/>
                <w:color w:val="FFFFFF"/>
                <w:sz w:val="20"/>
              </w:rPr>
              <w:t>Step</w:t>
            </w:r>
          </w:p>
        </w:tc>
        <w:tc>
          <w:tcPr>
            <w:tcW w:type="dxa" w:w="2484"/>
            <w:shd w:fill="0F3D56"/>
            <w:vAlign w:val="center"/>
            <w:tcMar>
              <w:top w:w="80" w:type="dxa"/>
              <w:start w:w="100" w:type="dxa"/>
              <w:bottom w:w="80" w:type="dxa"/>
              <w:end w:w="100" w:type="dxa"/>
            </w:tcMar>
          </w:tcPr>
          <w:p>
            <w:pPr>
              <w:jc w:val="center"/>
            </w:pPr>
            <w:r>
              <w:rPr>
                <w:rFonts w:ascii="Aptos" w:hAnsi="Aptos"/>
                <w:b/>
                <w:color w:val="FFFFFF"/>
                <w:sz w:val="20"/>
              </w:rPr>
              <w:t>Owner</w:t>
            </w:r>
          </w:p>
        </w:tc>
        <w:tc>
          <w:tcPr>
            <w:tcW w:type="dxa" w:w="2484"/>
            <w:shd w:fill="0F3D56"/>
            <w:vAlign w:val="center"/>
            <w:tcMar>
              <w:top w:w="80" w:type="dxa"/>
              <w:start w:w="100" w:type="dxa"/>
              <w:bottom w:w="80" w:type="dxa"/>
              <w:end w:w="100" w:type="dxa"/>
            </w:tcMar>
          </w:tcPr>
          <w:p>
            <w:pPr>
              <w:jc w:val="center"/>
            </w:pPr>
            <w:r>
              <w:rPr>
                <w:rFonts w:ascii="Aptos" w:hAnsi="Aptos"/>
                <w:b/>
                <w:color w:val="FFFFFF"/>
                <w:sz w:val="20"/>
              </w:rPr>
              <w:t>Required Evidence</w:t>
            </w:r>
          </w:p>
        </w:tc>
        <w:tc>
          <w:tcPr>
            <w:tcW w:type="dxa" w:w="2484"/>
            <w:shd w:fill="0F3D56"/>
            <w:vAlign w:val="center"/>
            <w:tcMar>
              <w:top w:w="80" w:type="dxa"/>
              <w:start w:w="100" w:type="dxa"/>
              <w:bottom w:w="80" w:type="dxa"/>
              <w:end w:w="100" w:type="dxa"/>
            </w:tcMar>
          </w:tcPr>
          <w:p>
            <w:pPr>
              <w:jc w:val="center"/>
            </w:pPr>
            <w:r>
              <w:rPr>
                <w:rFonts w:ascii="Aptos" w:hAnsi="Aptos"/>
                <w:b/>
                <w:color w:val="FFFFFF"/>
                <w:sz w:val="20"/>
              </w:rPr>
              <w:t>Target Time</w:t>
            </w:r>
          </w:p>
        </w:tc>
      </w:tr>
      <w:tr>
        <w:tc>
          <w:tcPr>
            <w:tcW w:type="dxa" w:w="2484"/>
            <w:vAlign w:val="center"/>
            <w:tcMar>
              <w:top w:w="80" w:type="dxa"/>
              <w:start w:w="100" w:type="dxa"/>
              <w:bottom w:w="80" w:type="dxa"/>
              <w:end w:w="100" w:type="dxa"/>
            </w:tcMar>
          </w:tcPr>
          <w:p>
            <w:r>
              <w:rPr>
                <w:rFonts w:ascii="Aptos" w:hAnsi="Aptos"/>
                <w:b w:val="0"/>
                <w:color w:val="111827"/>
                <w:sz w:val="19"/>
              </w:rPr>
              <w:t>Submit request</w:t>
            </w:r>
          </w:p>
        </w:tc>
        <w:tc>
          <w:tcPr>
            <w:tcW w:type="dxa" w:w="2484"/>
            <w:vAlign w:val="center"/>
            <w:tcMar>
              <w:top w:w="80" w:type="dxa"/>
              <w:start w:w="100" w:type="dxa"/>
              <w:bottom w:w="80" w:type="dxa"/>
              <w:end w:w="100" w:type="dxa"/>
            </w:tcMar>
          </w:tcPr>
          <w:p>
            <w:r>
              <w:rPr>
                <w:rFonts w:ascii="Aptos" w:hAnsi="Aptos"/>
                <w:b w:val="0"/>
                <w:color w:val="111827"/>
                <w:sz w:val="19"/>
              </w:rPr>
              <w:t>Business sponsor</w:t>
            </w:r>
          </w:p>
        </w:tc>
        <w:tc>
          <w:tcPr>
            <w:tcW w:type="dxa" w:w="2484"/>
            <w:vAlign w:val="center"/>
            <w:tcMar>
              <w:top w:w="80" w:type="dxa"/>
              <w:start w:w="100" w:type="dxa"/>
              <w:bottom w:w="80" w:type="dxa"/>
              <w:end w:w="100" w:type="dxa"/>
            </w:tcMar>
          </w:tcPr>
          <w:p>
            <w:r>
              <w:rPr>
                <w:rFonts w:ascii="Aptos" w:hAnsi="Aptos"/>
                <w:b w:val="0"/>
                <w:color w:val="111827"/>
                <w:sz w:val="19"/>
              </w:rPr>
              <w:t>Vendor name, individual assignee, purpose, systems requested, contract/ticket reference</w:t>
            </w:r>
          </w:p>
        </w:tc>
        <w:tc>
          <w:tcPr>
            <w:tcW w:type="dxa" w:w="2484"/>
            <w:vAlign w:val="center"/>
            <w:tcMar>
              <w:top w:w="80" w:type="dxa"/>
              <w:start w:w="100" w:type="dxa"/>
              <w:bottom w:w="80" w:type="dxa"/>
              <w:end w:w="100" w:type="dxa"/>
            </w:tcMar>
          </w:tcPr>
          <w:p>
            <w:pPr>
              <w:jc w:val="center"/>
            </w:pPr>
            <w:r>
              <w:rPr>
                <w:rFonts w:ascii="Aptos" w:hAnsi="Aptos"/>
                <w:b w:val="0"/>
                <w:color w:val="111827"/>
                <w:sz w:val="19"/>
              </w:rPr>
              <w:t>Same day</w:t>
            </w:r>
          </w:p>
        </w:tc>
      </w:tr>
      <w:tr>
        <w:tc>
          <w:tcPr>
            <w:tcW w:type="dxa" w:w="2484"/>
            <w:vAlign w:val="center"/>
            <w:tcMar>
              <w:top w:w="80" w:type="dxa"/>
              <w:start w:w="100" w:type="dxa"/>
              <w:bottom w:w="80" w:type="dxa"/>
              <w:end w:w="100" w:type="dxa"/>
            </w:tcMar>
          </w:tcPr>
          <w:p>
            <w:r>
              <w:rPr>
                <w:rFonts w:ascii="Aptos" w:hAnsi="Aptos"/>
                <w:b w:val="0"/>
                <w:color w:val="111827"/>
                <w:sz w:val="19"/>
              </w:rPr>
              <w:t>Risk and scope review</w:t>
            </w:r>
          </w:p>
        </w:tc>
        <w:tc>
          <w:tcPr>
            <w:tcW w:type="dxa" w:w="2484"/>
            <w:vAlign w:val="center"/>
            <w:tcMar>
              <w:top w:w="80" w:type="dxa"/>
              <w:start w:w="100" w:type="dxa"/>
              <w:bottom w:w="80" w:type="dxa"/>
              <w:end w:w="100" w:type="dxa"/>
            </w:tcMar>
          </w:tcPr>
          <w:p>
            <w:r>
              <w:rPr>
                <w:rFonts w:ascii="Aptos" w:hAnsi="Aptos"/>
                <w:b w:val="0"/>
                <w:color w:val="111827"/>
                <w:sz w:val="19"/>
              </w:rPr>
              <w:t>System owner + Security Governance</w:t>
            </w:r>
          </w:p>
        </w:tc>
        <w:tc>
          <w:tcPr>
            <w:tcW w:type="dxa" w:w="2484"/>
            <w:vAlign w:val="center"/>
            <w:tcMar>
              <w:top w:w="80" w:type="dxa"/>
              <w:start w:w="100" w:type="dxa"/>
              <w:bottom w:w="80" w:type="dxa"/>
              <w:end w:w="100" w:type="dxa"/>
            </w:tcMar>
          </w:tcPr>
          <w:p>
            <w:r>
              <w:rPr>
                <w:rFonts w:ascii="Aptos" w:hAnsi="Aptos"/>
                <w:b w:val="0"/>
                <w:color w:val="111827"/>
                <w:sz w:val="19"/>
              </w:rPr>
              <w:t>Requested role mapped to least-privilege profile; production justification if applicable</w:t>
            </w:r>
          </w:p>
        </w:tc>
        <w:tc>
          <w:tcPr>
            <w:tcW w:type="dxa" w:w="2484"/>
            <w:vAlign w:val="center"/>
            <w:tcMar>
              <w:top w:w="80" w:type="dxa"/>
              <w:start w:w="100" w:type="dxa"/>
              <w:bottom w:w="80" w:type="dxa"/>
              <w:end w:w="100" w:type="dxa"/>
            </w:tcMar>
          </w:tcPr>
          <w:p>
            <w:pPr>
              <w:jc w:val="center"/>
            </w:pPr>
            <w:r>
              <w:rPr>
                <w:rFonts w:ascii="Aptos" w:hAnsi="Aptos"/>
                <w:b w:val="0"/>
                <w:color w:val="111827"/>
                <w:sz w:val="19"/>
              </w:rPr>
              <w:t>1 business day</w:t>
            </w:r>
          </w:p>
        </w:tc>
      </w:tr>
      <w:tr>
        <w:tc>
          <w:tcPr>
            <w:tcW w:type="dxa" w:w="2484"/>
            <w:vAlign w:val="center"/>
            <w:tcMar>
              <w:top w:w="80" w:type="dxa"/>
              <w:start w:w="100" w:type="dxa"/>
              <w:bottom w:w="80" w:type="dxa"/>
              <w:end w:w="100" w:type="dxa"/>
            </w:tcMar>
          </w:tcPr>
          <w:p>
            <w:r>
              <w:rPr>
                <w:rFonts w:ascii="Aptos" w:hAnsi="Aptos"/>
                <w:b w:val="0"/>
                <w:color w:val="111827"/>
                <w:sz w:val="19"/>
              </w:rPr>
              <w:t>Provision and notify</w:t>
            </w:r>
          </w:p>
        </w:tc>
        <w:tc>
          <w:tcPr>
            <w:tcW w:type="dxa" w:w="2484"/>
            <w:vAlign w:val="center"/>
            <w:tcMar>
              <w:top w:w="80" w:type="dxa"/>
              <w:start w:w="100" w:type="dxa"/>
              <w:bottom w:w="80" w:type="dxa"/>
              <w:end w:w="100" w:type="dxa"/>
            </w:tcMar>
          </w:tcPr>
          <w:p>
            <w:r>
              <w:rPr>
                <w:rFonts w:ascii="Aptos" w:hAnsi="Aptos"/>
                <w:b w:val="0"/>
                <w:color w:val="111827"/>
                <w:sz w:val="19"/>
              </w:rPr>
              <w:t>IT Identity / platform admin</w:t>
            </w:r>
          </w:p>
        </w:tc>
        <w:tc>
          <w:tcPr>
            <w:tcW w:type="dxa" w:w="2484"/>
            <w:vAlign w:val="center"/>
            <w:tcMar>
              <w:top w:w="80" w:type="dxa"/>
              <w:start w:w="100" w:type="dxa"/>
              <w:bottom w:w="80" w:type="dxa"/>
              <w:end w:w="100" w:type="dxa"/>
            </w:tcMar>
          </w:tcPr>
          <w:p>
            <w:r>
              <w:rPr>
                <w:rFonts w:ascii="Aptos" w:hAnsi="Aptos"/>
                <w:b w:val="0"/>
                <w:color w:val="111827"/>
                <w:sz w:val="19"/>
              </w:rPr>
              <w:t>Account created with MFA, expiration, logging, and ticket linkage</w:t>
            </w:r>
          </w:p>
        </w:tc>
        <w:tc>
          <w:tcPr>
            <w:tcW w:type="dxa" w:w="2484"/>
            <w:vAlign w:val="center"/>
            <w:tcMar>
              <w:top w:w="80" w:type="dxa"/>
              <w:start w:w="100" w:type="dxa"/>
              <w:bottom w:w="80" w:type="dxa"/>
              <w:end w:w="100" w:type="dxa"/>
            </w:tcMar>
          </w:tcPr>
          <w:p>
            <w:pPr>
              <w:jc w:val="center"/>
            </w:pPr>
            <w:r>
              <w:rPr>
                <w:rFonts w:ascii="Aptos" w:hAnsi="Aptos"/>
                <w:b w:val="0"/>
                <w:color w:val="111827"/>
                <w:sz w:val="19"/>
              </w:rPr>
              <w:t>1 business day after approval</w:t>
            </w:r>
          </w:p>
        </w:tc>
      </w:tr>
      <w:tr>
        <w:tc>
          <w:tcPr>
            <w:tcW w:type="dxa" w:w="2484"/>
            <w:vAlign w:val="center"/>
            <w:tcMar>
              <w:top w:w="80" w:type="dxa"/>
              <w:start w:w="100" w:type="dxa"/>
              <w:bottom w:w="80" w:type="dxa"/>
              <w:end w:w="100" w:type="dxa"/>
            </w:tcMar>
          </w:tcPr>
          <w:p>
            <w:r>
              <w:rPr>
                <w:rFonts w:ascii="Aptos" w:hAnsi="Aptos"/>
                <w:b w:val="0"/>
                <w:color w:val="111827"/>
                <w:sz w:val="19"/>
              </w:rPr>
              <w:t>Review and remove</w:t>
            </w:r>
          </w:p>
        </w:tc>
        <w:tc>
          <w:tcPr>
            <w:tcW w:type="dxa" w:w="2484"/>
            <w:vAlign w:val="center"/>
            <w:tcMar>
              <w:top w:w="80" w:type="dxa"/>
              <w:start w:w="100" w:type="dxa"/>
              <w:bottom w:w="80" w:type="dxa"/>
              <w:end w:w="100" w:type="dxa"/>
            </w:tcMar>
          </w:tcPr>
          <w:p>
            <w:r>
              <w:rPr>
                <w:rFonts w:ascii="Aptos" w:hAnsi="Aptos"/>
                <w:b w:val="0"/>
                <w:color w:val="111827"/>
                <w:sz w:val="19"/>
              </w:rPr>
              <w:t>Sponsor + Security Governance</w:t>
            </w:r>
          </w:p>
        </w:tc>
        <w:tc>
          <w:tcPr>
            <w:tcW w:type="dxa" w:w="2484"/>
            <w:vAlign w:val="center"/>
            <w:tcMar>
              <w:top w:w="80" w:type="dxa"/>
              <w:start w:w="100" w:type="dxa"/>
              <w:bottom w:w="80" w:type="dxa"/>
              <w:end w:w="100" w:type="dxa"/>
            </w:tcMar>
          </w:tcPr>
          <w:p>
            <w:r>
              <w:rPr>
                <w:rFonts w:ascii="Aptos" w:hAnsi="Aptos"/>
                <w:b w:val="0"/>
                <w:color w:val="111827"/>
                <w:sz w:val="19"/>
              </w:rPr>
              <w:t>Quarterly attestation or immediate revocation at end of task</w:t>
            </w:r>
          </w:p>
        </w:tc>
        <w:tc>
          <w:tcPr>
            <w:tcW w:type="dxa" w:w="2484"/>
            <w:vAlign w:val="center"/>
            <w:tcMar>
              <w:top w:w="80" w:type="dxa"/>
              <w:start w:w="100" w:type="dxa"/>
              <w:bottom w:w="80" w:type="dxa"/>
              <w:end w:w="100" w:type="dxa"/>
            </w:tcMar>
          </w:tcPr>
          <w:p>
            <w:pPr>
              <w:jc w:val="center"/>
            </w:pPr>
            <w:r>
              <w:rPr>
                <w:rFonts w:ascii="Aptos" w:hAnsi="Aptos"/>
                <w:b w:val="0"/>
                <w:color w:val="111827"/>
                <w:sz w:val="19"/>
              </w:rPr>
              <w:t>Quarterly or event-driven</w:t>
            </w:r>
          </w:p>
        </w:tc>
      </w:tr>
    </w:tbl>
    <w:p>
      <w:pPr>
        <w:spacing w:before="160" w:after="80" w:line="259" w:lineRule="auto"/>
      </w:pPr>
      <w:r>
        <w:rPr>
          <w:b/>
          <w:color w:val="0F3D56"/>
          <w:sz w:val="25"/>
        </w:rPr>
        <w:t>Prohibited Practices</w:t>
      </w:r>
    </w:p>
    <w:p>
      <w:pPr>
        <w:pStyle w:val="ListBullet"/>
      </w:pPr>
      <w:r>
        <w:t>Using generic vendor accounts without a named assignee.</w:t>
      </w:r>
    </w:p>
    <w:p>
      <w:pPr>
        <w:pStyle w:val="ListBullet"/>
      </w:pPr>
      <w:r>
        <w:t>Granting production write access because a lower tier was not prepared in time.</w:t>
      </w:r>
    </w:p>
    <w:p>
      <w:pPr>
        <w:pStyle w:val="ListBullet"/>
      </w:pPr>
      <w:r>
        <w:t>Extending access by editing the expiration date without a documented sponsor re-approval.</w:t>
      </w:r>
    </w:p>
    <w:p>
      <w:pPr>
        <w:pStyle w:val="ListBullet"/>
      </w:pPr>
      <w:r>
        <w:t>Allowing vendors to authenticate through employee credentials or unmanaged personal email addresses.</w:t>
      </w:r>
    </w:p>
    <w:tbl>
      <w:tblPr>
        <w:tblStyle w:val="TableGrid"/>
        <w:tblW w:type="auto" w:w="0"/>
        <w:jc w:val="center"/>
        <w:tblLook w:firstColumn="1" w:firstRow="1" w:lastColumn="0" w:lastRow="0" w:noHBand="0" w:noVBand="1" w:val="04A0"/>
      </w:tblPr>
      <w:tblGrid>
        <w:gridCol w:w="9936"/>
      </w:tblGrid>
      <w:tr>
        <w:tc>
          <w:tcPr>
            <w:tcW w:type="dxa" w:w="9936"/>
            <w:shd w:fill="FDF3D7"/>
            <w:vAlign w:val="center"/>
            <w:tcMar>
              <w:top w:w="80" w:type="dxa"/>
              <w:start w:w="100" w:type="dxa"/>
              <w:bottom w:w="80" w:type="dxa"/>
              <w:end w:w="100" w:type="dxa"/>
            </w:tcMar>
          </w:tcPr>
          <w:p>
            <w:r>
              <w:rPr>
                <w:rFonts w:ascii="Aptos" w:hAnsi="Aptos"/>
                <w:b w:val="0"/>
                <w:color w:val="7C4A03"/>
                <w:sz w:val="20"/>
              </w:rPr>
              <w:t>Escalation rule: Any request for emergency elevated third-party access to production systems must be routed through Security Governance and the relevant system owner. If access is granted, a post-access review is required within one business day.</w:t>
            </w:r>
          </w:p>
        </w:tc>
      </w:tr>
    </w:tbl>
    <w:p>
      <w:pPr>
        <w:spacing w:before="160" w:after="80" w:line="259" w:lineRule="auto"/>
      </w:pPr>
      <w:r>
        <w:rPr>
          <w:b/>
          <w:color w:val="0F3D56"/>
          <w:sz w:val="25"/>
        </w:rPr>
        <w:t>Related Retrieval Terms</w:t>
      </w:r>
    </w:p>
    <w:p>
      <w:pPr>
        <w:spacing w:after="80" w:line="259" w:lineRule="auto"/>
      </w:pPr>
      <w:r>
        <w:t>third-party access approval, vendor onboarding, sponsor approval, time-bound access, least privilege, privileged vendor account, emergency production access, contractor MFA, external support access</w:t>
      </w:r>
    </w:p>
    <w:p>
      <w:pPr>
        <w:spacing w:before="160" w:after="80" w:line="259" w:lineRule="auto"/>
      </w:pPr>
      <w:r>
        <w:rPr>
          <w:b/>
          <w:color w:val="0F3D56"/>
          <w:sz w:val="25"/>
        </w:rPr>
        <w:t>Contact</w:t>
      </w:r>
    </w:p>
    <w:p>
      <w:pPr>
        <w:spacing w:after="80" w:line="259" w:lineRule="auto"/>
      </w:pPr>
      <w:r>
        <w:t>Questions about this standard should be routed to Security Governance. Access-review disputes should include the request ticket, vendor company, named assignee, system owner, and requested expiration date.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