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Continuous</w:t>
      </w:r>
      <w:r>
        <w:t xml:space="preserve"> </w:t>
      </w:r>
      <w:r>
        <w:t xml:space="preserve">Non-Invasive</w:t>
      </w:r>
      <w:r>
        <w:t xml:space="preserve"> </w:t>
      </w:r>
      <w:r>
        <w:t xml:space="preserve">Arterial</w:t>
      </w:r>
      <w:r>
        <w:t xml:space="preserve"> </w:t>
      </w:r>
      <w:r>
        <w:t xml:space="preserve">Pressure</w:t>
      </w:r>
      <w:r>
        <w:t xml:space="preserve"> </w:t>
      </w:r>
      <w:r>
        <w:t xml:space="preserve">Monitoring</w:t>
      </w:r>
      <w:r>
        <w:t xml:space="preserve"> </w:t>
      </w:r>
      <w:r>
        <w:t xml:space="preserve">Compared</w:t>
      </w:r>
      <w:r>
        <w:t xml:space="preserve"> </w:t>
      </w:r>
      <w:r>
        <w:t xml:space="preserve">with</w:t>
      </w:r>
      <w:r>
        <w:t xml:space="preserve"> </w:t>
      </w:r>
      <w:r>
        <w:t xml:space="preserve">Invasive</w:t>
      </w:r>
      <w:r>
        <w:t xml:space="preserve"> </w:t>
      </w:r>
      <w:r>
        <w:t xml:space="preserve">or</w:t>
      </w:r>
      <w:r>
        <w:t xml:space="preserve"> </w:t>
      </w:r>
      <w:r>
        <w:t xml:space="preserve">Non-Invasive</w:t>
      </w:r>
      <w:r>
        <w:t xml:space="preserve"> </w:t>
      </w:r>
      <w:r>
        <w:t xml:space="preserve">Blood</w:t>
      </w:r>
      <w:r>
        <w:t xml:space="preserve"> </w:t>
      </w:r>
      <w:r>
        <w:t xml:space="preserve">Pressure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Navpreet Kamboj MScN</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Kelly Metcalfe PhD</w:t>
      </w:r>
      <w:r>
        <w:rPr>
          <w:vertAlign w:val="superscript"/>
        </w:rPr>
        <w:t xml:space="preserve">2</w:t>
      </w:r>
      <w:r>
        <w:t xml:space="preserve">,</w:t>
      </w:r>
      <w:r>
        <w:t xml:space="preserve"> </w:t>
      </w:r>
      <w:r>
        <w:t xml:space="preserve">Charlene Chu PhD</w:t>
      </w:r>
      <w:r>
        <w:rPr>
          <w:vertAlign w:val="superscript"/>
        </w:rPr>
        <w:t xml:space="preserve">2</w:t>
      </w:r>
      <w:r>
        <w:t xml:space="preserve">,</w:t>
      </w:r>
      <w:r>
        <w:t xml:space="preserve"> </w:t>
      </w:r>
      <w:r>
        <w:t xml:space="preserve">and</w:t>
      </w:r>
      <w:r>
        <w:t xml:space="preserve"> </w:t>
      </w: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p>
    <w:p>
      <w:r>
        <w:br w:type="page"/>
      </w:r>
    </w:p>
    <w:p>
      <w:pPr>
        <w:pStyle w:val="Heading3"/>
      </w:pPr>
      <w:bookmarkStart w:id="20" w:name="abstract"/>
      <w:r>
        <w:t xml:space="preserve">Abstract</w:t>
      </w:r>
      <w:bookmarkEnd w:id="20"/>
    </w:p>
    <w:p>
      <w:pPr>
        <w:pStyle w:val="FirstParagraph"/>
      </w:pPr>
      <w:r>
        <w:rPr>
          <w:b/>
        </w:rPr>
        <w:t xml:space="preserve">Purpose</w:t>
      </w:r>
    </w:p>
    <w:p>
      <w:pPr>
        <w:pStyle w:val="BodyText"/>
      </w:pPr>
      <w:r>
        <w:t xml:space="preserve">Zero-heat-flux thermometers provide clinicians with the ability to continuously and non-invasively monitor body temperature. These devices are increasingly being used to substitute for more invasive core temperature measurements during surgery and in critical care. The aim of this review was to determine the accuracy and precision of zero-heat-flux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was performed independently using the Revised Quality Assessment of Diagnostic Accuracy Studies tool (QUADAS-2). The Grading of Recommendations, Assessment, Development and Evaluations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The primary meta-analysis of zero-heat-flux versus core temperature consisted of 6 comparisons from 6 individual studies. Data from 178 participants with 47,171 paired measurements were included. The pooled estimate for the mean bias was -0.93°C. Population limits of agreement, which take into consideration the between-study heterogeneity and sampling error, were wide, spanning from -183.34°C to 181.47°C.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a thermometer should be taken into account when using this device to inform clinical decision-making. Clinicians should therefore consider the potential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could be as much as 1°C higher or lower than core temperature. Use of this device may not be appropriate in situations where a difference in temperature of less than 1°C is important to detect.</w:t>
      </w:r>
    </w:p>
    <w:p>
      <w:pPr>
        <w:pStyle w:val="BodyText"/>
      </w:pPr>
      <w:r>
        <w:t xml:space="preserve">Clinical trial number: Not applicable</w:t>
      </w:r>
    </w:p>
    <w:p>
      <w:pPr>
        <w:pStyle w:val="BodyText"/>
      </w:pPr>
      <w:r>
        <w:t xml:space="preserve">Keywords: measurement, surgery, anesthesia</w:t>
      </w:r>
    </w:p>
    <w:p>
      <w:r>
        <w:br w:type="page"/>
      </w:r>
    </w:p>
    <w:p>
      <w:pPr>
        <w:pStyle w:val="Heading2"/>
      </w:pPr>
      <w:bookmarkStart w:id="21" w:name="declarations"/>
      <w:r>
        <w:t xml:space="preserve">Declarations</w:t>
      </w:r>
      <w:bookmarkEnd w:id="21"/>
    </w:p>
    <w:p>
      <w:pPr>
        <w:pStyle w:val="FirstParagraph"/>
      </w:pPr>
      <w:r>
        <w:t xml:space="preserve">Availability of data and material (data transparency): All data used in the meta-analyses is available</w:t>
      </w:r>
      <w:r>
        <w:t xml:space="preserve"> </w:t>
      </w:r>
      <w:hyperlink r:id="rId22">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Abbreviated title:</w:t>
      </w:r>
    </w:p>
    <w:p>
      <w:pPr>
        <w:pStyle w:val="BodyText"/>
      </w:pPr>
      <w:r>
        <w:t xml:space="preserve">Funding statement:</w:t>
      </w:r>
    </w:p>
    <w:p>
      <w:pPr>
        <w:pStyle w:val="BodyText"/>
      </w:pPr>
      <w:r>
        <w:t xml:space="preserve">Conflicts of interest: The authors declare no competing interests.</w:t>
      </w:r>
    </w:p>
    <w:p>
      <w:pPr>
        <w:pStyle w:val="BodyText"/>
      </w:pPr>
      <w:r>
        <w:t xml:space="preserve">Author contributions:</w:t>
      </w:r>
      <w:r>
        <w:t xml:space="preserve"> </w:t>
      </w:r>
      <w:r>
        <w:t xml:space="preserve">NK: Study design, analysis, wrote manuscript; AC: Study design, revised the manuscript for important intellectual content; KC: Study design, revised the manuscript for important intellectual content; KM: Study design, revised the manuscript for important intellectual content; CC: Study design, revised the manuscript for important intellectual content.</w:t>
      </w:r>
    </w:p>
    <w:p>
      <w:pPr>
        <w:pStyle w:val="BodyText"/>
      </w:pPr>
      <w:r>
        <w:rPr>
          <w:b/>
        </w:rPr>
        <w:t xml:space="preserve">Glossary of terms:</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4" w:name="introduction"/>
      <w:r>
        <w:t xml:space="preserve">Introduction</w:t>
      </w:r>
      <w:bookmarkEnd w:id="24"/>
    </w:p>
    <w:p>
      <w:r>
        <w:br w:type="page"/>
      </w:r>
    </w:p>
    <w:p>
      <w:pPr>
        <w:pStyle w:val="Heading2"/>
      </w:pPr>
      <w:bookmarkStart w:id="25" w:name="methods"/>
      <w:r>
        <w:t xml:space="preserve">Methods</w:t>
      </w:r>
      <w:bookmarkEnd w:id="25"/>
    </w:p>
    <w:p>
      <w:pPr>
        <w:pStyle w:val="FirstParagraph"/>
      </w:pPr>
      <w:r>
        <w:t xml:space="preserve">A systematic review was conducted. The primary comparison for this review was zero-heat-flux temperature measured using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versus temperature measured from a core site, which we defined as temperature measured at either an arterial, esophageal, bladder, rectal, nasopharyngeal or oropharyngeal site.</w:t>
      </w:r>
    </w:p>
    <w:p>
      <w:pPr>
        <w:pStyle w:val="Heading3"/>
      </w:pPr>
      <w:bookmarkStart w:id="26" w:name="inclusion-criteria"/>
      <w:r>
        <w:t xml:space="preserve">Inclusion criteria</w:t>
      </w:r>
      <w:bookmarkEnd w:id="26"/>
    </w:p>
    <w:p>
      <w:pPr>
        <w:pStyle w:val="FirstParagraph"/>
      </w:pPr>
      <w:r>
        <w:t xml:space="preserve">Observational studies that reported temperature measurements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7" w:name="data-sources-and-searches"/>
      <w:r>
        <w:t xml:space="preserve">Data sources and searches</w:t>
      </w:r>
      <w:bookmarkEnd w:id="27"/>
    </w:p>
    <w:p>
      <w:pPr>
        <w:pStyle w:val="FirstParagraph"/>
      </w:pPr>
      <w:r>
        <w:t xml:space="preserve">Published studies were found by searching Medline and EMBASE to January 2020.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t xml:space="preserve">[1]</w:t>
      </w:r>
      <w:r>
        <w:t xml:space="preserve"> </w:t>
      </w:r>
      <w:r>
        <w:t xml:space="preserve">This search strategy is an efficient approach for systematic reviews of diagnostic test accuracy studies.</w:t>
      </w:r>
      <w:r>
        <w:t xml:space="preserve">[2]</w:t>
      </w:r>
      <w:r>
        <w:t xml:space="preserve"> </w:t>
      </w:r>
      <w:r>
        <w:t xml:space="preserve">We also conducted forward citation searching, by using Google Scholar to search the citations of the first article published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r>
        <w:t xml:space="preserve">[3]</w:t>
      </w:r>
      <w:r>
        <w:t xml:space="preserve"> </w:t>
      </w:r>
      <w:r>
        <w:t xml:space="preserve">The search strategies used for each database are available in the appendix. Selection of studies was undertaken independently by two reviewers.</w:t>
      </w:r>
    </w:p>
    <w:p>
      <w:pPr>
        <w:pStyle w:val="Heading3"/>
      </w:pPr>
      <w:bookmarkStart w:id="28" w:name="data-extraction-and-quality-assessment"/>
      <w:r>
        <w:t xml:space="preserve">Data extraction and quality assessment</w:t>
      </w:r>
      <w:bookmarkEnd w:id="28"/>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[4]</w:t>
      </w:r>
    </w:p>
    <w:p>
      <w:pPr>
        <w:pStyle w:val="BodyText"/>
      </w:pPr>
      <w:r>
        <w:t xml:space="preserve">Two reviewers independently assessed the risk of bias for the included studies using the revised Quality Assessment of Diagnostic Accuracy Studies (QUADAS-2).</w:t>
      </w:r>
      <w:r>
        <w:t xml:space="preserve">[5]</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t xml:space="preserve">[6]</w:t>
      </w:r>
      <w:r>
        <w:t xml:space="preserve"> </w:t>
      </w:r>
      <w:r>
        <w:t xml:space="preserve">Statistical approaches for detection of reporting bias were not conducted due to lack of validated methods.</w:t>
      </w:r>
      <w:r>
        <w:t xml:space="preserve">[7]</w:t>
      </w:r>
      <w:r>
        <w:t xml:space="preserve"> </w:t>
      </w:r>
      <w:r>
        <w:t xml:space="preserve">Simulations have revealed that tests for detecting funnel plot asymmetry will result in publication bias being incorrectly identified too often.</w:t>
      </w:r>
      <w:r>
        <w:t xml:space="preserve">[8]</w:t>
      </w:r>
    </w:p>
    <w:p>
      <w:pPr>
        <w:pStyle w:val="BodyText"/>
      </w:pPr>
      <w:r>
        <w:t xml:space="preserve">In order to rate the quality of evidence, we applied the Grading Quality of Evidence and Strength of Recommendation methodology.</w:t>
      </w:r>
      <w:r>
        <w:t xml:space="preserve">[9]</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29" w:name="data-synthesis-and-analysis"/>
      <w:r>
        <w:t xml:space="preserve">Data synthesis and analysis</w:t>
      </w:r>
      <w:bookmarkEnd w:id="29"/>
    </w:p>
    <w:p>
      <w:pPr>
        <w:pStyle w:val="FirstParagraph"/>
      </w:pPr>
      <w:r>
        <w:t xml:space="preserve">The objective for the meta-analysis was to estimate the population limits of agreement between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established comparator thermometers. A framework for meta-analysis of Bland-Altman method comparison studies based on limits of agreement approach was used.</w:t>
      </w:r>
      <w:r>
        <w:t xml:space="preserve">[10]</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t xml:space="preserve">[10]</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t xml:space="preserve">[11–13]</w:t>
      </w:r>
      <w:r>
        <w:t xml:space="preserve"> </w:t>
      </w:r>
      <w:r>
        <w:t xml:space="preserve">We used the method-of-moments estimator from DerSimonian &amp; Laird</w:t>
      </w:r>
      <w:r>
        <w:t xml:space="preserve"> </w:t>
      </w:r>
      <w:r>
        <w:t xml:space="preserve">[14]</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t xml:space="preserve">[15]</w:t>
      </w:r>
      <w:r>
        <w:t xml:space="preserve"> </w:t>
      </w:r>
      <w:r>
        <w:t xml:space="preserve">All data and R code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comparator thermometer temperature measurement minus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measurement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w:t>
      </w:r>
      <w:r>
        <w:t xml:space="preserve">[16–19]</w:t>
      </w:r>
      <w:r>
        <w:t xml:space="preserve"> </w:t>
      </w:r>
      <w:r>
        <w:t xml:space="preserve">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w:t>
      </w:r>
      <w:r>
        <w:t xml:space="preserve">[19–22]</w:t>
      </w:r>
      <w:r>
        <w:t xml:space="preserve"> </w:t>
      </w:r>
      <w:r>
        <w:t xml:space="preserve">One study used both nasopharyngeal and oropharyngeal temperature as comparators.</w:t>
      </w:r>
      <w:r>
        <w:t xml:space="preserve">[20]</w:t>
      </w:r>
      <w:r>
        <w:t xml:space="preserve"> </w:t>
      </w:r>
      <w:r>
        <w:t xml:space="preserve">Both combined and separate estimates were reported. We used the combined estimate in our primary analysis and the estimate for just the nasopharyngeal temperatures in a subgroup analysis. One study reported intraoperative, postoperative and overall results for the same participants</w:t>
      </w:r>
      <w:r>
        <w:t xml:space="preserve">[3]</w:t>
      </w:r>
      <w:r>
        <w:t xml:space="preserve">. Only the paired measurements from the overall results were included in the main and low risk bias analyses, leaving paired measurements exclusively from the intraoperative and postoperative timepoints to be included in respective meta-analyses subgroups.</w:t>
      </w:r>
      <w:r>
        <w:t xml:space="preserve"> </w:t>
      </w:r>
      <w:r>
        <w:t xml:space="preserve">The conventionally cited clinically acceptable agreement between zero-heat-flux and comparator devices is 0.5°C.</w:t>
      </w:r>
      <w:r>
        <w:t xml:space="preserve">[3]</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Probe insertion distance for temperature measurements from the nasopharynx and oropharynx may impact accuracy.</w:t>
      </w:r>
      <w:r>
        <w:t xml:space="preserve">[23]</w:t>
      </w:r>
      <w:r>
        <w:t xml:space="preserve"> </w:t>
      </w:r>
      <w:r>
        <w:t xml:space="preserve">For this reason, we also conducted a separate analysis excuding these comparators and an analysis of the studies that compared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with nasopharyngeal temperature.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30" w:name="results"/>
      <w:r>
        <w:t xml:space="preserve">Results</w:t>
      </w:r>
      <w:bookmarkEnd w:id="30"/>
    </w:p>
    <w:p>
      <w:pPr>
        <w:pStyle w:val="Heading3"/>
      </w:pPr>
      <w:bookmarkStart w:id="31" w:name="study-selection-and-description"/>
      <w:r>
        <w:t xml:space="preserve">Study selection and description</w:t>
      </w:r>
      <w:bookmarkEnd w:id="31"/>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r>
        <w:t xml:space="preserve">[24, 25]</w:t>
      </w:r>
    </w:p>
    <w:p>
      <w:r>
        <w:br w:type="page"/>
      </w:r>
    </w:p>
    <w:p>
      <w:pPr>
        <w:pStyle w:val="Heading2"/>
      </w:pPr>
      <w:bookmarkStart w:id="32" w:name="discussion"/>
      <w:r>
        <w:t xml:space="preserve">Discussion</w:t>
      </w:r>
      <w:bookmarkEnd w:id="32"/>
    </w:p>
    <w:p>
      <w:pPr>
        <w:pStyle w:val="FirstParagraph"/>
      </w:pPr>
      <w:r>
        <w:t xml:space="preserve">This systematic review showed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could be as much as about 1°C higher or lower than core temperature. These results may have important implications for practice. It was reassuring that results of our sensitivity analysis restricted to studies assessed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 place of a core thermometer.</w:t>
      </w:r>
    </w:p>
    <w:p>
      <w:pPr>
        <w:pStyle w:val="BodyText"/>
      </w:pPr>
      <w:r>
        <w:t xml:space="preserve">Our estimates of the accuracy of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are similar to results from a previous meta-analysis that compared other peripheral thermometers, such as sublingual and temporal artery devices, with core temperature measurements.</w:t>
      </w:r>
      <w:r>
        <w:t xml:space="preserve">[26]</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has been evaluated in various intraoperative contexts as well as in the intensive care unit setting. Our subgroup analyses did not indicate that the accuracy of this temperature monitoring device was any more effective in a particular setting and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in this setting, where continuous temperature monitoring is often required. Also of note, only two studies included in our systematic review included pediatric patients. Additional studies to evaluate the accuracy of this device in children may be warranted to increase confidence.</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w:t>
      </w:r>
      <w:r>
        <w:t xml:space="preserve">[27]</w:t>
      </w:r>
      <w:r>
        <w:t xml:space="preserve"> </w:t>
      </w:r>
      <w:r>
        <w:t xml:space="preserve">Likewise, studies that evaluated the Dräger Tcore device were not included because this review focused specifically on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t xml:space="preserve">[10]</w:t>
      </w:r>
    </w:p>
    <w:p>
      <w:pPr>
        <w:pStyle w:val="Heading3"/>
      </w:pPr>
      <w:bookmarkStart w:id="33" w:name="limitations"/>
      <w:r>
        <w:t xml:space="preserve">Limitations</w:t>
      </w:r>
      <w:bookmarkEnd w:id="33"/>
    </w:p>
    <w:p>
      <w:pPr>
        <w:pStyle w:val="FirstParagraph"/>
      </w:pPr>
      <w:r>
        <w:t xml:space="preserve">We did not extract data on adverse events due to temperature monitoring with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The possibility of publication bias cannot be ruled out, although the evidence suggests this may not be as serious of a problem for studies that are not randomized controlled trials.</w:t>
      </w:r>
      <w:r>
        <w:t xml:space="preserve">[7]</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 For example,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permits use of the same temperature monitoring device to be used throughout the whole perioperative care pathway. As such, replacing indirect estimates of core temperature, such as infrared tympanic and temporal devices, may be an advantage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Indirect estimates of core temperature are not recommended for use in surgical patients, yet are commonly used because of convenience.</w:t>
      </w:r>
      <w:r>
        <w:t xml:space="preserve">[28]</w:t>
      </w:r>
    </w:p>
    <w:p>
      <w:pPr>
        <w:pStyle w:val="BodyText"/>
      </w:pPr>
      <w:r>
        <w:t xml:space="preserve">Finally, our initial protocol was focused on the accuracy of zero-heat-flux temperature measurements in general, not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specifically. A decision was made after data extraction and analysis was conducted to revise our inclustion criteria and include only studies that reported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for this particular report. This decision was made because of the potential that differences in the technology integrated into zero-heat-flux devices produced by different manufacturers (i.e.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the Dräger Tcore) will influence estimates about the accuracy of zero-heat-flux devices overall. Although revising the inclusion criteria must be considered a limitation, this decision permitted a more targeted evaluation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easier interpretation of results.</w:t>
      </w:r>
    </w:p>
    <w:p>
      <w:pPr>
        <w:pStyle w:val="Heading2"/>
      </w:pPr>
      <w:bookmarkStart w:id="34" w:name="conclusion"/>
      <w:r>
        <w:t xml:space="preserve">Conclusion</w:t>
      </w:r>
      <w:bookmarkEnd w:id="34"/>
    </w:p>
    <w:p>
      <w:pPr>
        <w:pStyle w:val="FirstParagraph"/>
      </w:pPr>
      <w:r>
        <w:t xml:space="preserve">Substantial differences between temperature measurements from core and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35" w:name="references"/>
      <w:r>
        <w:t xml:space="preserve">References</w:t>
      </w:r>
      <w:bookmarkEnd w:id="35"/>
    </w:p>
    <w:bookmarkStart w:id="72" w:name="refs"/>
    <w:bookmarkStart w:id="36" w:name="ref-mann2012should"/>
    <w:p>
      <w:pPr>
        <w:pStyle w:val="Bibliography"/>
      </w:pPr>
      <w:r>
        <w:t xml:space="preserve">1. Mann R, Gilbody SM (2012) Should methodological filters for diagnostic test accuracy studies be used in systematic reviews of psychometric instruments? A case study involving screening for postnatal depression. Systematic Reviews 1:9</w:t>
      </w:r>
    </w:p>
    <w:bookmarkEnd w:id="36"/>
    <w:bookmarkStart w:id="37" w:name="ref-preston2015improving"/>
    <w:p>
      <w:pPr>
        <w:pStyle w:val="Bibliography"/>
      </w:pPr>
      <w:r>
        <w:t xml:space="preserve">2. Preston L, Carroll C, Gardois P, et al (2015) Improving search efficiency for systematic reviews of diagnostic test accuracy: An exploratory study to assess the viability of limiting to medline, embase and reference checking. Systematic Reviews 4:82</w:t>
      </w:r>
    </w:p>
    <w:bookmarkEnd w:id="37"/>
    <w:bookmarkStart w:id="38" w:name="ref-eshraghi2014"/>
    <w:p>
      <w:pPr>
        <w:pStyle w:val="Bibliography"/>
      </w:pPr>
      <w:r>
        <w:t xml:space="preserve">3. Eshraghi Y, Nasr V, Parra-Sanchez I, et al (2014) An evaluation of a zero-heat-flux cutaneous thermometer in cardiac surgical patients. Anesthesia &amp; Analgesia 119:543–549</w:t>
      </w:r>
    </w:p>
    <w:bookmarkEnd w:id="38"/>
    <w:bookmarkStart w:id="40" w:name="ref-myles2007using"/>
    <w:p>
      <w:pPr>
        <w:pStyle w:val="Bibliography"/>
      </w:pPr>
      <w:r>
        <w:t xml:space="preserve">4. Myles PS, Cui J (2007) I. Using the bland–altman method to measure agreement with repeated measures. BJA: British Journal of Anaesthesia 99:309–311.</w:t>
      </w:r>
      <w:r>
        <w:t xml:space="preserve"> </w:t>
      </w:r>
      <w:hyperlink r:id="rId39">
        <w:r>
          <w:rPr>
            <w:rStyle w:val="Hyperlink"/>
          </w:rPr>
          <w:t xml:space="preserve">https://doi.org/10.1093/bja/aem214</w:t>
        </w:r>
      </w:hyperlink>
    </w:p>
    <w:bookmarkEnd w:id="40"/>
    <w:bookmarkStart w:id="41" w:name="ref-whiting2011quadas"/>
    <w:p>
      <w:pPr>
        <w:pStyle w:val="Bibliography"/>
      </w:pPr>
      <w:r>
        <w:t xml:space="preserve">5. Whiting PF, Rutjes AW, Westwood ME, et al (2011) QUADAS-2: A revised tool for the quality assessment of diagnostic accuracy studies. Annals of Internal Medicine 155:529–536</w:t>
      </w:r>
    </w:p>
    <w:bookmarkEnd w:id="41"/>
    <w:bookmarkStart w:id="42" w:name="ref-glasziou2001systematic"/>
    <w:p>
      <w:pPr>
        <w:pStyle w:val="Bibliography"/>
      </w:pPr>
      <w:r>
        <w:t xml:space="preserve">6. Glasziou P, Irwig L, Bain C, Colditz G (2001) Systematic reviews in health care: A practical guide. Cambridge:Cambridge University Press</w:t>
      </w:r>
    </w:p>
    <w:bookmarkEnd w:id="42"/>
    <w:bookmarkStart w:id="43" w:name="ref-begg2005systematic"/>
    <w:p>
      <w:pPr>
        <w:pStyle w:val="Bibliography"/>
      </w:pPr>
      <w:r>
        <w:t xml:space="preserve">7. Begg CB (2005) Systematic reviews of diagnostic accuracy studies require study by study examination: First for heterogeneity, and then for sources of heterogeneity. Journal of Clinical Epidemiology 58:865</w:t>
      </w:r>
    </w:p>
    <w:bookmarkEnd w:id="43"/>
    <w:bookmarkStart w:id="44" w:name="ref-deeks2005performance"/>
    <w:p>
      <w:pPr>
        <w:pStyle w:val="Bibliography"/>
      </w:pPr>
      <w:r>
        <w:t xml:space="preserve">8. Deeks JJ, Macaskill P, Irwig L (2005) The performance of tests of publication bias and other sample size effects in systematic reviews of diagnostic test accuracy was assessed. Journal of Clinical Epidemiology 58:882–893</w:t>
      </w:r>
    </w:p>
    <w:bookmarkEnd w:id="44"/>
    <w:bookmarkStart w:id="45" w:name="ref-schunemann2008grading"/>
    <w:p>
      <w:pPr>
        <w:pStyle w:val="Bibliography"/>
      </w:pPr>
      <w:r>
        <w:t xml:space="preserve">9. Schünemann HJ, Oxman AD, Brozek J, et al (2008) Grading quality of evidence and strength of recommendations for diagnostic tests and strategies. BMJ 336:1106–1110</w:t>
      </w:r>
    </w:p>
    <w:bookmarkEnd w:id="45"/>
    <w:bookmarkStart w:id="46" w:name="ref-tipton2017framework"/>
    <w:p>
      <w:pPr>
        <w:pStyle w:val="Bibliography"/>
      </w:pPr>
      <w:r>
        <w:t xml:space="preserve">10. Tipton E, Shuster J (2017) A framework for the meta-analysis of bland–altman studies based on a limits of agreement approach. Statistics in Medicine 36:3621–3635</w:t>
      </w:r>
    </w:p>
    <w:bookmarkEnd w:id="46"/>
    <w:bookmarkStart w:id="47" w:name="ref-hedges2010robust"/>
    <w:p>
      <w:pPr>
        <w:pStyle w:val="Bibliography"/>
      </w:pPr>
      <w:r>
        <w:t xml:space="preserve">11. Hedges LV, Tipton E, Johnson MC (2010) Robust variance estimation in meta-regression with dependent effect size estimates. Research Synthesis Methods 1:39–65</w:t>
      </w:r>
    </w:p>
    <w:bookmarkEnd w:id="47"/>
    <w:bookmarkStart w:id="48" w:name="ref-tanner2016handling"/>
    <w:p>
      <w:pPr>
        <w:pStyle w:val="Bibliography"/>
      </w:pPr>
      <w:r>
        <w:t xml:space="preserve">12. Tanner-Smith EE, Tipton E, Polanin JR (2016) Handling complex meta-analytic data structures using robust variance estimates: A tutorial in r. Journal of Developmental and Life-Course Criminology 2:85–112</w:t>
      </w:r>
    </w:p>
    <w:bookmarkEnd w:id="48"/>
    <w:bookmarkStart w:id="49" w:name="ref-tipton2015small"/>
    <w:p>
      <w:pPr>
        <w:pStyle w:val="Bibliography"/>
      </w:pPr>
      <w:r>
        <w:t xml:space="preserve">13. Tipton E (2015) Small sample adjustments for robust variance estimation with meta-regression. Psychological Methods 20:375</w:t>
      </w:r>
    </w:p>
    <w:bookmarkEnd w:id="49"/>
    <w:bookmarkStart w:id="50" w:name="ref-dersimonian1986meta"/>
    <w:p>
      <w:pPr>
        <w:pStyle w:val="Bibliography"/>
      </w:pPr>
      <w:r>
        <w:t xml:space="preserve">14. DerSimonian R, Laird N (1986) Meta-analysis in clinical trials. Controlled Clinical Trials 7:177–188</w:t>
      </w:r>
    </w:p>
    <w:bookmarkEnd w:id="50"/>
    <w:bookmarkStart w:id="51" w:name="ref-R2018"/>
    <w:p>
      <w:pPr>
        <w:pStyle w:val="Bibliography"/>
      </w:pPr>
      <w:r>
        <w:t xml:space="preserve">15. R Core Team (2018) R: A language and environment for statistical computing. R Foundation for Statistical Computing, Vienna, Austria</w:t>
      </w:r>
    </w:p>
    <w:bookmarkEnd w:id="51"/>
    <w:bookmarkStart w:id="52" w:name="ref-Boisson_2018"/>
    <w:p>
      <w:pPr>
        <w:pStyle w:val="Bibliography"/>
      </w:pPr>
      <w:r>
        <w:t xml:space="preserve">16. Boisson M, Alaux A, Kerforne T, et al (2018) Intra-operative cutaneous temperature monitoring with zero-heat-flux technique (3M spoton) in comparison with oesophageal and arterial temperature: A prospective observational study. European Journal of Anaesthesiology (EJA) 35:825–830</w:t>
      </w:r>
    </w:p>
    <w:bookmarkEnd w:id="52"/>
    <w:bookmarkStart w:id="54" w:name="ref-Dahyot_Fizelier_2017"/>
    <w:p>
      <w:pPr>
        <w:pStyle w:val="Bibliography"/>
      </w:pPr>
      <w:r>
        <w:t xml:space="preserve">17. Dahyot-Fizelier C, Lamarche S, Kerforne T, et al (2017) Accuracy of zero-heat-flux cutaneous temperature in intensive care adults. Critical Care Medicine 45:e715–e717.</w:t>
      </w:r>
      <w:r>
        <w:t xml:space="preserve"> </w:t>
      </w:r>
      <w:hyperlink r:id="rId53">
        <w:r>
          <w:rPr>
            <w:rStyle w:val="Hyperlink"/>
          </w:rPr>
          <w:t xml:space="preserve">https://doi.org/10.1097/ccm.0000000000002317</w:t>
        </w:r>
      </w:hyperlink>
    </w:p>
    <w:bookmarkEnd w:id="54"/>
    <w:bookmarkStart w:id="56" w:name="ref-Schell_Chaple_2018"/>
    <w:p>
      <w:pPr>
        <w:pStyle w:val="Bibliography"/>
      </w:pPr>
      <w:r>
        <w:t xml:space="preserve">18. Schell-Chaple HM, Liu KD, Matthay MA, Puntillo KA (2018) Rectal and bladder temperatures vs forehead core temperatures measured with SpotOn monitoring system. American Journal of Critical Care 27:43–50.</w:t>
      </w:r>
      <w:r>
        <w:t xml:space="preserve"> </w:t>
      </w:r>
      <w:hyperlink r:id="rId55">
        <w:r>
          <w:rPr>
            <w:rStyle w:val="Hyperlink"/>
          </w:rPr>
          <w:t xml:space="preserve">https://doi.org/10.4037/ajcc2018865</w:t>
        </w:r>
      </w:hyperlink>
    </w:p>
    <w:bookmarkEnd w:id="56"/>
    <w:bookmarkStart w:id="58" w:name="ref-M_kinen_2016"/>
    <w:p>
      <w:pPr>
        <w:pStyle w:val="Bibliography"/>
      </w:pPr>
      <w:r>
        <w:t xml:space="preserve">19. Mäkinen M-T, Pesonen A, Jousela I, et al (2016) Novel zero-heat-flux deep body temperature measurement in lower extremity vascular and cardiac surgery. Journal of Cardiothoracic and Vascular Anesthesia 30:973–978.</w:t>
      </w:r>
      <w:r>
        <w:t xml:space="preserve"> </w:t>
      </w:r>
      <w:hyperlink r:id="rId57">
        <w:r>
          <w:rPr>
            <w:rStyle w:val="Hyperlink"/>
          </w:rPr>
          <w:t xml:space="preserve">https://doi.org/10.1053/j.jvca.2016.03.141</w:t>
        </w:r>
      </w:hyperlink>
    </w:p>
    <w:bookmarkEnd w:id="58"/>
    <w:bookmarkStart w:id="60" w:name="ref-West_2019"/>
    <w:p>
      <w:pPr>
        <w:pStyle w:val="Bibliography"/>
      </w:pPr>
      <w:r>
        <w:t xml:space="preserve">20. West N, Cooke E, Morse D, et al (2019) Zero-heat-flux core temperature monitoring system: An observational secondary analysis to evaluate agreement with naso-/oropharyngeal probe during anesthesia. Journal of Clinical Monitoring and Computing.</w:t>
      </w:r>
      <w:r>
        <w:t xml:space="preserve"> </w:t>
      </w:r>
      <w:hyperlink r:id="rId59">
        <w:r>
          <w:rPr>
            <w:rStyle w:val="Hyperlink"/>
          </w:rPr>
          <w:t xml:space="preserve">https://doi.org/10.1007/s10877-019-00411-y</w:t>
        </w:r>
      </w:hyperlink>
    </w:p>
    <w:bookmarkEnd w:id="60"/>
    <w:bookmarkStart w:id="62" w:name="ref-Pesonen_2018"/>
    <w:p>
      <w:pPr>
        <w:pStyle w:val="Bibliography"/>
      </w:pPr>
      <w:r>
        <w:t xml:space="preserve">21. Pesonen E, Silvasti-Lundell M, Niemi TT, et al (2018) The focus of temperature monitoring with zero-heat-flux technology (3M bair-hugger): A clinical study with patients undergoing craniotomy. Journal of Clinical Monitoring and Computing 33:917–923.</w:t>
      </w:r>
      <w:r>
        <w:t xml:space="preserve"> </w:t>
      </w:r>
      <w:hyperlink r:id="rId61">
        <w:r>
          <w:rPr>
            <w:rStyle w:val="Hyperlink"/>
          </w:rPr>
          <w:t xml:space="preserve">https://doi.org/10.1007/s10877-018-0227-z</w:t>
        </w:r>
      </w:hyperlink>
    </w:p>
    <w:bookmarkEnd w:id="62"/>
    <w:bookmarkStart w:id="64" w:name="ref-Iden_2015"/>
    <w:p>
      <w:pPr>
        <w:pStyle w:val="Bibliography"/>
      </w:pPr>
      <w:r>
        <w:t xml:space="preserve">22. Iden T, Horn E-P, Bein B, et al (2015) Intraoperative temperature monitoring with zero heat flux technology (3M SpotOn sensor) in comparison with sublingual and nasopharyngeal temperature. European Journal of Anaesthesiology 32:387–391.</w:t>
      </w:r>
      <w:r>
        <w:t xml:space="preserve"> </w:t>
      </w:r>
      <w:hyperlink r:id="rId63">
        <w:r>
          <w:rPr>
            <w:rStyle w:val="Hyperlink"/>
          </w:rPr>
          <w:t xml:space="preserve">https://doi.org/10.1097/eja.0000000000000232</w:t>
        </w:r>
      </w:hyperlink>
    </w:p>
    <w:bookmarkEnd w:id="64"/>
    <w:bookmarkStart w:id="66" w:name="ref-Lim_2016"/>
    <w:p>
      <w:pPr>
        <w:pStyle w:val="Bibliography"/>
      </w:pPr>
      <w:r>
        <w:t xml:space="preserve">23. Lim Hyungsun KD-C Kim Boram (2016) A comparison of the temperature difference according to the placement of a nasopharyngeal temperature probe. Korean J Anesthesiol 69:357–361.</w:t>
      </w:r>
      <w:r>
        <w:t xml:space="preserve"> </w:t>
      </w:r>
      <w:hyperlink r:id="rId65">
        <w:r>
          <w:rPr>
            <w:rStyle w:val="Hyperlink"/>
          </w:rPr>
          <w:t xml:space="preserve">https://doi.org/10.4097/kjae.2016.69.4.357</w:t>
        </w:r>
      </w:hyperlink>
    </w:p>
    <w:bookmarkEnd w:id="66"/>
    <w:bookmarkStart w:id="67" w:name="ref-cullen2015measuring"/>
    <w:p>
      <w:pPr>
        <w:pStyle w:val="Bibliography"/>
      </w:pPr>
      <w:r>
        <w:t xml:space="preserve">24. Cullen S, Brown J (2015) Measuring core temperature-an audit:47. Anaesthesia 70 (S3):11–101</w:t>
      </w:r>
    </w:p>
    <w:bookmarkEnd w:id="67"/>
    <w:bookmarkStart w:id="68" w:name="ref-VendrellJorda2016"/>
    <w:p>
      <w:pPr>
        <w:pStyle w:val="Bibliography"/>
      </w:pPr>
      <w:r>
        <w:t xml:space="preserve">25. Vendrell JM, Lacambra BM, Bassas PE, et al (2016) Zero-heat-flux cutaneous thermometer for core temperature measurements in extreme situations. Journal of Neurosurgical Anesthesiology 228:S33</w:t>
      </w:r>
    </w:p>
    <w:bookmarkEnd w:id="68"/>
    <w:bookmarkStart w:id="69" w:name="ref-niven2015accuracy"/>
    <w:p>
      <w:pPr>
        <w:pStyle w:val="Bibliography"/>
      </w:pPr>
      <w:r>
        <w:t xml:space="preserve">26. Niven DJ, Gaudet JE, Laupland KB, et al (2015) Accuracy of peripheral thermometers for estimating temperature: A systematic review and meta-analysis. Annals of Internal Medicine 163:768–777</w:t>
      </w:r>
    </w:p>
    <w:bookmarkEnd w:id="69"/>
    <w:bookmarkStart w:id="70" w:name="ref-evron2017evaluation"/>
    <w:p>
      <w:pPr>
        <w:pStyle w:val="Bibliography"/>
      </w:pPr>
      <w:r>
        <w:t xml:space="preserve">27. Evron S, Weissman A, Toivis V, et al (2017) Evaluation of the temple touch pro, a novel noninvasive core-temperature monitoring system. Anesthesia &amp; Analgesia 125:103–109</w:t>
      </w:r>
    </w:p>
    <w:bookmarkEnd w:id="70"/>
    <w:bookmarkStart w:id="71" w:name="ref-riley2018inadvertent"/>
    <w:p>
      <w:pPr>
        <w:pStyle w:val="Bibliography"/>
      </w:pPr>
      <w:r>
        <w:t xml:space="preserve">28. Riley C, Andrzejowski J (2018) Inadvertent perioperative hypothermia. BJA Education 18:227–233</w:t>
      </w:r>
    </w:p>
    <w:bookmarkEnd w:id="71"/>
    <w:bookmarkEnd w:id="72"/>
    <w:p>
      <w:r>
        <w:br w:type="page"/>
      </w:r>
    </w:p>
    <w:p>
      <w:pPr>
        <w:pStyle w:val="Heading1"/>
      </w:pPr>
      <w:bookmarkStart w:id="73" w:name="figure-legend"/>
      <w:r>
        <w:t xml:space="preserve">Figure legend</w:t>
      </w:r>
      <w:bookmarkEnd w:id="73"/>
    </w:p>
    <w:p>
      <w:pPr>
        <w:pStyle w:val="FirstParagraph"/>
      </w:pPr>
      <w:r>
        <w:t xml:space="preserve">Fig. 1 PRISMA Flow Diagram</w:t>
      </w:r>
    </w:p>
    <w:p>
      <w:pPr>
        <w:pStyle w:val="BodyText"/>
      </w:pPr>
      <w:r>
        <w:t xml:space="preserve">Fig. 2 Risk of bias assessments for included studies</w:t>
      </w:r>
    </w:p>
    <w:p>
      <w:pPr>
        <w:pStyle w:val="BodyText"/>
      </w:pPr>
      <w:r>
        <w:t xml:space="preserve">Fig. 3 Comparisons between core and zero-heat-flux thermometers within and across studies</w:t>
      </w:r>
    </w:p>
    <w:p>
      <w:r>
        <w:br w:type="page"/>
      </w:r>
    </w:p>
    <w:p>
      <w:pPr>
        <w:pStyle w:val="Heading1"/>
      </w:pPr>
      <w:bookmarkStart w:id="74" w:name="appendix"/>
      <w:r>
        <w:t xml:space="preserve">Appendix</w:t>
      </w:r>
      <w:bookmarkEnd w:id="74"/>
    </w:p>
    <w:p>
      <w:pPr>
        <w:pStyle w:val="Heading2"/>
      </w:pPr>
      <w:bookmarkStart w:id="75" w:name="medline-search-strategy"/>
      <w:r>
        <w:t xml:space="preserve">Medline search strategy</w:t>
      </w:r>
      <w:bookmarkEnd w:id="75"/>
    </w:p>
    <w:p>
      <w:pPr>
        <w:pStyle w:val="Heading2"/>
      </w:pPr>
      <w:bookmarkStart w:id="76" w:name="embase-search-strategy"/>
      <w:r>
        <w:t xml:space="preserve">EMBASE search strategy</w:t>
      </w:r>
      <w:bookmarkEnd w:id="76"/>
    </w:p>
    <w:p>
      <w:pPr>
        <w:sectPr>
          <w:type w:val="continuous"/>
          <w:cols/>
        </w:sectPr>
      </w:pPr>
    </w:p>
    <w:p>
      <w:pPr>
        <w:pStyle w:val="Heading2"/>
      </w:pPr>
      <w:bookmarkStart w:id="77" w:name="table-1-study-characteristics"/>
      <w:r>
        <w:t xml:space="preserve">Table 1: Study Characteristics</w:t>
      </w:r>
      <w:bookmarkEnd w:id="7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56"/>
        <w:gridCol w:w="1467"/>
        <w:gridCol w:w="699"/>
        <w:gridCol w:w="1851"/>
        <w:gridCol w:w="1701"/>
        <w:gridCol w:w="1767"/>
        <w:gridCol w:w="4779"/>
        <w:gridCol w:w="2868"/>
        <w:gridCol w:w="1572"/>
        <w:gridCol w:w="1867"/>
        <w:gridCol w:w="744"/>
        <w:gridCol w:w="1851"/>
        <w:gridCol w:w="1078"/>
        <w:gridCol w:w="1866"/>
      </w:tblGrid>
      <w:tr>
        <w:trPr>
          <w:cantSplit/>
          <w:trHeight w:val="332" w:hRule="auto"/>
          <w:tblHeader/>
        </w:trPr>
        <w:tc>
          <w:tcPr>
            <w:gridSpan w:val="3"/>
            <w:tcBorders/>
            <w:shd w:val="clear" w:color="auto" w:fill="0080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Study</w:t>
            </w:r>
          </w:p>
        </w:tc>
        <w:tc>
          <w:tcPr>
            <w:gridSpan w:val="4"/>
            <w:tcBorders/>
            <w:shd w:val="clear" w:color="auto" w:fill="EE721A"/>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Participants</w:t>
            </w:r>
          </w:p>
        </w:tc>
        <w:tc>
          <w:tcPr>
            <w:gridSpan w:val="7"/>
            <w:tcBorders/>
            <w:shd w:val="clear" w:color="auto" w:fill="930093"/>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Blood pressure measurements</w:t>
            </w:r>
          </w:p>
        </w:tc>
      </w:tr>
      <w:tr>
        <w:trPr>
          <w:cantSplit/>
          <w:trHeight w:val="683" w:hRule="auto"/>
          <w:tblHeader/>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365760" cy="27432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6"/>
                          <a:srcRect/>
                          <a:stretch>
                            <a:fillRect/>
                          </a:stretch>
                        </pic:blipFill>
                        <pic:spPr bwMode="auto">
                          <a:xfrm>
                            <a:off x="0" y="0"/>
                            <a:ext cx="5080" cy="381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 (years)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CNAP device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Comparator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r>
      <w:tr>
        <w:trPr>
          <w:cantSplit/>
          <w:trHeight w:val="539" w:hRule="auto"/>
        </w:trPr>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2018</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Berkelmans</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 (9)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Atrial fibrillation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 medium care unit or coronary care unit</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4650</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Sinus Rhythm</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Greiwe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 [59, 76)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cardiological or cardio-surgical intensive care unit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27900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Bindra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7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7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62.2 [28 to 87]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finometerpro</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8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Lakhal</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83"/>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(13)</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surgical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182</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84"/>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546</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85"/>
                          <a:srcRect/>
                          <a:stretch>
                            <a:fillRect/>
                          </a:stretch>
                        </pic:blipFill>
                        <pic:spPr bwMode="auto">
                          <a:xfrm>
                            <a:off x="0" y="0"/>
                            <a:ext cx="12700" cy="2540"/>
                          </a:xfrm>
                          <a:prstGeom prst="rect">
                            <a:avLst/>
                          </a:prstGeom>
                          <a:noFill/>
                        </pic:spPr>
                      </pic:pic>
                    </a:graphicData>
                  </a:graphic>
                </wp:inline>
              </w:drawing>
            </w:r>
          </w:p>
        </w:tc>
      </w:tr>
      <w:tr>
        <w:trPr>
          <w:cantSplit/>
          <w:trHeight w:val="434"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brachialopposite</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396"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Ilies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8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 (9.4)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cardiovascular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cnapsystem</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8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11222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8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Langwieser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8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 [60,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intensive care unit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9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9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Smolle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9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9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 [56, 72)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9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95"/>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Wagner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9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 [52, 71)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9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4891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9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Ameloot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99"/>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100"/>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57.6 (19.4)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medical-­surgical-­burns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10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102"/>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10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10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10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106"/>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Hofhuizen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107"/>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[50 to 81]</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Intensive care unit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108"/>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109"/>
                          <a:srcRect/>
                          <a:stretch>
                            <a:fillRect/>
                          </a:stretch>
                        </pic:blipFill>
                        <pic:spPr bwMode="auto">
                          <a:xfrm>
                            <a:off x="0" y="0"/>
                            <a:ext cx="12700" cy="2540"/>
                          </a:xfrm>
                          <a:prstGeom prst="rect">
                            <a:avLst/>
                          </a:prstGeom>
                          <a:noFill/>
                        </pic:spPr>
                      </pic:pic>
                    </a:graphicData>
                  </a:graphic>
                </wp:inline>
              </w:drawing>
            </w:r>
          </w:p>
        </w:tc>
      </w:tr>
      <w:tr>
        <w:trPr>
          <w:cantSplit/>
          <w:trHeight w:val="39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Martina</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110"/>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 (11)</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111"/>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8700</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112"/>
                          <a:srcRect/>
                          <a:stretch>
                            <a:fillRect/>
                          </a:stretch>
                        </pic:blipFill>
                        <pic:spPr bwMode="auto">
                          <a:xfrm>
                            <a:off x="0" y="0"/>
                            <a:ext cx="12700" cy="2540"/>
                          </a:xfrm>
                          <a:prstGeom prst="rect">
                            <a:avLst/>
                          </a:prstGeom>
                          <a:noFill/>
                        </pic:spPr>
                      </pic:pic>
                    </a:graphicData>
                  </a:graphic>
                </wp:inline>
              </w:drawing>
            </w:r>
          </w:p>
        </w:tc>
      </w:tr>
      <w:tr>
        <w:trPr>
          <w:cantSplit/>
          <w:trHeight w:val="39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113"/>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[54 to 77]</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114"/>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2993</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115"/>
                          <a:srcRect/>
                          <a:stretch>
                            <a:fillRect/>
                          </a:stretch>
                        </pic:blipFill>
                        <pic:spPr bwMode="auto">
                          <a:xfrm>
                            <a:off x="0" y="0"/>
                            <a:ext cx="12700" cy="2540"/>
                          </a:xfrm>
                          <a:prstGeom prst="rect">
                            <a:avLst/>
                          </a:prstGeom>
                          <a:noFill/>
                        </pic:spPr>
                      </pic:pic>
                    </a:graphicData>
                  </a:graphic>
                </wp:inline>
              </w:drawing>
            </w:r>
          </w:p>
        </w:tc>
      </w:tr>
      <w:tr>
        <w:trPr>
          <w:cantSplit/>
          <w:trHeight w:val="39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Hohn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11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[18 to 82]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11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11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11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12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2879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12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12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[51, 74)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12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4502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12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Fischer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12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[22 to 85]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Post-operative cardiac surgery ICU patients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12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12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12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[61.5, 73.5)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12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76826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13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Novak</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13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 to 78]</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13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13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Searle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13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60.8 (11.7)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3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pic:cNvPicPr>
                            <a:picLocks noChangeAspect="1" noChangeArrowheads="1"/>
                          </pic:cNvPicPr>
                        </pic:nvPicPr>
                        <pic:blipFill>
                          <a:blip r:embed="rId137"/>
                          <a:srcRect/>
                          <a:stretch>
                            <a:fillRect/>
                          </a:stretch>
                        </pic:blipFill>
                        <pic:spPr bwMode="auto">
                          <a:xfrm>
                            <a:off x="0" y="0"/>
                            <a:ext cx="12700" cy="2540"/>
                          </a:xfrm>
                          <a:prstGeom prst="rect">
                            <a:avLst/>
                          </a:prstGeom>
                          <a:noFill/>
                        </pic:spPr>
                      </pic:pic>
                    </a:graphicData>
                  </a:graphic>
                </wp:inline>
              </w:drawing>
            </w:r>
          </w:p>
        </w:tc>
      </w:tr>
    </w:tbl>
    <w:p>
      <w:r>
        <w:br w:type="page"/>
      </w:r>
    </w:p>
    <w:p>
      <w:pPr>
        <w:pStyle w:val="Heading3"/>
      </w:pPr>
      <w:bookmarkStart w:id="78" w:name="table-2-results-of-meta-analyses"/>
      <w:r>
        <w:t xml:space="preserve">Table 2: Results of meta-analyses</w:t>
      </w:r>
      <w:bookmarkEnd w:id="7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14"/>
        <w:gridCol w:w="994"/>
        <w:gridCol w:w="1526"/>
        <w:gridCol w:w="1354"/>
        <w:gridCol w:w="1714"/>
        <w:gridCol w:w="806"/>
        <w:gridCol w:w="806"/>
        <w:gridCol w:w="864"/>
        <w:gridCol w:w="850"/>
        <w:gridCol w:w="1080"/>
        <w:gridCol w:w="1354"/>
        <w:gridCol w:w="1354"/>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LoA</w:t>
            </w:r>
          </w:p>
        </w:tc>
      </w:tr>
      <w:tr>
        <w:trPr>
          <w:cantSplit/>
          <w:trHeight w:val="360" w:hRule="auto"/>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Comparisons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b</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τ</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47,171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-0.93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161.05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35.04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27.07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-183.34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181.47</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Units are °C</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 of heterogeneity</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LoA = Limits of Agreement</w:t>
            </w:r>
          </w:p>
        </w:tc>
      </w:tr>
      <w:tr>
        <w:trPr>
          <w:cantSplit/>
          <w:trHeight w:val="360" w:hRule="auto"/>
        </w:trPr>
        <w:tc>
          <w:tcPr>
            <w:gridSpan w:val="12"/>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Intervals</w:t>
            </w:r>
          </w:p>
        </w:tc>
      </w:tr>
    </w:tbl>
    <w:p>
      <w:pPr>
        <w:sectPr>
          <w:pgSz w:h="11906" w:w="16838" w:orient="landscape"/>
          <w:type w:val="oddPage"/>
          <w:cols/>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 Id="rId66" Type="http://schemas.openxmlformats.org/officeDocument/2006/relationships/image" Target="media/file7c74af8a1e2.png"/><Relationship Id="rId67" Type="http://schemas.openxmlformats.org/officeDocument/2006/relationships/image" Target="media/file7c794c22e2.png"/><Relationship Id="rId68" Type="http://schemas.openxmlformats.org/officeDocument/2006/relationships/image" Target="media/file7c765862832.png"/><Relationship Id="rId69" Type="http://schemas.openxmlformats.org/officeDocument/2006/relationships/image" Target="media/file7c74ab91eb0.png"/><Relationship Id="rId70" Type="http://schemas.openxmlformats.org/officeDocument/2006/relationships/image" Target="media/file7c73f8ddb23.png"/><Relationship Id="rId71" Type="http://schemas.openxmlformats.org/officeDocument/2006/relationships/image" Target="media/file7c77a2df76d.png"/><Relationship Id="rId72" Type="http://schemas.openxmlformats.org/officeDocument/2006/relationships/image" Target="media/file7c75fcf53c5.png"/><Relationship Id="rId73" Type="http://schemas.openxmlformats.org/officeDocument/2006/relationships/image" Target="media/file7c72484dba7.png"/><Relationship Id="rId74" Type="http://schemas.openxmlformats.org/officeDocument/2006/relationships/image" Target="media/file7c7e70c3ac.png"/><Relationship Id="rId75" Type="http://schemas.openxmlformats.org/officeDocument/2006/relationships/image" Target="media/file7c7d3e589c.png"/><Relationship Id="rId76" Type="http://schemas.openxmlformats.org/officeDocument/2006/relationships/image" Target="media/file7c7782b708e.png"/><Relationship Id="rId77" Type="http://schemas.openxmlformats.org/officeDocument/2006/relationships/image" Target="media/file7c76beab844.png"/><Relationship Id="rId78" Type="http://schemas.openxmlformats.org/officeDocument/2006/relationships/image" Target="media/file7c77ee7afb5.png"/><Relationship Id="rId79" Type="http://schemas.openxmlformats.org/officeDocument/2006/relationships/image" Target="media/file7c71cc0d52a.png"/><Relationship Id="rId80" Type="http://schemas.openxmlformats.org/officeDocument/2006/relationships/image" Target="media/file7c737eac725.png"/><Relationship Id="rId81" Type="http://schemas.openxmlformats.org/officeDocument/2006/relationships/image" Target="media/file7c716b86ad1.png"/><Relationship Id="rId82" Type="http://schemas.openxmlformats.org/officeDocument/2006/relationships/image" Target="media/file7c7256ccafe.png"/><Relationship Id="rId83" Type="http://schemas.openxmlformats.org/officeDocument/2006/relationships/image" Target="media/file7c7982fce4.png"/><Relationship Id="rId84" Type="http://schemas.openxmlformats.org/officeDocument/2006/relationships/image" Target="media/file7c776a8e19c.png"/><Relationship Id="rId85" Type="http://schemas.openxmlformats.org/officeDocument/2006/relationships/image" Target="media/file7c7497405a0.png"/><Relationship Id="rId86" Type="http://schemas.openxmlformats.org/officeDocument/2006/relationships/image" Target="media/file7c7601d710c.png"/><Relationship Id="rId87" Type="http://schemas.openxmlformats.org/officeDocument/2006/relationships/image" Target="media/file7c72ce8fc20.png"/><Relationship Id="rId88" Type="http://schemas.openxmlformats.org/officeDocument/2006/relationships/image" Target="media/file7c77400afe8.png"/><Relationship Id="rId89" Type="http://schemas.openxmlformats.org/officeDocument/2006/relationships/image" Target="media/file7c7591ce3d7.png"/><Relationship Id="rId90" Type="http://schemas.openxmlformats.org/officeDocument/2006/relationships/image" Target="media/file7c777b265f5.png"/><Relationship Id="rId91" Type="http://schemas.openxmlformats.org/officeDocument/2006/relationships/image" Target="media/file7c76143f537.png"/><Relationship Id="rId92" Type="http://schemas.openxmlformats.org/officeDocument/2006/relationships/image" Target="media/file7c734981fc4.png"/><Relationship Id="rId93" Type="http://schemas.openxmlformats.org/officeDocument/2006/relationships/image" Target="media/file7c76f4d97d5.png"/><Relationship Id="rId94" Type="http://schemas.openxmlformats.org/officeDocument/2006/relationships/image" Target="media/file7c74f2b5a09.png"/><Relationship Id="rId95" Type="http://schemas.openxmlformats.org/officeDocument/2006/relationships/image" Target="media/file7c727242d7a.png"/><Relationship Id="rId96" Type="http://schemas.openxmlformats.org/officeDocument/2006/relationships/image" Target="media/file7c73825b8a9.png"/><Relationship Id="rId97" Type="http://schemas.openxmlformats.org/officeDocument/2006/relationships/image" Target="media/file7c7347e7c0b.png"/><Relationship Id="rId98" Type="http://schemas.openxmlformats.org/officeDocument/2006/relationships/image" Target="media/file7c75c01d119.png"/><Relationship Id="rId99" Type="http://schemas.openxmlformats.org/officeDocument/2006/relationships/image" Target="media/file7c77b46ef7f.png"/><Relationship Id="rId100" Type="http://schemas.openxmlformats.org/officeDocument/2006/relationships/image" Target="media/file7c76e15ba13.png"/><Relationship Id="rId101" Type="http://schemas.openxmlformats.org/officeDocument/2006/relationships/image" Target="media/file7c7546b6ddb.png"/><Relationship Id="rId102" Type="http://schemas.openxmlformats.org/officeDocument/2006/relationships/image" Target="media/file7c758f97029.png"/><Relationship Id="rId103" Type="http://schemas.openxmlformats.org/officeDocument/2006/relationships/image" Target="media/file7c76032c161.png"/><Relationship Id="rId104" Type="http://schemas.openxmlformats.org/officeDocument/2006/relationships/image" Target="media/file7c72435f89e.png"/><Relationship Id="rId105" Type="http://schemas.openxmlformats.org/officeDocument/2006/relationships/image" Target="media/file7c753555fa4.png"/><Relationship Id="rId106" Type="http://schemas.openxmlformats.org/officeDocument/2006/relationships/image" Target="media/file7c79fa32ba.png"/><Relationship Id="rId107" Type="http://schemas.openxmlformats.org/officeDocument/2006/relationships/image" Target="media/file7c79185674.png"/><Relationship Id="rId108" Type="http://schemas.openxmlformats.org/officeDocument/2006/relationships/image" Target="media/file7c71cd3de56.png"/><Relationship Id="rId109" Type="http://schemas.openxmlformats.org/officeDocument/2006/relationships/image" Target="media/file7c719a9eee3.png"/><Relationship Id="rId110" Type="http://schemas.openxmlformats.org/officeDocument/2006/relationships/image" Target="media/file7c76382863e.png"/><Relationship Id="rId111" Type="http://schemas.openxmlformats.org/officeDocument/2006/relationships/image" Target="media/file7c7e3b837c.png"/><Relationship Id="rId112" Type="http://schemas.openxmlformats.org/officeDocument/2006/relationships/image" Target="media/file7c765354930.png"/><Relationship Id="rId113" Type="http://schemas.openxmlformats.org/officeDocument/2006/relationships/image" Target="media/file7c7d582239.png"/><Relationship Id="rId114" Type="http://schemas.openxmlformats.org/officeDocument/2006/relationships/image" Target="media/file7c7152ed307.png"/><Relationship Id="rId115" Type="http://schemas.openxmlformats.org/officeDocument/2006/relationships/image" Target="media/file7c735207b6e.png"/><Relationship Id="rId116" Type="http://schemas.openxmlformats.org/officeDocument/2006/relationships/image" Target="media/file7c767878e01.png"/><Relationship Id="rId117" Type="http://schemas.openxmlformats.org/officeDocument/2006/relationships/image" Target="media/file7c7747c18c0.png"/><Relationship Id="rId118" Type="http://schemas.openxmlformats.org/officeDocument/2006/relationships/image" Target="media/file7c77f3d20fe.png"/><Relationship Id="rId119" Type="http://schemas.openxmlformats.org/officeDocument/2006/relationships/image" Target="media/file7c764144f5.png"/><Relationship Id="rId120" Type="http://schemas.openxmlformats.org/officeDocument/2006/relationships/image" Target="media/file7c727163408.png"/><Relationship Id="rId121" Type="http://schemas.openxmlformats.org/officeDocument/2006/relationships/image" Target="media/file7c722b20d44.png"/><Relationship Id="rId122" Type="http://schemas.openxmlformats.org/officeDocument/2006/relationships/image" Target="media/file7c75784fd27.png"/><Relationship Id="rId123" Type="http://schemas.openxmlformats.org/officeDocument/2006/relationships/image" Target="media/file7c75c083854.png"/><Relationship Id="rId124" Type="http://schemas.openxmlformats.org/officeDocument/2006/relationships/image" Target="media/file7c71faa4200.png"/><Relationship Id="rId125" Type="http://schemas.openxmlformats.org/officeDocument/2006/relationships/image" Target="media/file7c762d31e3d.png"/><Relationship Id="rId126" Type="http://schemas.openxmlformats.org/officeDocument/2006/relationships/image" Target="media/file7c71266697b.png"/><Relationship Id="rId127" Type="http://schemas.openxmlformats.org/officeDocument/2006/relationships/image" Target="media/file7c719713ad.png"/><Relationship Id="rId128" Type="http://schemas.openxmlformats.org/officeDocument/2006/relationships/image" Target="media/file7c7658cc3ab.png"/><Relationship Id="rId129" Type="http://schemas.openxmlformats.org/officeDocument/2006/relationships/image" Target="media/file7c77c8243a2.png"/><Relationship Id="rId130" Type="http://schemas.openxmlformats.org/officeDocument/2006/relationships/image" Target="media/file7c74c26808a.png"/><Relationship Id="rId131" Type="http://schemas.openxmlformats.org/officeDocument/2006/relationships/image" Target="media/file7c773c10b14.png"/><Relationship Id="rId132" Type="http://schemas.openxmlformats.org/officeDocument/2006/relationships/image" Target="media/file7c76be896b.png"/><Relationship Id="rId133" Type="http://schemas.openxmlformats.org/officeDocument/2006/relationships/image" Target="media/file7c7472fd342.png"/><Relationship Id="rId134" Type="http://schemas.openxmlformats.org/officeDocument/2006/relationships/image" Target="media/file7c714d6b691.png"/><Relationship Id="rId135" Type="http://schemas.openxmlformats.org/officeDocument/2006/relationships/image" Target="media/file7c71c6bf447.png"/><Relationship Id="rId136" Type="http://schemas.openxmlformats.org/officeDocument/2006/relationships/image" Target="media/file7c773726fe4.png"/><Relationship Id="rId137" Type="http://schemas.openxmlformats.org/officeDocument/2006/relationships/image" Target="media/file7c75e101cf2.png"/></Relationships>
</file>

<file path=word/_rels/footnotes.xml.rels><?xml version="1.0" encoding="UTF-8" standalone="yes"?>
<Relationships  xmlns="http://schemas.openxmlformats.org/package/2006/relationships"><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Accuracy and Precision of Continuous Non-Invasive Arterial Pressure Monitoring Compared with Invasive or Non-Invasive Blood Pressure Monitoring</dc:title>
  <dc:creator>Navpreet Kamboj MScN2, Kristina Chang MScN1, Kelly Metcalfe PhD2, Charlene Chu PhD2, and Aaron Conway PhD1,2,3</dc:creator>
  <cp:keywords/>
  <dcterms:created xsi:type="dcterms:W3CDTF">2020-06-01T12:46:50Z</dcterms:created>
  <dcterms:modified xsi:type="dcterms:W3CDTF">2020-06-01T08:46:50Z</dcterms:modified>
  <cp:lastModifiedBy>aaronconway</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Extras/bibliography.bib</vt:lpwstr>
  </property>
  <property fmtid="{D5CDD505-2E9C-101B-9397-08002B2CF9AE}" pid="3" name="csl">
    <vt:lpwstr>Extras/sp-basic.csl</vt:lpwstr>
  </property>
  <property fmtid="{D5CDD505-2E9C-101B-9397-08002B2CF9AE}" pid="4" name="output">
    <vt:lpwstr/>
  </property>
  <property fmtid="{D5CDD505-2E9C-101B-9397-08002B2CF9AE}" pid="5" name="subtitle">
    <vt:lpwstr>A systematic review and meta-analysis</vt:lpwstr>
  </property>
</Properties>
</file>