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Continuous</w:t>
      </w:r>
      <w:r>
        <w:t xml:space="preserve"> </w:t>
      </w:r>
      <w:r>
        <w:t xml:space="preserve">Non-Invasive</w:t>
      </w:r>
      <w:r>
        <w:t xml:space="preserve"> </w:t>
      </w:r>
      <w:r>
        <w:t xml:space="preserve">Arterial</w:t>
      </w:r>
      <w:r>
        <w:t xml:space="preserve"> </w:t>
      </w:r>
      <w:r>
        <w:t xml:space="preserve">Pressure</w:t>
      </w:r>
      <w:r>
        <w:t xml:space="preserve"> </w:t>
      </w:r>
      <w:r>
        <w:t xml:space="preserve">Monitoring</w:t>
      </w:r>
      <w:r>
        <w:t xml:space="preserve"> </w:t>
      </w:r>
      <w:r>
        <w:t xml:space="preserve">Compared</w:t>
      </w:r>
      <w:r>
        <w:t xml:space="preserve"> </w:t>
      </w:r>
      <w:r>
        <w:t xml:space="preserve">with</w:t>
      </w:r>
      <w:r>
        <w:t xml:space="preserve"> </w:t>
      </w:r>
      <w:r>
        <w:t xml:space="preserve">Invasive</w:t>
      </w:r>
      <w:r>
        <w:t xml:space="preserve"> </w:t>
      </w:r>
      <w:r>
        <w:t xml:space="preserve">or</w:t>
      </w:r>
      <w:r>
        <w:t xml:space="preserve"> </w:t>
      </w:r>
      <w:r>
        <w:t xml:space="preserve">Non-Invasive</w:t>
      </w:r>
      <w:r>
        <w:t xml:space="preserve"> </w:t>
      </w:r>
      <w:r>
        <w:t xml:space="preserve">Blood</w:t>
      </w:r>
      <w:r>
        <w:t xml:space="preserve"> </w:t>
      </w:r>
      <w:r>
        <w:t xml:space="preserve">Pressure</w:t>
      </w:r>
      <w:r>
        <w:t xml:space="preserve"> </w:t>
      </w:r>
      <w:r>
        <w:t xml:space="preserve">Monitoring</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Navpreet Kamboj MScN</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Kelly Metcalfe PhD</w:t>
      </w:r>
      <w:r>
        <w:rPr>
          <w:vertAlign w:val="superscript"/>
        </w:rPr>
        <w:t xml:space="preserve">2</w:t>
      </w:r>
      <w:r>
        <w:t xml:space="preserve">,</w:t>
      </w:r>
      <w:r>
        <w:t xml:space="preserve"> </w:t>
      </w:r>
      <w:r>
        <w:t xml:space="preserve">Charlene Chu PhD</w:t>
      </w:r>
      <w:r>
        <w:rPr>
          <w:vertAlign w:val="superscript"/>
        </w:rPr>
        <w:t xml:space="preserve">2</w:t>
      </w:r>
      <w:r>
        <w:t xml:space="preserve">,</w:t>
      </w:r>
      <w:r>
        <w:t xml:space="preserve"> </w:t>
      </w:r>
      <w:r>
        <w:t xml:space="preserve">and</w:t>
      </w:r>
      <w:r>
        <w:t xml:space="preserve"> </w:t>
      </w: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p>
    <w:p>
      <w:pPr>
        <w:pStyle w:val="FirstParagraph"/>
      </w:pPr>
      <w:r>
        <w:rPr>
          <w:vertAlign w:val="superscript"/>
        </w:rPr>
        <w:t xml:space="preserve">1</w:t>
      </w:r>
      <w:r>
        <w:t xml:space="preserve"> </w:t>
      </w:r>
      <w:r>
        <w:t xml:space="preserve">Peter Munk Cardiac Centre, University Health Network, Toronto, Canada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School of Nursing, Queensland University of Technology (QUT), Brisbane, Australia</w:t>
      </w:r>
    </w:p>
    <w:p>
      <w:r>
        <w:br w:type="page"/>
      </w:r>
    </w:p>
    <w:p>
      <w:pPr>
        <w:pStyle w:val="Heading3"/>
      </w:pPr>
      <w:bookmarkStart w:id="20" w:name="abstract"/>
      <w:r>
        <w:t xml:space="preserve">Abstract</w:t>
      </w:r>
      <w:bookmarkEnd w:id="20"/>
    </w:p>
    <w:p>
      <w:pPr>
        <w:pStyle w:val="FirstParagraph"/>
      </w:pPr>
      <w:r>
        <w:rPr>
          <w:b/>
        </w:rPr>
        <w:t xml:space="preserve">Purpose</w:t>
      </w:r>
    </w:p>
    <w:p>
      <w:pPr>
        <w:pStyle w:val="BodyText"/>
      </w:pPr>
      <w:r>
        <w:t xml:space="preserve">Arterial blood pressure monitoring is vital to clinical decision making. Both the gold standard for monitoring, which is invasive arterial pressure measurement, and the most common modality of blood pressure modality, non-invasive blood pressure monitoring present with limitations that can be resolved with continuous non-invasive arterial pressure (CNAP) monitoring. The aim of this systematic review is to summarize the evidence regarding the concordance between CNAP and invasive arterial pressure monitoring.</w:t>
      </w:r>
    </w:p>
    <w:p>
      <w:pPr>
        <w:pStyle w:val="BodyText"/>
      </w:pPr>
      <w:r>
        <w:rPr>
          <w:b/>
        </w:rPr>
        <w:t xml:space="preserve">Methods</w:t>
      </w:r>
    </w:p>
    <w:p>
      <w:pPr>
        <w:pStyle w:val="BodyText"/>
      </w:pPr>
      <w:r>
        <w:t xml:space="preserve">Medline and EMBASE will be searched for studies published using commercially available CNAP monitoring systems that reported on a measurement of the invasive or non-invasive arterial pressure that coincided with a measurement of CNAP. Study selection and quality assessment using the Revised Quality Assessment of Diagnostic Accuracy Studies tool (QUADAS-2) was performed independently by two reviewers.The Grading of Recommendations, Assessment, Development and Evaluations (GRADE) approach was used to summarize the strength of the evidence. Pooled estimates of the mean bias and limits of agreement with outer 95% confidence intervals (population limits of agreement) were calculated.</w:t>
      </w:r>
    </w:p>
    <w:p>
      <w:pPr>
        <w:pStyle w:val="BodyText"/>
      </w:pPr>
      <w:r>
        <w:rPr>
          <w:b/>
        </w:rPr>
        <w:t xml:space="preserve">Results</w:t>
      </w:r>
    </w:p>
    <w:p>
      <w:pPr>
        <w:pStyle w:val="BodyText"/>
      </w:pPr>
      <w:r>
        <w:t xml:space="preserve">The primary meta-analysis of CNAP versus invasive arterial pressure consisted of 7 comparisons from 6 individual studies. Data from 204 participants with 15,466 paired measurements were included. The pooled estimate for the mean bias was -1.09°C. Population limits of agreement, which take into consideration the between-study heterogeneity and sampling error, were wide, spanning from -295.59°C to 293.42°C.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pPr>
        <w:pStyle w:val="BodyText"/>
      </w:pPr>
      <w:r>
        <w:rPr>
          <w:b/>
        </w:rPr>
        <w:t xml:space="preserve">Conclusion</w:t>
      </w:r>
    </w:p>
    <w:p>
      <w:pPr>
        <w:pStyle w:val="BodyText"/>
      </w:pPr>
      <w:r>
        <w:t xml:space="preserve">The range of uncertainty in the accuracy of a thermometer should be taken into account when using this device to inform clinical decision-making. Clinicians should therefore consider the potential that a temperature measurement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could be as much as 1°C higher or lower than core temperature. Use of this device may not be appropriate in situations where a difference in temperature of less than 1°C is important to detect.</w:t>
      </w:r>
    </w:p>
    <w:p>
      <w:pPr>
        <w:pStyle w:val="BodyText"/>
      </w:pPr>
      <w:r>
        <w:t xml:space="preserve">Clinical trial number: Not applicable</w:t>
      </w:r>
    </w:p>
    <w:p>
      <w:pPr>
        <w:pStyle w:val="BodyText"/>
      </w:pPr>
      <w:r>
        <w:t xml:space="preserve">Keywords: arterial pressure, continuous non-invasive monitoring, critical care</w:t>
      </w:r>
    </w:p>
    <w:p>
      <w:r>
        <w:br w:type="page"/>
      </w:r>
    </w:p>
    <w:p>
      <w:pPr>
        <w:pStyle w:val="Heading2"/>
      </w:pPr>
      <w:bookmarkStart w:id="21" w:name="declarations"/>
      <w:r>
        <w:t xml:space="preserve">Declarations</w:t>
      </w:r>
      <w:bookmarkEnd w:id="21"/>
    </w:p>
    <w:p>
      <w:pPr>
        <w:pStyle w:val="FirstParagraph"/>
      </w:pPr>
      <w:r>
        <w:t xml:space="preserve">Availability of data and material (data transparency): All data used in the meta-analyses is available</w:t>
      </w:r>
      <w:r>
        <w:t xml:space="preserve"> </w:t>
      </w:r>
      <w:hyperlink r:id="rId22">
        <w:r>
          <w:rPr>
            <w:rStyle w:val="Hyperlink"/>
          </w:rPr>
          <w:t xml:space="preserve">here</w:t>
        </w:r>
      </w:hyperlink>
      <w:r>
        <w:t xml:space="preserve">.</w:t>
      </w:r>
    </w:p>
    <w:p>
      <w:pPr>
        <w:pStyle w:val="BodyText"/>
      </w:pPr>
      <w:r>
        <w:t xml:space="preserve">Code availability: All data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Abbreviated title:</w:t>
      </w:r>
    </w:p>
    <w:p>
      <w:pPr>
        <w:pStyle w:val="BodyText"/>
      </w:pPr>
      <w:r>
        <w:t xml:space="preserve">Funding statement: No funding recieved.</w:t>
      </w:r>
    </w:p>
    <w:p>
      <w:pPr>
        <w:pStyle w:val="BodyText"/>
      </w:pPr>
      <w:r>
        <w:t xml:space="preserve">Conflicts of interest: The authors declare no competing interests.</w:t>
      </w:r>
    </w:p>
    <w:p>
      <w:pPr>
        <w:pStyle w:val="BodyText"/>
      </w:pPr>
      <w:r>
        <w:t xml:space="preserve">Author contributions:</w:t>
      </w:r>
      <w:r>
        <w:t xml:space="preserve"> </w:t>
      </w:r>
      <w:r>
        <w:t xml:space="preserve">NK: Study design, analysis, wrote manuscript; AC: Study design, revised the manuscript for important intellectual content; KC: Study design, revised the manuscript for important intellectual content; KM: Study design, revised the manuscript for important intellectual content; CC: Study design, revised the manuscript for important intellectual content.</w:t>
      </w:r>
    </w:p>
    <w:p>
      <w:pPr>
        <w:pStyle w:val="BodyText"/>
      </w:pPr>
      <w:r>
        <w:rPr>
          <w:b/>
        </w:rPr>
        <w:t xml:space="preserve">Glossary of terms:</w:t>
      </w:r>
    </w:p>
    <w:p>
      <w:pPr>
        <w:pStyle w:val="BodyText"/>
      </w:pPr>
      <w:r>
        <w:t xml:space="preserve">GRADE = Grading of Recommendations, Assessment, Development and Evaluations</w:t>
      </w:r>
    </w:p>
    <w:p>
      <w:pPr>
        <w:pStyle w:val="BodyText"/>
      </w:pPr>
      <w:r>
        <w:t xml:space="preserve">QUADAS-2 = Revised Quality Assessment of Diagnostic Accuracy Studies tool</w:t>
      </w:r>
    </w:p>
    <w:p>
      <w:pPr>
        <w:pStyle w:val="BodyText"/>
      </w:pPr>
      <w:r>
        <w:t xml:space="preserve">LoA = Limits of Agreement</w:t>
      </w:r>
    </w:p>
    <w:p>
      <w:pPr>
        <w:pStyle w:val="BodyText"/>
      </w:pPr>
      <w:r>
        <w:t xml:space="preserve">CI = Confidence intervals</w:t>
      </w:r>
    </w:p>
    <w:p>
      <w:pPr>
        <w:pStyle w:val="BodyText"/>
      </w:pPr>
      <w:r>
        <w:t xml:space="preserve">SD</w:t>
      </w:r>
      <w:r>
        <w:rPr>
          <w:vertAlign w:val="superscript"/>
        </w:rPr>
        <w:t xml:space="preserve">2</w:t>
      </w:r>
      <w:r>
        <w:t xml:space="preserve"> </w:t>
      </w:r>
      <w:r>
        <w:t xml:space="preserve">= Variance</w:t>
      </w:r>
    </w:p>
    <w:p>
      <w:pPr>
        <w:pStyle w:val="BodyText"/>
      </w:pPr>
      <w:r>
        <w:t xml:space="preserve">τ</w:t>
      </w:r>
      <w:r>
        <w:rPr>
          <w:vertAlign w:val="superscript"/>
        </w:rPr>
        <w:t xml:space="preserve">2</w:t>
      </w:r>
      <w:r>
        <w:t xml:space="preserve"> </w:t>
      </w:r>
      <w:r>
        <w:t xml:space="preserve">= Tau-squared</w:t>
      </w:r>
    </w:p>
    <w:p>
      <w:r>
        <w:br w:type="page"/>
      </w:r>
    </w:p>
    <w:p>
      <w:pPr>
        <w:pStyle w:val="Heading2"/>
      </w:pPr>
      <w:bookmarkStart w:id="24" w:name="introduction"/>
      <w:r>
        <w:t xml:space="preserve">Introduction</w:t>
      </w:r>
      <w:bookmarkEnd w:id="24"/>
    </w:p>
    <w:p>
      <w:pPr>
        <w:pStyle w:val="FirstParagraph"/>
      </w:pPr>
      <w:r>
        <w:t xml:space="preserve">Blood pressure monitoring is a mainstay of hemodynamic monitoring and is a requirement for patients in critical care settings</w:t>
      </w:r>
      <w:r>
        <w:t xml:space="preserve"> </w:t>
      </w:r>
      <w:r>
        <w:t xml:space="preserve">[</w:t>
      </w:r>
      <w:r>
        <w:rPr>
          <w:b/>
        </w:rPr>
        <w:t xml:space="preserve">???</w:t>
      </w:r>
      <w:r>
        <w:t xml:space="preserve">]</w:t>
      </w:r>
      <w:r>
        <w:t xml:space="preserve"> </w:t>
      </w:r>
      <w:r>
        <w:t xml:space="preserve">For patients requiring continuous blood pressure monitoring, invasive arterial pressure monitoring is often used as the standard of care and involves arterial cannulation.</w:t>
      </w:r>
      <w:r>
        <w:t xml:space="preserve"> </w:t>
      </w:r>
      <w:r>
        <w:t xml:space="preserve">[</w:t>
      </w:r>
      <w:r>
        <w:rPr>
          <w:b/>
        </w:rPr>
        <w:t xml:space="preserve">???</w:t>
      </w:r>
      <w:r>
        <w:t xml:space="preserve">]</w:t>
      </w:r>
      <w:r>
        <w:t xml:space="preserve"> </w:t>
      </w:r>
      <w:r>
        <w:t xml:space="preserve">The cannulation of an artery is painful, time-consuming, needs to be done by a trained clinician, and is associated-although very rarely- with complications such as infections, embolism, tissue and nerve damage.</w:t>
      </w:r>
      <w:r>
        <w:t xml:space="preserve"> </w:t>
      </w:r>
      <w:r>
        <w:t xml:space="preserve">[</w:t>
      </w:r>
      <w:r>
        <w:rPr>
          <w:b/>
        </w:rPr>
        <w:t xml:space="preserve">???</w:t>
      </w:r>
      <w:r>
        <w:t xml:space="preserve">]</w:t>
      </w:r>
      <w:r>
        <w:t xml:space="preserve"> </w:t>
      </w:r>
      <w:r>
        <w:t xml:space="preserve">In addition, specialized equipment is required in order to analyse arterial pressure continuously. For these reasons, non-invasive blood pressure (NIBP) monitoring is frequently used.</w:t>
      </w:r>
      <w:r>
        <w:t xml:space="preserve"> </w:t>
      </w:r>
      <w:r>
        <w:t xml:space="preserve">[</w:t>
      </w:r>
      <w:r>
        <w:rPr>
          <w:b/>
        </w:rPr>
        <w:t xml:space="preserve">???</w:t>
      </w:r>
      <w:r>
        <w:t xml:space="preserve">]</w:t>
      </w:r>
      <w:r>
        <w:t xml:space="preserve"> </w:t>
      </w:r>
      <w:r>
        <w:t xml:space="preserve">While there are many benefits of NIBP monitoring, the devices using this method are unable to provide continuous blood pressure measurements and may leave blood pressure fluctuations undetected or may lead to late recognition and delayed correction. For this reason, continuous non-invasive arterial pressure (CNAP) monitoring is fast gaining importance as it addresses the complications associated with the invasive monitoring and the limitations of NIBP monitoring.</w:t>
      </w:r>
    </w:p>
    <w:p>
      <w:pPr>
        <w:pStyle w:val="BodyText"/>
      </w:pPr>
      <w:r>
        <w:t xml:space="preserve">CNAP monitoring is based on the arterial applanation tonometry (AAT) and volume clamp. Both techniques enable the arterial waveform and BP values to be obtained continuously.</w:t>
      </w:r>
      <w:r>
        <w:t xml:space="preserve"> </w:t>
      </w:r>
      <w:r>
        <w:t xml:space="preserve">[</w:t>
      </w:r>
      <w:r>
        <w:rPr>
          <w:b/>
        </w:rPr>
        <w:t xml:space="preserve">???</w:t>
      </w:r>
      <w:r>
        <w:t xml:space="preserve">]</w:t>
      </w:r>
      <w:r>
        <w:t xml:space="preserve"> </w:t>
      </w:r>
      <w:r>
        <w:t xml:space="preserve">AAT is based on the work of Pressman and Newgard, who discovered that a transducer strapped to an artery with a bone underneath, can obtain the arterial pulse wave.</w:t>
      </w:r>
      <w:r>
        <w:t xml:space="preserve"> </w:t>
      </w:r>
      <w:r>
        <w:t xml:space="preserve">[</w:t>
      </w:r>
      <w:r>
        <w:rPr>
          <w:b/>
        </w:rPr>
        <w:t xml:space="preserve">???</w:t>
      </w:r>
      <w:r>
        <w:t xml:space="preserve">]</w:t>
      </w:r>
      <w:r>
        <w:t xml:space="preserve"> </w:t>
      </w:r>
      <w:r>
        <w:t xml:space="preserve">A device that is automated and commercially available that uses this method is the T-Line system (Tensys Medical, San Diego, CA, USA).</w:t>
      </w:r>
      <w:r>
        <w:t xml:space="preserve"> </w:t>
      </w:r>
      <w:r>
        <w:t xml:space="preserve">Volume clamp is based on the work by Penaz et al. (1976).</w:t>
      </w:r>
      <w:r>
        <w:t xml:space="preserve"> </w:t>
      </w:r>
      <w:r>
        <w:t xml:space="preserve">[</w:t>
      </w:r>
      <w:r>
        <w:rPr>
          <w:b/>
        </w:rPr>
        <w:t xml:space="preserve">???</w:t>
      </w:r>
      <w:r>
        <w:t xml:space="preserve">]</w:t>
      </w:r>
      <w:r>
        <w:t xml:space="preserve"> </w:t>
      </w:r>
      <w:r>
        <w:t xml:space="preserve">and measure blood pressure at the finger using an inflatable cuff combined with a photodiode.</w:t>
      </w:r>
      <w:r>
        <w:t xml:space="preserve"> </w:t>
      </w:r>
      <w:r>
        <w:t xml:space="preserve">[</w:t>
      </w:r>
      <w:r>
        <w:rPr>
          <w:b/>
        </w:rPr>
        <w:t xml:space="preserve">???</w:t>
      </w:r>
      <w:r>
        <w:t xml:space="preserve">]</w:t>
      </w:r>
      <w:r>
        <w:t xml:space="preserve"> </w:t>
      </w:r>
      <w:r>
        <w:t xml:space="preserve">Devices using this technique include Nexfin (BMEYE B.V., Amsterdam, The Netherlands); CNAP (CNSystems, Graz, Austria). CNAP monitoring devices display real-time, continuous arterial pressure waveforms and provide non-invasive beat-to-beat arterial pressure measurement. Numerous studies have investigated the concordance between CNAP measurement and invasive arterial pressure measurement across a variety of clinical populations. Critical appraisal of the quality of these studies followed by synthesis of results in a meta-analysis would aid clinical decision-making regarding the appropriateness of substituting CNAP for blood pressure monitoring in clinical practice.</w:t>
      </w:r>
    </w:p>
    <w:p>
      <w:r>
        <w:br w:type="page"/>
      </w:r>
    </w:p>
    <w:p>
      <w:pPr>
        <w:pStyle w:val="Heading2"/>
      </w:pPr>
      <w:bookmarkStart w:id="25" w:name="methods"/>
      <w:r>
        <w:t xml:space="preserve">Methods</w:t>
      </w:r>
      <w:bookmarkEnd w:id="25"/>
    </w:p>
    <w:p>
      <w:pPr>
        <w:pStyle w:val="FirstParagraph"/>
      </w:pPr>
      <w:r>
        <w:t xml:space="preserve">A systematic review was conducted. The primary comparison for this review was blood pressure measured using CNAP monitoring devices versus blood pressure measured using an invasive device.</w:t>
      </w:r>
    </w:p>
    <w:p>
      <w:pPr>
        <w:pStyle w:val="Heading3"/>
      </w:pPr>
      <w:bookmarkStart w:id="26" w:name="inclusion-criteria"/>
      <w:r>
        <w:t xml:space="preserve">Inclusion criteria</w:t>
      </w:r>
      <w:bookmarkEnd w:id="26"/>
    </w:p>
    <w:p>
      <w:pPr>
        <w:pStyle w:val="FirstParagraph"/>
      </w:pPr>
      <w:r>
        <w:t xml:space="preserve">Studies that reported blood pressure measurements using CNAP technique and comparator invasive were included. Due to the potential of overestimation of the intervention performance, case control design studies were excluded. Studies were limited to human subjects admitted on an in-patient clinical healthcare setting (not including operative room). No publication date or language restrictions were applied. Published conference abstracts were included if there was enough information reported to appraise the quality of the study.</w:t>
      </w:r>
    </w:p>
    <w:p>
      <w:pPr>
        <w:pStyle w:val="Heading3"/>
      </w:pPr>
      <w:bookmarkStart w:id="27" w:name="data-sources-and-searches"/>
      <w:r>
        <w:t xml:space="preserve">Data sources and searches</w:t>
      </w:r>
      <w:bookmarkEnd w:id="27"/>
    </w:p>
    <w:p>
      <w:pPr>
        <w:pStyle w:val="FirstParagraph"/>
      </w:pPr>
      <w:r>
        <w:t xml:space="preserve">The information extracted included study characteristics (author, year of publication, country, design, sample size, clinical setting, numbers studied, and analyses for each outcome), population characteristics (inclusion and exclusion criteria) and blood pressure measurement characteristics (type of CNAP device and site of invasive measurements). The outcomes that were extracted included the mean bias (eg, accuracy) and variance (eg, SD, precision) in blood pressure measurement between the CNAP and invasive devices. 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t xml:space="preserve">[1]</w:t>
      </w:r>
    </w:p>
    <w:p>
      <w:pPr>
        <w:pStyle w:val="BodyText"/>
      </w:pPr>
      <w:r>
        <w:t xml:space="preserve">Two reviewers independently completed the risk of bias assessment for the included studies using the revised Quality Assessment of Diagnostic Accuracy Studies (QUADAS-2).</w:t>
      </w:r>
      <w:r>
        <w:t xml:space="preserve">[2]</w:t>
      </w:r>
      <w:r>
        <w:t xml:space="preserve"> </w:t>
      </w:r>
      <w:r>
        <w:t xml:space="preserve">Risk of bias for patient selection, conduct of the CNAP measurements, conduct of the comparator invasive measurements, and timing and flow (eg, timing of CNAP and established invasive blood pressure measurements, dropouts) was rated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 </w:t>
      </w:r>
      <w:r>
        <w:t xml:space="preserve">risk of bias by the reviewers.</w:t>
      </w:r>
    </w:p>
    <w:p>
      <w:pPr>
        <w:pStyle w:val="BodyText"/>
      </w:pPr>
      <w:r>
        <w:t xml:space="preserve">A comprehensive search of multiple databases and international clinical trial registry was conducted to minimize the risk of publication bias.</w:t>
      </w:r>
      <w:r>
        <w:t xml:space="preserve"> </w:t>
      </w:r>
      <w:r>
        <w:t xml:space="preserve">[3]</w:t>
      </w:r>
      <w:r>
        <w:t xml:space="preserve"> </w:t>
      </w:r>
      <w:r>
        <w:t xml:space="preserve">Due to the lack of validated methods on statistical approaches for detecting reporting bias, this assessment was not performed. [begg2005systematic] Simulations have revealed that tests for detecting funnel plot asymmetry will result in publication bias being frequently identified incorrectly.</w:t>
      </w:r>
      <w:r>
        <w:t xml:space="preserve"> </w:t>
      </w:r>
      <w:r>
        <w:t xml:space="preserve">[4]</w:t>
      </w:r>
    </w:p>
    <w:p>
      <w:pPr>
        <w:pStyle w:val="BodyText"/>
      </w:pPr>
      <w:r>
        <w:t xml:space="preserve">The Grading Quality of Evidence and Strength of Recommendation methodology was applied to rate the quality of evidence.</w:t>
      </w:r>
      <w:r>
        <w:t xml:space="preserve">[5]</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28" w:name="data-synthesis-and-analysis"/>
      <w:r>
        <w:t xml:space="preserve">Data synthesis and analysis</w:t>
      </w:r>
      <w:bookmarkEnd w:id="28"/>
    </w:p>
    <w:p>
      <w:pPr>
        <w:pStyle w:val="FirstParagraph"/>
      </w:pPr>
      <w:r>
        <w:t xml:space="preserve">The objective for the meta-analysis was to estimate the population limits of agreement between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established comparator thermometers. A framework for meta-analysis of Bland-Altman method comparison studies based on limits of agreement approach was used.</w:t>
      </w:r>
      <w:r>
        <w:t xml:space="preserve">[6]</w:t>
      </w:r>
      <w:r>
        <w:t xml:space="preserve"> </w:t>
      </w:r>
      <w:r>
        <w:t xml:space="preserve">This method was selected because it parallels the approach used in primary Bland-Altman studies, whereby an estimate is generated for the pooled limits of agreement in the population (not just in the samples studied). The</w:t>
      </w:r>
      <w:r>
        <w:t xml:space="preserve"> </w:t>
      </w:r>
      <w:r>
        <w:t xml:space="preserve">‘</w:t>
      </w:r>
      <w:r>
        <w:t xml:space="preserve">population limits of agreement</w:t>
      </w:r>
      <w:r>
        <w:t xml:space="preserve">’</w:t>
      </w:r>
      <w:r>
        <w:t xml:space="preserve"> </w:t>
      </w:r>
      <w:r>
        <w:t xml:space="preserve">is more broad than the limits of agreement commonly reported in the meta-analyses of Bland-Altman studies.</w:t>
      </w:r>
      <w:r>
        <w:t xml:space="preserve">[6]</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Estimations of</w:t>
      </w:r>
      <w:r>
        <w:t xml:space="preserve"> </w:t>
      </w:r>
      <m:oMath>
        <m:r>
          <m:t>δ</m:t>
        </m:r>
      </m:oMath>
      <w:r>
        <w:t xml:space="preserve"> </w:t>
      </w:r>
      <w:r>
        <w:t xml:space="preserve">and</w:t>
      </w:r>
      <w:r>
        <w:t xml:space="preserve"> </w:t>
      </w:r>
      <m:oMath>
        <m:r>
          <m:t>σ</m:t>
        </m:r>
        <m:r>
          <m:t>2</m:t>
        </m:r>
      </m:oMath>
      <w:r>
        <w:t xml:space="preserve"> </w:t>
      </w:r>
      <w:r>
        <w:t xml:space="preserve">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t xml:space="preserve">[7–9]</w:t>
      </w:r>
      <w:r>
        <w:t xml:space="preserve"> </w:t>
      </w:r>
      <w:r>
        <w:t xml:space="preserve">We used the method-of-moments estimator from DerSimonian &amp; Laird</w:t>
      </w:r>
      <w:r>
        <w:t xml:space="preserve"> </w:t>
      </w:r>
      <w:r>
        <w:t xml:space="preserve">[10]</w:t>
      </w:r>
      <w:r>
        <w:t xml:space="preserve"> </w:t>
      </w:r>
      <w:r>
        <w:t xml:space="preserve">for the</w:t>
      </w:r>
      <w:r>
        <w:t xml:space="preserve"> </w:t>
      </w:r>
      <m:oMath>
        <m:r>
          <m:t>τ</m:t>
        </m:r>
        <m:r>
          <m:t>2</m:t>
        </m:r>
      </m:oMath>
      <w:r>
        <w:t xml:space="preserve"> </w:t>
      </w:r>
      <w:r>
        <w:t xml:space="preserve">parameter.</w:t>
      </w:r>
    </w:p>
    <w:p>
      <w:pPr>
        <w:pStyle w:val="BodyText"/>
      </w:pPr>
      <w:r>
        <w:t xml:space="preserve">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t xml:space="preserve">[11]</w:t>
      </w:r>
      <w:r>
        <w:t xml:space="preserve"> </w:t>
      </w:r>
      <w:r>
        <w:t xml:space="preserve">All data and R code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Prior to conducting the meta-analyses, the results from each study were converted into a standard format, with bias meaning comparator thermometer temperature measurement minus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measurement in degrees Celsius (°C). In several studies, results were reported for multiple groups of participants, therefore in the meta-analysis each of these groups was treated as a separate</w:t>
      </w:r>
      <w:r>
        <w:t xml:space="preserve"> </w:t>
      </w:r>
      <w:r>
        <w:t xml:space="preserve">‘</w:t>
      </w:r>
      <w:r>
        <w:t xml:space="preserve">comparison</w:t>
      </w:r>
      <w:r>
        <w:t xml:space="preserve">’</w:t>
      </w:r>
      <w:r>
        <w:t xml:space="preserve">.</w:t>
      </w:r>
      <w:r>
        <w:t xml:space="preserve">[12–15]</w:t>
      </w:r>
      <w:r>
        <w:t xml:space="preserve"> </w:t>
      </w:r>
      <w:r>
        <w:t xml:space="preserve">Other studies reported multiple sets of results, whereby analyses were conducted between zero-heat-flux and various comparator devices used on the same participant. These instances were also treated as a separate</w:t>
      </w:r>
      <w:r>
        <w:t xml:space="preserve"> </w:t>
      </w:r>
      <w:r>
        <w:t xml:space="preserve">‘</w:t>
      </w:r>
      <w:r>
        <w:t xml:space="preserve">comparison</w:t>
      </w:r>
      <w:r>
        <w:t xml:space="preserve">’</w:t>
      </w:r>
      <w:r>
        <w:t xml:space="preserve"> </w:t>
      </w:r>
      <w:r>
        <w:t xml:space="preserve">if the comparator devices were a part of separate meta-analysis groups.</w:t>
      </w:r>
      <w:r>
        <w:t xml:space="preserve">[15–18]</w:t>
      </w:r>
      <w:r>
        <w:t xml:space="preserve"> </w:t>
      </w:r>
      <w:r>
        <w:t xml:space="preserve">One study used both nasopharyngeal and oropharyngeal temperature as comparators.</w:t>
      </w:r>
      <w:r>
        <w:t xml:space="preserve">[16]</w:t>
      </w:r>
      <w:r>
        <w:t xml:space="preserve"> </w:t>
      </w:r>
      <w:r>
        <w:t xml:space="preserve">Both combined and separate estimates were reported. We used the combined estimate in our primary analysis and the estimate for just the nasopharyngeal temperatures in a subgroup analysis. One study reported intraoperative, postoperative and overall results for the same participants</w:t>
      </w:r>
      <w:r>
        <w:t xml:space="preserve">[19]</w:t>
      </w:r>
      <w:r>
        <w:t xml:space="preserve">. Only the paired measurements from the overall results were included in the main and low risk bias analyses, leaving paired measurements exclusively from the intraoperative and postoperative timepoints to be included in respective meta-analyses subgroups.</w:t>
      </w:r>
      <w:r>
        <w:t xml:space="preserve"> </w:t>
      </w:r>
      <w:r>
        <w:t xml:space="preserve">The conventionally cited clinically acceptable agreement between zero-heat-flux and comparator devices is 0.5°C.</w:t>
      </w:r>
      <w:r>
        <w:t xml:space="preserve">[19]</w:t>
      </w:r>
      <w:r>
        <w:t xml:space="preserve"> </w:t>
      </w:r>
      <w:r>
        <w:t xml:space="preserve">It was deemed that outer confidence bounds for 95% limits of agreement between zero-heat-flux and core temperature measurements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(zero-heat-flux versus temperature measurement at core site) was performed based on risk of bias, whereby</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also conducted a sensitivity analysis for the primary comparison (zero-heat-flux versus temperature measurement at core site) excluding studies that received funding from industry. Probe insertion distance for temperature measurements from the nasopharynx and oropharynx may impact accuracy.</w:t>
      </w:r>
      <w:r>
        <w:t xml:space="preserve">[20]</w:t>
      </w:r>
      <w:r>
        <w:t xml:space="preserve"> </w:t>
      </w:r>
      <w:r>
        <w:t xml:space="preserve">For this reason, we also conducted a separate analysis excuding these comparators and an analysis of the studies that compared temperature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with nasopharyngeal temperature.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pPr>
        <w:pStyle w:val="Heading2"/>
      </w:pPr>
      <w:bookmarkStart w:id="29" w:name="results"/>
      <w:r>
        <w:t xml:space="preserve">Results</w:t>
      </w:r>
      <w:bookmarkEnd w:id="29"/>
    </w:p>
    <w:p>
      <w:pPr>
        <w:pStyle w:val="Heading3"/>
      </w:pPr>
      <w:bookmarkStart w:id="30" w:name="study-selection-and-description"/>
      <w:r>
        <w:t xml:space="preserve">Study selection and description</w:t>
      </w:r>
      <w:bookmarkEnd w:id="30"/>
    </w:p>
    <w:p>
      <w:pPr>
        <w:pStyle w:val="FirstParagraph"/>
      </w:pPr>
      <w:r>
        <w:t xml:space="preserve">Ninteen studies were included (Figure 1). Two studies reported only in abstract form were not included and assigned as</w:t>
      </w:r>
      <w:r>
        <w:t xml:space="preserve"> </w:t>
      </w:r>
      <w:r>
        <w:t xml:space="preserve">‘</w:t>
      </w:r>
      <w:r>
        <w:t xml:space="preserve">studies awaiting classification</w:t>
      </w:r>
      <w:r>
        <w:t xml:space="preserve">’</w:t>
      </w:r>
      <w:r>
        <w:t xml:space="preserve"> </w:t>
      </w:r>
      <w:r>
        <w:t xml:space="preserve">because there was insufficient information provided.</w:t>
      </w:r>
      <w:r>
        <w:t xml:space="preserve">[21, 22]</w:t>
      </w:r>
    </w:p>
    <w:p>
      <w:r>
        <w:br w:type="page"/>
      </w:r>
    </w:p>
    <w:p>
      <w:pPr>
        <w:pStyle w:val="Heading2"/>
      </w:pPr>
      <w:bookmarkStart w:id="31" w:name="discussion"/>
      <w:r>
        <w:t xml:space="preserve">Discussion</w:t>
      </w:r>
      <w:bookmarkEnd w:id="31"/>
    </w:p>
    <w:p>
      <w:pPr>
        <w:pStyle w:val="FirstParagraph"/>
      </w:pPr>
      <w:r>
        <w:t xml:space="preserve">This systematic review showed that a temperature measurement from a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could be as much as about 1°C higher or lower than core temperature. These results may have important implications for practice. It was reassuring that results of our sensitivity analysis restricted to studies assessed to be at low risk of bias using the QUADAS-2 tool were similar. As such, it is vital for healthcare professionals considering using this device to first determine if differences in temperature smaller than this magnitude would be important for the given clinical situation. If so, then it may not be appropriate to substitute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in place of a core thermometer.</w:t>
      </w:r>
    </w:p>
    <w:p>
      <w:pPr>
        <w:pStyle w:val="BodyText"/>
      </w:pPr>
      <w:r>
        <w:t xml:space="preserve">Our estimates of the accuracy of measurements from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are similar to results from a previous meta-analysis that compared other peripheral thermometers, such as sublingual and temporal artery devices, with core temperature measurements.</w:t>
      </w:r>
      <w:r>
        <w:t xml:space="preserve">[23]</w:t>
      </w:r>
      <w:r>
        <w:t xml:space="preserve"> </w:t>
      </w:r>
      <w:r>
        <w:t xml:space="preserve">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pPr>
        <w:pStyle w:val="BodyText"/>
      </w:pPr>
      <w:r>
        <w:t xml:space="preserve">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has been evaluated in various intraoperative contexts as well as in the intensive care unit setting. Our subgroup analyses did not indicate that the accuracy of this temperature monitoring device was any more effective in a particular setting and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device in this setting, where continuous temperature monitoring is often required. Also of note, only two studies included in our systematic review included pediatric patients. Additional studies to evaluate the accuracy of this device in children may be warranted to increase confidence.</w:t>
      </w:r>
    </w:p>
    <w:p>
      <w:pPr>
        <w:pStyle w:val="BodyText"/>
      </w:pPr>
      <w:r>
        <w:t xml:space="preserve">It should be noted that we did not include studies that used the Temple Touch Pro because it is not strictly a zero-heat-flux device. This is a new thermometer that is similar to the zero-heat-flux device in that it is placed cutaneously, but the underlying technology is different.</w:t>
      </w:r>
      <w:r>
        <w:t xml:space="preserve">[24]</w:t>
      </w:r>
      <w:r>
        <w:t xml:space="preserve"> </w:t>
      </w:r>
      <w:r>
        <w:t xml:space="preserve">Likewise, studies that evaluated the Dräger Tcore device were not included because this review focused specifically on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w:t>
      </w:r>
    </w:p>
    <w:p>
      <w:pPr>
        <w:pStyle w:val="BodyText"/>
      </w:pPr>
      <w:r>
        <w:t xml:space="preserve">Many studies in this review analysed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t xml:space="preserve">[6]</w:t>
      </w:r>
    </w:p>
    <w:p>
      <w:pPr>
        <w:pStyle w:val="Heading3"/>
      </w:pPr>
      <w:bookmarkStart w:id="32" w:name="limitations"/>
      <w:r>
        <w:t xml:space="preserve">Limitations</w:t>
      </w:r>
      <w:bookmarkEnd w:id="32"/>
    </w:p>
    <w:p>
      <w:pPr>
        <w:pStyle w:val="FirstParagraph"/>
      </w:pPr>
      <w:r>
        <w:t xml:space="preserve">We did not extract data on adverse events due to temperature monitoring with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The possibility of publication bias cannot be ruled out, although the evidence suggests this may not be as serious of a problem for studies that are not randomized controlled trials.</w:t>
      </w:r>
      <w:r>
        <w:t xml:space="preserve">[25]</w:t>
      </w:r>
      <w:r>
        <w:t xml:space="preserve"> </w:t>
      </w:r>
      <w:r>
        <w:t xml:space="preserve">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 For example,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permits use of the same temperature monitoring device to be used throughout the whole perioperative care pathway. As such, replacing indirect estimates of core temperature, such as infrared tympanic and temporal devices, may be an advantage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Indirect estimates of core temperature are not recommended for use in surgical patients, yet are commonly used because of convenience.</w:t>
      </w:r>
      <w:r>
        <w:t xml:space="preserve">[26]</w:t>
      </w:r>
    </w:p>
    <w:p>
      <w:pPr>
        <w:pStyle w:val="BodyText"/>
      </w:pPr>
      <w:r>
        <w:t xml:space="preserve">Finally, our initial protocol was focused on the accuracy of zero-heat-flux temperature measurements in general, not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specifically. A decision was made after data extraction and analysis was conducted to revise our inclustion criteria and include only studies that reported on the accuracy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for this particular report. This decision was made because of the potential that differences in the technology integrated into zero-heat-flux devices produced by different manufacturers (i.e.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the Dräger Tcore) will influence estimates about the accuracy of zero-heat-flux devices overall. Although revising the inclusion criteria must be considered a limitation, this decision permitted a more targeted evaluation of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and easier interpretation of results.</w:t>
      </w:r>
    </w:p>
    <w:p>
      <w:pPr>
        <w:pStyle w:val="Heading2"/>
      </w:pPr>
      <w:bookmarkStart w:id="33" w:name="conclusion"/>
      <w:r>
        <w:t xml:space="preserve">Conclusion</w:t>
      </w:r>
      <w:bookmarkEnd w:id="33"/>
    </w:p>
    <w:p>
      <w:pPr>
        <w:pStyle w:val="FirstParagraph"/>
      </w:pPr>
      <w:r>
        <w:t xml:space="preserve">Substantial differences between temperature measurements from core and the 3M</w:t>
      </w:r>
      <w:r>
        <w:rPr>
          <w:vertAlign w:val="superscript"/>
        </w:rPr>
        <w:t xml:space="preserve">TM</w:t>
      </w:r>
      <w:r>
        <w:t xml:space="preserve"> </w:t>
      </w:r>
      <w:r>
        <w:t xml:space="preserve">Bair Hugger</w:t>
      </w:r>
      <w:r>
        <w:rPr>
          <w:vertAlign w:val="superscript"/>
        </w:rPr>
        <w:t xml:space="preserve">TM</w:t>
      </w:r>
      <w:r>
        <w:t xml:space="preserve"> </w:t>
      </w:r>
      <w:r>
        <w:t xml:space="preserve">Temperature Monitoring System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
        <w:br w:type="page"/>
      </w:r>
    </w:p>
    <w:p>
      <w:pPr>
        <w:pStyle w:val="Heading1"/>
      </w:pPr>
      <w:bookmarkStart w:id="34" w:name="references"/>
      <w:r>
        <w:t xml:space="preserve">References</w:t>
      </w:r>
      <w:bookmarkEnd w:id="34"/>
    </w:p>
    <w:bookmarkStart w:id="69" w:name="refs"/>
    <w:bookmarkStart w:id="36" w:name="ref-myles2007using"/>
    <w:p>
      <w:pPr>
        <w:pStyle w:val="Bibliography"/>
      </w:pPr>
      <w:r>
        <w:t xml:space="preserve">1. Myles PS, Cui J (2007) I. Using the bland–altman method to measure agreement with repeated measures. BJA: British Journal of Anaesthesia 99:309–311.</w:t>
      </w:r>
      <w:r>
        <w:t xml:space="preserve"> </w:t>
      </w:r>
      <w:hyperlink r:id="rId35">
        <w:r>
          <w:rPr>
            <w:rStyle w:val="Hyperlink"/>
          </w:rPr>
          <w:t xml:space="preserve">https://doi.org/10.1093/bja/aem214</w:t>
        </w:r>
      </w:hyperlink>
    </w:p>
    <w:bookmarkEnd w:id="36"/>
    <w:bookmarkStart w:id="37" w:name="ref-whiting2011quadas"/>
    <w:p>
      <w:pPr>
        <w:pStyle w:val="Bibliography"/>
      </w:pPr>
      <w:r>
        <w:t xml:space="preserve">2. Whiting PF, Rutjes AW, Westwood ME, et al (2011) QUADAS-2: A revised tool for the quality assessment of diagnostic accuracy studies. Annals of Internal Medicine 155:529–536</w:t>
      </w:r>
    </w:p>
    <w:bookmarkEnd w:id="37"/>
    <w:bookmarkStart w:id="38" w:name="ref-glasziou2001systematic"/>
    <w:p>
      <w:pPr>
        <w:pStyle w:val="Bibliography"/>
      </w:pPr>
      <w:r>
        <w:t xml:space="preserve">3. Glasziou P, Irwig L, Bain C, Colditz G (2001) Systematic reviews in health care: A practical guide. Cambridge:Cambridge University Press</w:t>
      </w:r>
    </w:p>
    <w:bookmarkEnd w:id="38"/>
    <w:bookmarkStart w:id="39" w:name="ref-deeks2005performance"/>
    <w:p>
      <w:pPr>
        <w:pStyle w:val="Bibliography"/>
      </w:pPr>
      <w:r>
        <w:t xml:space="preserve">4. Deeks JJ, Macaskill P, Irwig L (2005) The performance of tests of publication bias and other sample size effects in systematic reviews of diagnostic test accuracy was assessed. Journal of Clinical Epidemiology 58:882–893</w:t>
      </w:r>
    </w:p>
    <w:bookmarkEnd w:id="39"/>
    <w:bookmarkStart w:id="40" w:name="ref-schunemann2008grading"/>
    <w:p>
      <w:pPr>
        <w:pStyle w:val="Bibliography"/>
      </w:pPr>
      <w:r>
        <w:t xml:space="preserve">5. Schünemann HJ, Oxman AD, Brozek J, et al (2008) Grading quality of evidence and strength of recommendations for diagnostic tests and strategies. BMJ 336:1106–1110</w:t>
      </w:r>
    </w:p>
    <w:bookmarkEnd w:id="40"/>
    <w:bookmarkStart w:id="41" w:name="ref-tipton2017framework"/>
    <w:p>
      <w:pPr>
        <w:pStyle w:val="Bibliography"/>
      </w:pPr>
      <w:r>
        <w:t xml:space="preserve">6. Tipton E, Shuster J (2017) A framework for the meta-analysis of bland–altman studies based on a limits of agreement approach. Statistics in Medicine 36:3621–3635</w:t>
      </w:r>
    </w:p>
    <w:bookmarkEnd w:id="41"/>
    <w:bookmarkStart w:id="42" w:name="ref-hedges2010robust"/>
    <w:p>
      <w:pPr>
        <w:pStyle w:val="Bibliography"/>
      </w:pPr>
      <w:r>
        <w:t xml:space="preserve">7. Hedges LV, Tipton E, Johnson MC (2010) Robust variance estimation in meta-regression with dependent effect size estimates. Research Synthesis Methods 1:39–65</w:t>
      </w:r>
    </w:p>
    <w:bookmarkEnd w:id="42"/>
    <w:bookmarkStart w:id="43" w:name="ref-tanner2016handling"/>
    <w:p>
      <w:pPr>
        <w:pStyle w:val="Bibliography"/>
      </w:pPr>
      <w:r>
        <w:t xml:space="preserve">8. Tanner-Smith EE, Tipton E, Polanin JR (2016) Handling complex meta-analytic data structures using robust variance estimates: A tutorial in r. Journal of Developmental and Life-Course Criminology 2:85–112</w:t>
      </w:r>
    </w:p>
    <w:bookmarkEnd w:id="43"/>
    <w:bookmarkStart w:id="44" w:name="ref-tipton2015small"/>
    <w:p>
      <w:pPr>
        <w:pStyle w:val="Bibliography"/>
      </w:pPr>
      <w:r>
        <w:t xml:space="preserve">9. Tipton E (2015) Small sample adjustments for robust variance estimation with meta-regression. Psychological Methods 20:375</w:t>
      </w:r>
    </w:p>
    <w:bookmarkEnd w:id="44"/>
    <w:bookmarkStart w:id="45" w:name="ref-dersimonian1986meta"/>
    <w:p>
      <w:pPr>
        <w:pStyle w:val="Bibliography"/>
      </w:pPr>
      <w:r>
        <w:t xml:space="preserve">10. DerSimonian R, Laird N (1986) Meta-analysis in clinical trials. Controlled Clinical Trials 7:177–188</w:t>
      </w:r>
    </w:p>
    <w:bookmarkEnd w:id="45"/>
    <w:bookmarkStart w:id="46" w:name="ref-R2018"/>
    <w:p>
      <w:pPr>
        <w:pStyle w:val="Bibliography"/>
      </w:pPr>
      <w:r>
        <w:t xml:space="preserve">11. R Core Team (2018) R: A language and environment for statistical computing. R Foundation for Statistical Computing, Vienna, Austria</w:t>
      </w:r>
    </w:p>
    <w:bookmarkEnd w:id="46"/>
    <w:bookmarkStart w:id="47" w:name="ref-Boisson_2018"/>
    <w:p>
      <w:pPr>
        <w:pStyle w:val="Bibliography"/>
      </w:pPr>
      <w:r>
        <w:t xml:space="preserve">12. Boisson M, Alaux A, Kerforne T, et al (2018) Intra-operative cutaneous temperature monitoring with zero-heat-flux technique (3M spoton) in comparison with oesophageal and arterial temperature: A prospective observational study. European Journal of Anaesthesiology (EJA) 35:825–830</w:t>
      </w:r>
    </w:p>
    <w:bookmarkEnd w:id="47"/>
    <w:bookmarkStart w:id="49" w:name="ref-Dahyot_Fizelier_2017"/>
    <w:p>
      <w:pPr>
        <w:pStyle w:val="Bibliography"/>
      </w:pPr>
      <w:r>
        <w:t xml:space="preserve">13. Dahyot-Fizelier C, Lamarche S, Kerforne T, et al (2017) Accuracy of zero-heat-flux cutaneous temperature in intensive care adults. Critical Care Medicine 45:e715–e717.</w:t>
      </w:r>
      <w:r>
        <w:t xml:space="preserve"> </w:t>
      </w:r>
      <w:hyperlink r:id="rId48">
        <w:r>
          <w:rPr>
            <w:rStyle w:val="Hyperlink"/>
          </w:rPr>
          <w:t xml:space="preserve">https://doi.org/10.1097/ccm.0000000000002317</w:t>
        </w:r>
      </w:hyperlink>
    </w:p>
    <w:bookmarkEnd w:id="49"/>
    <w:bookmarkStart w:id="51" w:name="ref-Schell_Chaple_2018"/>
    <w:p>
      <w:pPr>
        <w:pStyle w:val="Bibliography"/>
      </w:pPr>
      <w:r>
        <w:t xml:space="preserve">14. Schell-Chaple HM, Liu KD, Matthay MA, Puntillo KA (2018) Rectal and bladder temperatures vs forehead core temperatures measured with SpotOn monitoring system. American Journal of Critical Care 27:43–50.</w:t>
      </w:r>
      <w:r>
        <w:t xml:space="preserve"> </w:t>
      </w:r>
      <w:hyperlink r:id="rId50">
        <w:r>
          <w:rPr>
            <w:rStyle w:val="Hyperlink"/>
          </w:rPr>
          <w:t xml:space="preserve">https://doi.org/10.4037/ajcc2018865</w:t>
        </w:r>
      </w:hyperlink>
    </w:p>
    <w:bookmarkEnd w:id="51"/>
    <w:bookmarkStart w:id="53" w:name="ref-M_kinen_2016"/>
    <w:p>
      <w:pPr>
        <w:pStyle w:val="Bibliography"/>
      </w:pPr>
      <w:r>
        <w:t xml:space="preserve">15. Mäkinen M-T, Pesonen A, Jousela I, et al (2016) Novel zero-heat-flux deep body temperature measurement in lower extremity vascular and cardiac surgery. Journal of Cardiothoracic and Vascular Anesthesia 30:973–978.</w:t>
      </w:r>
      <w:r>
        <w:t xml:space="preserve"> </w:t>
      </w:r>
      <w:hyperlink r:id="rId52">
        <w:r>
          <w:rPr>
            <w:rStyle w:val="Hyperlink"/>
          </w:rPr>
          <w:t xml:space="preserve">https://doi.org/10.1053/j.jvca.2016.03.141</w:t>
        </w:r>
      </w:hyperlink>
    </w:p>
    <w:bookmarkEnd w:id="53"/>
    <w:bookmarkStart w:id="55" w:name="ref-West_2019"/>
    <w:p>
      <w:pPr>
        <w:pStyle w:val="Bibliography"/>
      </w:pPr>
      <w:r>
        <w:t xml:space="preserve">16. West N, Cooke E, Morse D, et al (2019) Zero-heat-flux core temperature monitoring system: An observational secondary analysis to evaluate agreement with naso-/oropharyngeal probe during anesthesia. Journal of Clinical Monitoring and Computing.</w:t>
      </w:r>
      <w:r>
        <w:t xml:space="preserve"> </w:t>
      </w:r>
      <w:hyperlink r:id="rId54">
        <w:r>
          <w:rPr>
            <w:rStyle w:val="Hyperlink"/>
          </w:rPr>
          <w:t xml:space="preserve">https://doi.org/10.1007/s10877-019-00411-y</w:t>
        </w:r>
      </w:hyperlink>
    </w:p>
    <w:bookmarkEnd w:id="55"/>
    <w:bookmarkStart w:id="57" w:name="ref-Pesonen_2018"/>
    <w:p>
      <w:pPr>
        <w:pStyle w:val="Bibliography"/>
      </w:pPr>
      <w:r>
        <w:t xml:space="preserve">17. Pesonen E, Silvasti-Lundell M, Niemi TT, et al (2018) The focus of temperature monitoring with zero-heat-flux technology (3M bair-hugger): A clinical study with patients undergoing craniotomy. Journal of Clinical Monitoring and Computing 33:917–923.</w:t>
      </w:r>
      <w:r>
        <w:t xml:space="preserve"> </w:t>
      </w:r>
      <w:hyperlink r:id="rId56">
        <w:r>
          <w:rPr>
            <w:rStyle w:val="Hyperlink"/>
          </w:rPr>
          <w:t xml:space="preserve">https://doi.org/10.1007/s10877-018-0227-z</w:t>
        </w:r>
      </w:hyperlink>
    </w:p>
    <w:bookmarkEnd w:id="57"/>
    <w:bookmarkStart w:id="59" w:name="ref-Iden_2015"/>
    <w:p>
      <w:pPr>
        <w:pStyle w:val="Bibliography"/>
      </w:pPr>
      <w:r>
        <w:t xml:space="preserve">18. Iden T, Horn E-P, Bein B, et al (2015) Intraoperative temperature monitoring with zero heat flux technology (3M SpotOn sensor) in comparison with sublingual and nasopharyngeal temperature. European Journal of Anaesthesiology 32:387–391.</w:t>
      </w:r>
      <w:r>
        <w:t xml:space="preserve"> </w:t>
      </w:r>
      <w:hyperlink r:id="rId58">
        <w:r>
          <w:rPr>
            <w:rStyle w:val="Hyperlink"/>
          </w:rPr>
          <w:t xml:space="preserve">https://doi.org/10.1097/eja.0000000000000232</w:t>
        </w:r>
      </w:hyperlink>
    </w:p>
    <w:bookmarkEnd w:id="59"/>
    <w:bookmarkStart w:id="60" w:name="ref-eshraghi2014"/>
    <w:p>
      <w:pPr>
        <w:pStyle w:val="Bibliography"/>
      </w:pPr>
      <w:r>
        <w:t xml:space="preserve">19. Eshraghi Y, Nasr V, Parra-Sanchez I, et al (2014) An evaluation of a zero-heat-flux cutaneous thermometer in cardiac surgical patients. Anesthesia &amp; Analgesia 119:543–549</w:t>
      </w:r>
    </w:p>
    <w:bookmarkEnd w:id="60"/>
    <w:bookmarkStart w:id="62" w:name="ref-Lim_2016"/>
    <w:p>
      <w:pPr>
        <w:pStyle w:val="Bibliography"/>
      </w:pPr>
      <w:r>
        <w:t xml:space="preserve">20. Lim Hyungsun KD-C Kim Boram (2016) A comparison of the temperature difference according to the placement of a nasopharyngeal temperature probe. Korean J Anesthesiol 69:357–361.</w:t>
      </w:r>
      <w:r>
        <w:t xml:space="preserve"> </w:t>
      </w:r>
      <w:hyperlink r:id="rId61">
        <w:r>
          <w:rPr>
            <w:rStyle w:val="Hyperlink"/>
          </w:rPr>
          <w:t xml:space="preserve">https://doi.org/10.4097/kjae.2016.69.4.357</w:t>
        </w:r>
      </w:hyperlink>
    </w:p>
    <w:bookmarkEnd w:id="62"/>
    <w:bookmarkStart w:id="63" w:name="ref-cullen2015measuring"/>
    <w:p>
      <w:pPr>
        <w:pStyle w:val="Bibliography"/>
      </w:pPr>
      <w:r>
        <w:t xml:space="preserve">21. Cullen S, Brown J (2015) Measuring core temperature-an audit:47. Anaesthesia 70 (S3):11–101</w:t>
      </w:r>
    </w:p>
    <w:bookmarkEnd w:id="63"/>
    <w:bookmarkStart w:id="64" w:name="ref-VendrellJorda2016"/>
    <w:p>
      <w:pPr>
        <w:pStyle w:val="Bibliography"/>
      </w:pPr>
      <w:r>
        <w:t xml:space="preserve">22. Vendrell JM, Lacambra BM, Bassas PE, et al (2016) Zero-heat-flux cutaneous thermometer for core temperature measurements in extreme situations. Journal of Neurosurgical Anesthesiology 228:S33</w:t>
      </w:r>
    </w:p>
    <w:bookmarkEnd w:id="64"/>
    <w:bookmarkStart w:id="65" w:name="ref-niven2015accuracy"/>
    <w:p>
      <w:pPr>
        <w:pStyle w:val="Bibliography"/>
      </w:pPr>
      <w:r>
        <w:t xml:space="preserve">23. Niven DJ, Gaudet JE, Laupland KB, et al (2015) Accuracy of peripheral thermometers for estimating temperature: A systematic review and meta-analysis. Annals of Internal Medicine 163:768–777</w:t>
      </w:r>
    </w:p>
    <w:bookmarkEnd w:id="65"/>
    <w:bookmarkStart w:id="66" w:name="ref-evron2017evaluation"/>
    <w:p>
      <w:pPr>
        <w:pStyle w:val="Bibliography"/>
      </w:pPr>
      <w:r>
        <w:t xml:space="preserve">24. Evron S, Weissman A, Toivis V, et al (2017) Evaluation of the temple touch pro, a novel noninvasive core-temperature monitoring system. Anesthesia &amp; Analgesia 125:103–109</w:t>
      </w:r>
    </w:p>
    <w:bookmarkEnd w:id="66"/>
    <w:bookmarkStart w:id="67" w:name="ref-begg2005systematic"/>
    <w:p>
      <w:pPr>
        <w:pStyle w:val="Bibliography"/>
      </w:pPr>
      <w:r>
        <w:t xml:space="preserve">25. Begg CB (2005) Systematic reviews of diagnostic accuracy studies require study by study examination: First for heterogeneity, and then for sources of heterogeneity. Journal of Clinical Epidemiology 58:865</w:t>
      </w:r>
    </w:p>
    <w:bookmarkEnd w:id="67"/>
    <w:bookmarkStart w:id="68" w:name="ref-riley2018inadvertent"/>
    <w:p>
      <w:pPr>
        <w:pStyle w:val="Bibliography"/>
      </w:pPr>
      <w:r>
        <w:t xml:space="preserve">26. Riley C, Andrzejowski J (2018) Inadvertent perioperative hypothermia. BJA Education 18:227–233</w:t>
      </w:r>
    </w:p>
    <w:bookmarkEnd w:id="68"/>
    <w:bookmarkEnd w:id="69"/>
    <w:p>
      <w:r>
        <w:br w:type="page"/>
      </w:r>
    </w:p>
    <w:p>
      <w:pPr>
        <w:pStyle w:val="Heading1"/>
      </w:pPr>
      <w:bookmarkStart w:id="70" w:name="figure-legend"/>
      <w:r>
        <w:t xml:space="preserve">Figure legend</w:t>
      </w:r>
      <w:bookmarkEnd w:id="70"/>
    </w:p>
    <w:p>
      <w:pPr>
        <w:pStyle w:val="FirstParagraph"/>
      </w:pPr>
      <w:r>
        <w:t xml:space="preserve">Fig. 1 PRISMA Flow Diagram</w:t>
      </w:r>
    </w:p>
    <w:p>
      <w:pPr>
        <w:pStyle w:val="BodyText"/>
      </w:pPr>
      <w:r>
        <w:t xml:space="preserve">Fig. 2 Risk of bias assessments for included studies</w:t>
      </w:r>
    </w:p>
    <w:p>
      <w:pPr>
        <w:pStyle w:val="BodyText"/>
      </w:pPr>
      <w:r>
        <w:t xml:space="preserve">Fig. 3 Comparisons between core and zero-heat-flux thermometers within and across studies</w:t>
      </w:r>
    </w:p>
    <w:p>
      <w:r>
        <w:br w:type="page"/>
      </w:r>
    </w:p>
    <w:p>
      <w:pPr>
        <w:pStyle w:val="Heading1"/>
      </w:pPr>
      <w:bookmarkStart w:id="71" w:name="appendix"/>
      <w:r>
        <w:t xml:space="preserve">Appendix</w:t>
      </w:r>
      <w:bookmarkEnd w:id="71"/>
    </w:p>
    <w:p>
      <w:pPr>
        <w:pStyle w:val="Heading2"/>
      </w:pPr>
      <w:bookmarkStart w:id="72" w:name="medline-search-strategy"/>
      <w:r>
        <w:t xml:space="preserve">Medline search strategy</w:t>
      </w:r>
      <w:bookmarkEnd w:id="72"/>
    </w:p>
    <w:p>
      <w:pPr>
        <w:pStyle w:val="Heading2"/>
      </w:pPr>
      <w:bookmarkStart w:id="73" w:name="embase-search-strategy"/>
      <w:r>
        <w:t xml:space="preserve">EMBASE search strategy</w:t>
      </w:r>
      <w:bookmarkEnd w:id="73"/>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74" w:name="table-1-study-characteristics"/>
      <w:r>
        <w:t xml:space="preserve">Table 1: Study Characteristics</w:t>
      </w:r>
      <w:bookmarkEnd w:id="7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4519"/>
        <w:tblLook w:firstRow="1" w:lastRow="0" w:firstColumn="0" w:lastColumn="0" w:noHBand="0" w:noVBand="1"/>
      </w:tblPr>
      <w:tblGrid>
        <w:gridCol w:w="856"/>
        <w:gridCol w:w="1467"/>
        <w:gridCol w:w="699"/>
        <w:gridCol w:w="1851"/>
        <w:gridCol w:w="1701"/>
        <w:gridCol w:w="1767"/>
        <w:gridCol w:w="4334"/>
        <w:gridCol w:w="2868"/>
        <w:gridCol w:w="1572"/>
        <w:gridCol w:w="1867"/>
        <w:gridCol w:w="744"/>
        <w:gridCol w:w="1851"/>
        <w:gridCol w:w="1078"/>
        <w:gridCol w:w="1866"/>
      </w:tblGrid>
      <w:tr>
        <w:trPr>
          <w:cantSplit/>
          <w:trHeight w:val="332" w:hRule="auto"/>
          <w:tblHeader/>
        </w:trPr>
        <w:tc>
          <w:tcPr>
            <w:gridSpan w:val="3"/>
            <w:tcBorders/>
            <w:shd w:val="clear" w:color="auto" w:fill="0080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Study</w:t>
            </w:r>
          </w:p>
        </w:tc>
        <w:tc>
          <w:tcPr>
            <w:gridSpan w:val="4"/>
            <w:tcBorders/>
            <w:shd w:val="clear" w:color="auto" w:fill="EE721A"/>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Participants</w:t>
            </w:r>
          </w:p>
        </w:tc>
        <w:tc>
          <w:tcPr>
            <w:gridSpan w:val="7"/>
            <w:tcBorders/>
            <w:shd w:val="clear" w:color="auto" w:fill="930093"/>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Blood pressure measurements</w:t>
            </w:r>
          </w:p>
        </w:tc>
      </w:tr>
      <w:tr>
        <w:trPr>
          <w:cantSplit/>
          <w:trHeight w:val="683" w:hRule="auto"/>
          <w:tblHeader/>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365760" cy="27432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2"/>
                          <a:srcRect/>
                          <a:stretch>
                            <a:fillRect/>
                          </a:stretch>
                        </pic:blipFill>
                        <pic:spPr bwMode="auto">
                          <a:xfrm>
                            <a:off x="0" y="0"/>
                            <a:ext cx="5080" cy="381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 (years)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CNAP device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Comparator</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r>
      <w:tr>
        <w:trPr>
          <w:cantSplit/>
          <w:trHeight w:val="539" w:hRule="auto"/>
        </w:trPr>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2018</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Berkelmans</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6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6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74 (9)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Atrial fibrillation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 Medium care unit or Coronary care unit</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6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4650</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66"/>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6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Sinus Rhythm</w:t>
            </w: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6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69"/>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Greiwe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70"/>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 [59, 76)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Cardiological or Cardio-Surgical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7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27900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73"/>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Bindra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74"/>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7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62.2 [28 to 87]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7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77"/>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Lakhal</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78"/>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79"/>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(13)</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Surgical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radialfemoral</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182</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80"/>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546</w:t>
            </w:r>
          </w:p>
        </w:tc>
        <w:tc>
          <w:tcPr>
            <w:vMerge w:val="restart"/>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81"/>
                          <a:srcRect/>
                          <a:stretch>
                            <a:fillRect/>
                          </a:stretch>
                        </pic:blipFill>
                        <pic:spPr bwMode="auto">
                          <a:xfrm>
                            <a:off x="0" y="0"/>
                            <a:ext cx="12700" cy="2540"/>
                          </a:xfrm>
                          <a:prstGeom prst="rect">
                            <a:avLst/>
                          </a:prstGeom>
                          <a:noFill/>
                        </pic:spPr>
                      </pic:pic>
                    </a:graphicData>
                  </a:graphic>
                </wp:inline>
              </w:drawing>
            </w:r>
          </w:p>
        </w:tc>
      </w:tr>
      <w:tr>
        <w:trPr>
          <w:cantSplit/>
          <w:trHeight w:val="434"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brachialopposite</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396"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w:t>
            </w: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Ilies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70"/>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8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68.8 (9.4)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Cardiovascular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8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11222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8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Langwieser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70"/>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8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 [60,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8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7304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87"/>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Smolle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88"/>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8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 [56, 72)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9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9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Wagner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70"/>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9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 [52, 71)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9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4891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9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Ameloot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95"/>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96"/>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57.6 (19.4)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Medical-­Surgical-­Burns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9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9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9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100"/>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brachial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10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102"/>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Hofhuizen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6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10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 [50 to 81]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10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105"/>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Martina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6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10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 (11)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10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8700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108"/>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70"/>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10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 [54 to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11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2993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111"/>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Hohn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70"/>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11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 [18 to 82]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11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114"/>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70"/>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11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11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2879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117"/>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70"/>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11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 [51, 74)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11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4502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120"/>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Fischer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78"/>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12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 [22 to 85]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Post-operative cardiac surgery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a:picLocks noChangeAspect="1" noChangeArrowheads="1"/>
                          </pic:cNvPicPr>
                        </pic:nvPicPr>
                        <pic:blipFill>
                          <a:blip r:embed="rId12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123"/>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70"/>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12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 [61.5, 73.5)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12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76826</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126"/>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Novak</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12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a:picLocks noChangeAspect="1" noChangeArrowheads="1"/>
                          </pic:cNvPicPr>
                        </pic:nvPicPr>
                        <pic:blipFill>
                          <a:blip r:embed="rId12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 to 78]</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a:picLocks noChangeAspect="1" noChangeArrowheads="1"/>
                          </pic:cNvPicPr>
                        </pic:nvPicPr>
                        <pic:blipFill>
                          <a:blip r:embed="rId12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100323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a:picLocks noChangeAspect="1" noChangeArrowheads="1"/>
                          </pic:cNvPicPr>
                        </pic:nvPicPr>
                        <pic:blipFill>
                          <a:blip r:embed="rId130"/>
                          <a:srcRect/>
                          <a:stretch>
                            <a:fillRect/>
                          </a:stretch>
                        </pic:blipFill>
                        <pic:spPr bwMode="auto">
                          <a:xfrm>
                            <a:off x="0" y="0"/>
                            <a:ext cx="12700" cy="2540"/>
                          </a:xfrm>
                          <a:prstGeom prst="rect">
                            <a:avLst/>
                          </a:prstGeom>
                          <a:noFill/>
                        </pic:spPr>
                      </pic:pic>
                    </a:graphicData>
                  </a:graphic>
                </wp:inline>
              </w:drawing>
            </w:r>
          </w:p>
        </w:tc>
      </w:tr>
      <w:tr>
        <w:trPr>
          <w:cantSplit/>
          <w:trHeight w:val="5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Searle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
                          <pic:cNvPicPr>
                            <a:picLocks noChangeAspect="1" noChangeArrowheads="1"/>
                          </pic:cNvPicPr>
                        </pic:nvPicPr>
                        <pic:blipFill>
                          <a:blip r:embed="rId12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pic:cNvPicPr>
                            <a:picLocks noChangeAspect="1" noChangeArrowheads="1"/>
                          </pic:cNvPicPr>
                        </pic:nvPicPr>
                        <pic:blipFill>
                          <a:blip r:embed="rId13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60.8 (11.7)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
                          <pic:cNvPicPr>
                            <a:picLocks noChangeAspect="1" noChangeArrowheads="1"/>
                          </pic:cNvPicPr>
                        </pic:nvPicPr>
                        <pic:blipFill>
                          <a:blip r:embed="rId13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
                          <pic:cNvPicPr>
                            <a:picLocks noChangeAspect="1" noChangeArrowheads="1"/>
                          </pic:cNvPicPr>
                        </pic:nvPicPr>
                        <pic:blipFill>
                          <a:blip r:embed="rId133"/>
                          <a:srcRect/>
                          <a:stretch>
                            <a:fillRect/>
                          </a:stretch>
                        </pic:blipFill>
                        <pic:spPr bwMode="auto">
                          <a:xfrm>
                            <a:off x="0" y="0"/>
                            <a:ext cx="12700" cy="2540"/>
                          </a:xfrm>
                          <a:prstGeom prst="rect">
                            <a:avLst/>
                          </a:prstGeom>
                          <a:noFill/>
                        </pic:spPr>
                      </pic:pic>
                    </a:graphicData>
                  </a:graphic>
                </wp:inline>
              </w:drawing>
            </w:r>
          </w:p>
        </w:tc>
      </w:tr>
    </w:tbl>
    <w:p>
      <w:r>
        <w:br w:type="page"/>
      </w:r>
    </w:p>
    <w:p>
      <w:pPr>
        <w:pStyle w:val="Heading3"/>
      </w:pPr>
      <w:bookmarkStart w:id="75" w:name="table-2-results-of-meta-analyses"/>
      <w:r>
        <w:t xml:space="preserve">Table 2: Results of meta-analyses</w:t>
      </w:r>
      <w:bookmarkEnd w:id="7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414"/>
        <w:tblLook w:firstRow="1" w:lastRow="0" w:firstColumn="0" w:lastColumn="0" w:noHBand="0" w:noVBand="1"/>
      </w:tblPr>
      <w:tblGrid>
        <w:gridCol w:w="1714"/>
        <w:gridCol w:w="994"/>
        <w:gridCol w:w="1526"/>
        <w:gridCol w:w="1354"/>
        <w:gridCol w:w="1714"/>
        <w:gridCol w:w="806"/>
        <w:gridCol w:w="806"/>
        <w:gridCol w:w="864"/>
        <w:gridCol w:w="850"/>
        <w:gridCol w:w="1080"/>
        <w:gridCol w:w="1354"/>
        <w:gridCol w:w="1354"/>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LoA</w:t>
            </w:r>
          </w:p>
        </w:tc>
      </w:tr>
      <w:tr>
        <w:trPr>
          <w:cantSplit/>
          <w:trHeight w:val="360" w:hRule="auto"/>
          <w:tblHeader/>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Comparisons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b</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τ</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 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262,352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56.11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 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760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262,235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219.72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 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Volume Clamp 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-97.44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94.17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Volume Clamp 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139,531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317.65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Volume Clamp 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-137.63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AAT 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127.48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49.91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AAT 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65.27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AAT 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 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15,466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-295.59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293.42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 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15,349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 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15,466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 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186.54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 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74.82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 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 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149.32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 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92.08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-1430.91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1428.36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 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504.36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 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 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 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 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Inf</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 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 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 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305.93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 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593.61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 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 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172,366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128.06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 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172,366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-285.69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289.87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 MAP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72,094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-16.64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-80.36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82.67</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Units are mmHg</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Variance</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Measure of heterogeneity</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LoA = Limits of Agreement</w:t>
            </w:r>
          </w:p>
        </w:tc>
      </w:tr>
      <w:tr>
        <w:trPr>
          <w:cantSplit/>
          <w:trHeight w:val="360" w:hRule="auto"/>
        </w:trPr>
        <w:tc>
          <w:tcPr>
            <w:gridSpan w:val="12"/>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Intervals</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22" Type="http://schemas.openxmlformats.org/officeDocument/2006/relationships/hyperlink" Target="" TargetMode="External"/><Relationship Id="rId56" Type="http://schemas.openxmlformats.org/officeDocument/2006/relationships/hyperlink" Target="https://doi.org/10.1007/s10877-018-0227-z" TargetMode="External"/><Relationship Id="rId54" Type="http://schemas.openxmlformats.org/officeDocument/2006/relationships/hyperlink" Target="https://doi.org/10.1007/s10877-019-00411-y" TargetMode="External"/><Relationship Id="rId52" Type="http://schemas.openxmlformats.org/officeDocument/2006/relationships/hyperlink" Target="https://doi.org/10.1053/j.jvca.2016.03.141" TargetMode="External"/><Relationship Id="rId35" Type="http://schemas.openxmlformats.org/officeDocument/2006/relationships/hyperlink" Target="https://doi.org/10.1093/bja/aem214" TargetMode="External"/><Relationship Id="rId48" Type="http://schemas.openxmlformats.org/officeDocument/2006/relationships/hyperlink" Target="https://doi.org/10.1097/ccm.0000000000002317" TargetMode="External"/><Relationship Id="rId58" Type="http://schemas.openxmlformats.org/officeDocument/2006/relationships/hyperlink" Target="https://doi.org/10.1097/eja.0000000000000232" TargetMode="External"/><Relationship Id="rId50" Type="http://schemas.openxmlformats.org/officeDocument/2006/relationships/hyperlink" Target="https://doi.org/10.4037/ajcc2018865" TargetMode="External"/><Relationship Id="rId61" Type="http://schemas.openxmlformats.org/officeDocument/2006/relationships/hyperlink" Target="https://doi.org/10.4097/kjae.2016.69.4.357" TargetMode="External"/><Relationship Id="rId23" Type="http://schemas.openxmlformats.org/officeDocument/2006/relationships/hyperlink" Target="https://github.com/nkamboj06/cnap-review" TargetMode="External"/><Relationship Id="rId62" Type="http://schemas.openxmlformats.org/officeDocument/2006/relationships/image" Target="media/file31b039fb37a4.png"/><Relationship Id="rId63" Type="http://schemas.openxmlformats.org/officeDocument/2006/relationships/image" Target="media/file31b01c020db9.png"/><Relationship Id="rId64" Type="http://schemas.openxmlformats.org/officeDocument/2006/relationships/image" Target="media/file31b04ad2fb0c.png"/><Relationship Id="rId65" Type="http://schemas.openxmlformats.org/officeDocument/2006/relationships/image" Target="media/file31b0615ff734.png"/><Relationship Id="rId66" Type="http://schemas.openxmlformats.org/officeDocument/2006/relationships/image" Target="media/file31b0635ea8dd.png"/><Relationship Id="rId67" Type="http://schemas.openxmlformats.org/officeDocument/2006/relationships/image" Target="media/file31b05ba07822.png"/><Relationship Id="rId68" Type="http://schemas.openxmlformats.org/officeDocument/2006/relationships/image" Target="media/file31b042f2f2d.png"/><Relationship Id="rId69" Type="http://schemas.openxmlformats.org/officeDocument/2006/relationships/image" Target="media/file31b035c23580.png"/><Relationship Id="rId70" Type="http://schemas.openxmlformats.org/officeDocument/2006/relationships/image" Target="media/file31b061468212.png"/><Relationship Id="rId71" Type="http://schemas.openxmlformats.org/officeDocument/2006/relationships/image" Target="media/file31b05c059da2.png"/><Relationship Id="rId72" Type="http://schemas.openxmlformats.org/officeDocument/2006/relationships/image" Target="media/file31b074b025e0.png"/><Relationship Id="rId73" Type="http://schemas.openxmlformats.org/officeDocument/2006/relationships/image" Target="media/file31b05886d0f9.png"/><Relationship Id="rId74" Type="http://schemas.openxmlformats.org/officeDocument/2006/relationships/image" Target="media/file31b07b01b8d6.png"/><Relationship Id="rId75" Type="http://schemas.openxmlformats.org/officeDocument/2006/relationships/image" Target="media/file31b02e0e28b1.png"/><Relationship Id="rId76" Type="http://schemas.openxmlformats.org/officeDocument/2006/relationships/image" Target="media/file31b023919416.png"/><Relationship Id="rId77" Type="http://schemas.openxmlformats.org/officeDocument/2006/relationships/image" Target="media/file31b02a914298.png"/><Relationship Id="rId78" Type="http://schemas.openxmlformats.org/officeDocument/2006/relationships/image" Target="media/file31b026ab1efd.png"/><Relationship Id="rId79" Type="http://schemas.openxmlformats.org/officeDocument/2006/relationships/image" Target="media/file31b02c7f87e0.png"/><Relationship Id="rId80" Type="http://schemas.openxmlformats.org/officeDocument/2006/relationships/image" Target="media/file31b068b199f2.png"/><Relationship Id="rId81" Type="http://schemas.openxmlformats.org/officeDocument/2006/relationships/image" Target="media/file31b063f21490.png"/><Relationship Id="rId82" Type="http://schemas.openxmlformats.org/officeDocument/2006/relationships/image" Target="media/file31b02a242d33.png"/><Relationship Id="rId83" Type="http://schemas.openxmlformats.org/officeDocument/2006/relationships/image" Target="media/file31b02d1384e2.png"/><Relationship Id="rId84" Type="http://schemas.openxmlformats.org/officeDocument/2006/relationships/image" Target="media/file31b05c79288c.png"/><Relationship Id="rId85" Type="http://schemas.openxmlformats.org/officeDocument/2006/relationships/image" Target="media/file31b016552ec2.png"/><Relationship Id="rId86" Type="http://schemas.openxmlformats.org/officeDocument/2006/relationships/image" Target="media/file31b03270ce02.png"/><Relationship Id="rId87" Type="http://schemas.openxmlformats.org/officeDocument/2006/relationships/image" Target="media/file31b0be4ff2d.png"/><Relationship Id="rId88" Type="http://schemas.openxmlformats.org/officeDocument/2006/relationships/image" Target="media/file31b0672ce974.png"/><Relationship Id="rId89" Type="http://schemas.openxmlformats.org/officeDocument/2006/relationships/image" Target="media/file31b03592f397.png"/><Relationship Id="rId90" Type="http://schemas.openxmlformats.org/officeDocument/2006/relationships/image" Target="media/file31b042b659fb.png"/><Relationship Id="rId91" Type="http://schemas.openxmlformats.org/officeDocument/2006/relationships/image" Target="media/file31b051cd8ff4.png"/><Relationship Id="rId92" Type="http://schemas.openxmlformats.org/officeDocument/2006/relationships/image" Target="media/file31b0ea60621.png"/><Relationship Id="rId93" Type="http://schemas.openxmlformats.org/officeDocument/2006/relationships/image" Target="media/file31b035dc680a.png"/><Relationship Id="rId94" Type="http://schemas.openxmlformats.org/officeDocument/2006/relationships/image" Target="media/file31b019328426.png"/><Relationship Id="rId95" Type="http://schemas.openxmlformats.org/officeDocument/2006/relationships/image" Target="media/file31b04381e7b6.png"/><Relationship Id="rId96" Type="http://schemas.openxmlformats.org/officeDocument/2006/relationships/image" Target="media/file31b0593805a.png"/><Relationship Id="rId97" Type="http://schemas.openxmlformats.org/officeDocument/2006/relationships/image" Target="media/file31b016cf9792.png"/><Relationship Id="rId98" Type="http://schemas.openxmlformats.org/officeDocument/2006/relationships/image" Target="media/file31b016e7fdf1.png"/><Relationship Id="rId99" Type="http://schemas.openxmlformats.org/officeDocument/2006/relationships/image" Target="media/file31b058d0e4f6.png"/><Relationship Id="rId100" Type="http://schemas.openxmlformats.org/officeDocument/2006/relationships/image" Target="media/file31b07a680007.png"/><Relationship Id="rId101" Type="http://schemas.openxmlformats.org/officeDocument/2006/relationships/image" Target="media/file31b041da0a59.png"/><Relationship Id="rId102" Type="http://schemas.openxmlformats.org/officeDocument/2006/relationships/image" Target="media/file31b051dd7ad5.png"/><Relationship Id="rId103" Type="http://schemas.openxmlformats.org/officeDocument/2006/relationships/image" Target="media/file31b023ab5ff0.png"/><Relationship Id="rId104" Type="http://schemas.openxmlformats.org/officeDocument/2006/relationships/image" Target="media/file31b0482797db.png"/><Relationship Id="rId105" Type="http://schemas.openxmlformats.org/officeDocument/2006/relationships/image" Target="media/file31b01f62cfdf.png"/><Relationship Id="rId106" Type="http://schemas.openxmlformats.org/officeDocument/2006/relationships/image" Target="media/file31b0103d4992.png"/><Relationship Id="rId107" Type="http://schemas.openxmlformats.org/officeDocument/2006/relationships/image" Target="media/file31b027a91892.png"/><Relationship Id="rId108" Type="http://schemas.openxmlformats.org/officeDocument/2006/relationships/image" Target="media/file31b04e8c2d95.png"/><Relationship Id="rId109" Type="http://schemas.openxmlformats.org/officeDocument/2006/relationships/image" Target="media/file31b05504b97c.png"/><Relationship Id="rId110" Type="http://schemas.openxmlformats.org/officeDocument/2006/relationships/image" Target="media/file31b0292da77f.png"/><Relationship Id="rId111" Type="http://schemas.openxmlformats.org/officeDocument/2006/relationships/image" Target="media/file31b0744f97f7.png"/><Relationship Id="rId112" Type="http://schemas.openxmlformats.org/officeDocument/2006/relationships/image" Target="media/file31b0158214c9.png"/><Relationship Id="rId113" Type="http://schemas.openxmlformats.org/officeDocument/2006/relationships/image" Target="media/file31b0f22a327.png"/><Relationship Id="rId114" Type="http://schemas.openxmlformats.org/officeDocument/2006/relationships/image" Target="media/file31b02b055d34.png"/><Relationship Id="rId115" Type="http://schemas.openxmlformats.org/officeDocument/2006/relationships/image" Target="media/file31b06d2a16fc.png"/><Relationship Id="rId116" Type="http://schemas.openxmlformats.org/officeDocument/2006/relationships/image" Target="media/file31b0664b3261.png"/><Relationship Id="rId117" Type="http://schemas.openxmlformats.org/officeDocument/2006/relationships/image" Target="media/file31b052d8b2be.png"/><Relationship Id="rId118" Type="http://schemas.openxmlformats.org/officeDocument/2006/relationships/image" Target="media/file31b010bf0270.png"/><Relationship Id="rId119" Type="http://schemas.openxmlformats.org/officeDocument/2006/relationships/image" Target="media/file31b06c390fa6.png"/><Relationship Id="rId120" Type="http://schemas.openxmlformats.org/officeDocument/2006/relationships/image" Target="media/file31b0163292cc.png"/><Relationship Id="rId121" Type="http://schemas.openxmlformats.org/officeDocument/2006/relationships/image" Target="media/file31b052439a76.png"/><Relationship Id="rId122" Type="http://schemas.openxmlformats.org/officeDocument/2006/relationships/image" Target="media/file31b05451e32b.png"/><Relationship Id="rId123" Type="http://schemas.openxmlformats.org/officeDocument/2006/relationships/image" Target="media/file31b04c19474c.png"/><Relationship Id="rId124" Type="http://schemas.openxmlformats.org/officeDocument/2006/relationships/image" Target="media/file31b0f97f59c.png"/><Relationship Id="rId125" Type="http://schemas.openxmlformats.org/officeDocument/2006/relationships/image" Target="media/file31b0417ddcc3.png"/><Relationship Id="rId126" Type="http://schemas.openxmlformats.org/officeDocument/2006/relationships/image" Target="media/file31b02e28a7cc.png"/><Relationship Id="rId127" Type="http://schemas.openxmlformats.org/officeDocument/2006/relationships/image" Target="media/file31b06f2059c0.png"/><Relationship Id="rId128" Type="http://schemas.openxmlformats.org/officeDocument/2006/relationships/image" Target="media/file31b034e4853f.png"/><Relationship Id="rId129" Type="http://schemas.openxmlformats.org/officeDocument/2006/relationships/image" Target="media/file31b06e8063a.png"/><Relationship Id="rId130" Type="http://schemas.openxmlformats.org/officeDocument/2006/relationships/image" Target="media/file31b06af0cd60.png"/><Relationship Id="rId131" Type="http://schemas.openxmlformats.org/officeDocument/2006/relationships/image" Target="media/file31b0673b9079.png"/><Relationship Id="rId132" Type="http://schemas.openxmlformats.org/officeDocument/2006/relationships/image" Target="media/file31b0778a2ce1.png"/><Relationship Id="rId133" Type="http://schemas.openxmlformats.org/officeDocument/2006/relationships/image" Target="media/file31b01088a517.png"/></Relationships>
</file>

<file path=word/_rels/footnotes.xml.rels><?xml version="1.0" encoding="UTF-8" standalone="yes"?>
<Relationships  xmlns="http://schemas.openxmlformats.org/package/2006/relationships"><Relationship Id="rId22" Type="http://schemas.openxmlformats.org/officeDocument/2006/relationships/hyperlink" Target="" TargetMode="External"/><Relationship Id="rId56" Type="http://schemas.openxmlformats.org/officeDocument/2006/relationships/hyperlink" Target="https://doi.org/10.1007/s10877-018-0227-z" TargetMode="External"/><Relationship Id="rId54" Type="http://schemas.openxmlformats.org/officeDocument/2006/relationships/hyperlink" Target="https://doi.org/10.1007/s10877-019-00411-y" TargetMode="External"/><Relationship Id="rId52" Type="http://schemas.openxmlformats.org/officeDocument/2006/relationships/hyperlink" Target="https://doi.org/10.1053/j.jvca.2016.03.141" TargetMode="External"/><Relationship Id="rId35" Type="http://schemas.openxmlformats.org/officeDocument/2006/relationships/hyperlink" Target="https://doi.org/10.1093/bja/aem214" TargetMode="External"/><Relationship Id="rId48" Type="http://schemas.openxmlformats.org/officeDocument/2006/relationships/hyperlink" Target="https://doi.org/10.1097/ccm.0000000000002317" TargetMode="External"/><Relationship Id="rId58" Type="http://schemas.openxmlformats.org/officeDocument/2006/relationships/hyperlink" Target="https://doi.org/10.1097/eja.0000000000000232" TargetMode="External"/><Relationship Id="rId50" Type="http://schemas.openxmlformats.org/officeDocument/2006/relationships/hyperlink" Target="https://doi.org/10.4037/ajcc2018865" TargetMode="External"/><Relationship Id="rId61" Type="http://schemas.openxmlformats.org/officeDocument/2006/relationships/hyperlink" Target="https://doi.org/10.4097/kjae.2016.69.4.357" TargetMode="External"/><Relationship Id="rId23" Type="http://schemas.openxmlformats.org/officeDocument/2006/relationships/hyperlink" Target="https://github.com/nkamboj06/cna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Accuracy and Precision of Continuous Non-Invasive Arterial Pressure Monitoring Compared with Invasive or Non-Invasive Blood Pressure Monitoring</dc:title>
  <dc:creator>Navpreet Kamboj MScN2, Kristina Chang MScN1, Kelly Metcalfe PhD2, Charlene Chu PhD2, and Aaron Conway PhD1,2,3</dc:creator>
  <cp:keywords/>
  <dcterms:created xsi:type="dcterms:W3CDTF">2020-06-18T03:03:55Z</dcterms:created>
  <dcterms:modified xsi:type="dcterms:W3CDTF">2020-06-17T23:03:56Z</dcterms:modified>
  <cp:lastModifiedBy>navpreetkamboj</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Extras/bibliography.bib</vt:lpwstr>
  </property>
  <property fmtid="{D5CDD505-2E9C-101B-9397-08002B2CF9AE}" pid="3" name="csl">
    <vt:lpwstr>Extras/sp-basic.csl</vt:lpwstr>
  </property>
  <property fmtid="{D5CDD505-2E9C-101B-9397-08002B2CF9AE}" pid="4" name="output">
    <vt:lpwstr/>
  </property>
  <property fmtid="{D5CDD505-2E9C-101B-9397-08002B2CF9AE}" pid="5" name="subtitle">
    <vt:lpwstr>A systematic review and meta-analysis</vt:lpwstr>
  </property>
</Properties>
</file>