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7BDEB" w14:textId="77777777" w:rsidR="001F7DE8" w:rsidRPr="00427625" w:rsidRDefault="00000000">
      <w:pPr>
        <w:spacing w:after="80"/>
        <w:jc w:val="center"/>
        <w:rPr>
          <w:color w:val="000000" w:themeColor="text1"/>
        </w:rPr>
      </w:pPr>
      <w:r w:rsidRPr="00427625">
        <w:rPr>
          <w:rFonts w:eastAsia="Calibri"/>
          <w:b/>
          <w:bCs/>
          <w:color w:val="000000" w:themeColor="text1"/>
          <w:sz w:val="32"/>
          <w:szCs w:val="32"/>
        </w:rPr>
        <w:t>Determining Factors for Delaying Medical Treatment</w:t>
      </w:r>
    </w:p>
    <w:p w14:paraId="08ADB81E" w14:textId="77777777" w:rsidR="001F7DE8" w:rsidRPr="00427625" w:rsidRDefault="00000000">
      <w:pPr>
        <w:spacing w:after="60"/>
        <w:jc w:val="center"/>
        <w:rPr>
          <w:color w:val="000000" w:themeColor="text1"/>
        </w:rPr>
      </w:pPr>
      <w:r w:rsidRPr="00427625">
        <w:rPr>
          <w:rFonts w:eastAsia="Calibri"/>
          <w:color w:val="000000" w:themeColor="text1"/>
          <w:sz w:val="24"/>
          <w:szCs w:val="24"/>
        </w:rPr>
        <w:t>NHIS 2024 Multivariable Logistic Regression Analysis</w:t>
      </w:r>
    </w:p>
    <w:p w14:paraId="0B7CFEEA" w14:textId="77777777" w:rsidR="001F7DE8" w:rsidRPr="00427625" w:rsidRDefault="00000000">
      <w:pPr>
        <w:spacing w:after="360"/>
        <w:jc w:val="center"/>
        <w:rPr>
          <w:color w:val="000000" w:themeColor="text1"/>
        </w:rPr>
      </w:pPr>
      <w:r w:rsidRPr="00427625">
        <w:rPr>
          <w:rFonts w:eastAsia="Calibri"/>
          <w:color w:val="000000" w:themeColor="text1"/>
          <w:sz w:val="22"/>
          <w:szCs w:val="22"/>
        </w:rPr>
        <w:t>Nandita Kannapadi</w:t>
      </w:r>
    </w:p>
    <w:p w14:paraId="554C0A55" w14:textId="77777777" w:rsidR="001F7DE8" w:rsidRPr="00427625" w:rsidRDefault="00000000">
      <w:pPr>
        <w:pStyle w:val="Heading1"/>
        <w:spacing w:before="280" w:after="140"/>
        <w:rPr>
          <w:rFonts w:ascii="Times New Roman" w:hAnsi="Times New Roman" w:cs="Times New Roman"/>
          <w:color w:val="000000" w:themeColor="text1"/>
        </w:rPr>
      </w:pPr>
      <w:r w:rsidRPr="00427625">
        <w:rPr>
          <w:rFonts w:ascii="Times New Roman" w:hAnsi="Times New Roman" w:cs="Times New Roman"/>
          <w:color w:val="000000" w:themeColor="text1"/>
        </w:rPr>
        <w:t>Executive Summary</w:t>
      </w:r>
    </w:p>
    <w:p w14:paraId="613548FA" w14:textId="77777777" w:rsidR="001F7DE8" w:rsidRPr="00427625" w:rsidRDefault="00000000">
      <w:pPr>
        <w:spacing w:after="160" w:line="276" w:lineRule="auto"/>
        <w:rPr>
          <w:color w:val="000000" w:themeColor="text1"/>
        </w:rPr>
      </w:pPr>
      <w:r w:rsidRPr="00427625">
        <w:rPr>
          <w:rFonts w:eastAsia="Calibri"/>
          <w:color w:val="000000" w:themeColor="text1"/>
          <w:sz w:val="22"/>
          <w:szCs w:val="22"/>
        </w:rPr>
        <w:t>Using the CDC's 2024 National Health Interview Survey (</w:t>
      </w:r>
      <w:proofErr w:type="gramStart"/>
      <w:r w:rsidRPr="00427625">
        <w:rPr>
          <w:rFonts w:eastAsia="Calibri"/>
          <w:color w:val="000000" w:themeColor="text1"/>
          <w:sz w:val="22"/>
          <w:szCs w:val="22"/>
        </w:rPr>
        <w:t>n =</w:t>
      </w:r>
      <w:proofErr w:type="gramEnd"/>
      <w:r w:rsidRPr="00427625">
        <w:rPr>
          <w:rFonts w:eastAsia="Calibri"/>
          <w:color w:val="000000" w:themeColor="text1"/>
          <w:sz w:val="22"/>
          <w:szCs w:val="22"/>
        </w:rPr>
        <w:t xml:space="preserve"> 19,303 adults), this study applies multivariable logistic regression to identify which household factors — insurance coverage, race/ethnicity, and educational attainment — are associated with delaying medical care due to cost. Insurance coverage is by far the strongest predictor: uninsured adults have 6.55 times the odds of delaying care compared to insured adults (95% CI [5.60, 7.65], p &lt; .001), even after controlling for race/ethnicity and education. After adjustment, Black and Hispanic adults do not differ significantly from White adults, suggesting that raw racial disparities in delayed care operate largely through unequal insurance access rather than race itself. Contrary to expectations, </w:t>
      </w:r>
      <w:proofErr w:type="gramStart"/>
      <w:r w:rsidRPr="00427625">
        <w:rPr>
          <w:rFonts w:eastAsia="Calibri"/>
          <w:color w:val="000000" w:themeColor="text1"/>
          <w:sz w:val="22"/>
          <w:szCs w:val="22"/>
        </w:rPr>
        <w:t>Bachelor's and Master's</w:t>
      </w:r>
      <w:proofErr w:type="gramEnd"/>
      <w:r w:rsidRPr="00427625">
        <w:rPr>
          <w:rFonts w:eastAsia="Calibri"/>
          <w:color w:val="000000" w:themeColor="text1"/>
          <w:sz w:val="22"/>
          <w:szCs w:val="22"/>
        </w:rPr>
        <w:t xml:space="preserve"> degree holders show significantly higher odds of delaying care than high school graduates. These findings point to insurance expansion as the most direct policy lever for reducing cost-related care delays.</w:t>
      </w:r>
    </w:p>
    <w:p w14:paraId="543D8073" w14:textId="77777777" w:rsidR="001F7DE8" w:rsidRPr="00427625" w:rsidRDefault="00000000">
      <w:pPr>
        <w:pStyle w:val="Heading1"/>
        <w:spacing w:before="280" w:after="140"/>
        <w:rPr>
          <w:rFonts w:ascii="Times New Roman" w:hAnsi="Times New Roman" w:cs="Times New Roman"/>
          <w:color w:val="000000" w:themeColor="text1"/>
        </w:rPr>
      </w:pPr>
      <w:r w:rsidRPr="00427625">
        <w:rPr>
          <w:rFonts w:ascii="Times New Roman" w:hAnsi="Times New Roman" w:cs="Times New Roman"/>
          <w:color w:val="000000" w:themeColor="text1"/>
        </w:rPr>
        <w:t>Policy Background</w:t>
      </w:r>
    </w:p>
    <w:p w14:paraId="5675AF9E" w14:textId="77777777" w:rsidR="001F7DE8" w:rsidRPr="00427625" w:rsidRDefault="00000000">
      <w:pPr>
        <w:spacing w:after="160" w:line="276" w:lineRule="auto"/>
        <w:rPr>
          <w:color w:val="000000" w:themeColor="text1"/>
        </w:rPr>
      </w:pPr>
      <w:r w:rsidRPr="00427625">
        <w:rPr>
          <w:rFonts w:eastAsia="Calibri"/>
          <w:color w:val="000000" w:themeColor="text1"/>
          <w:sz w:val="22"/>
          <w:szCs w:val="22"/>
        </w:rPr>
        <w:t>Rising healthcare costs have become a major concern in the United States, affecting both insured and uninsured adults. According to the Kaiser Family Foundation (KFF), roughly half of U.S. adults report difficulty affording healthcare costs, and one in four have struggled to pay for healthcare in the past 12 months (KFF 2025). As a result, many people put off needed care or skip it altogether. While low-income and uninsured adults are most likely to report trouble affording healthcare costs, people with health insurance also struggle with the high cost of medical treatment. Problems paying for healthcare are reported to be highest among Hispanic adults, Black adults, and the uninsured (KFF 2025).</w:t>
      </w:r>
    </w:p>
    <w:p w14:paraId="7BDF1331" w14:textId="77777777" w:rsidR="001F7DE8" w:rsidRPr="00427625" w:rsidRDefault="00000000">
      <w:pPr>
        <w:spacing w:after="160" w:line="276" w:lineRule="auto"/>
        <w:rPr>
          <w:color w:val="000000" w:themeColor="text1"/>
        </w:rPr>
      </w:pPr>
      <w:r w:rsidRPr="00427625">
        <w:rPr>
          <w:rFonts w:eastAsia="Calibri"/>
          <w:color w:val="000000" w:themeColor="text1"/>
          <w:sz w:val="22"/>
          <w:szCs w:val="22"/>
        </w:rPr>
        <w:t>Medical debt can also impede an individual's ability to access needed medical and dental care (KFF 2022). Greater financial hardship can lead to reduced access to care, which can in turn worsen health outcomes. According to KFF, one in seven adults with healthcare debt say they have been denied care by a provider because of their medical debt, and many individuals with medical debt avoid care out of fear of high costs and incurring further debt. In effect, individuals are putting their health at risk to avoid debt. This matters because delayed medical care can lead to worse health outcomes and more frequent emergency department visits (KFF 2025).</w:t>
      </w:r>
    </w:p>
    <w:p w14:paraId="37F033FD" w14:textId="77777777" w:rsidR="001F7DE8" w:rsidRPr="00427625" w:rsidRDefault="00000000">
      <w:pPr>
        <w:spacing w:after="160" w:line="276" w:lineRule="auto"/>
        <w:rPr>
          <w:color w:val="000000" w:themeColor="text1"/>
        </w:rPr>
      </w:pPr>
      <w:r w:rsidRPr="00427625">
        <w:rPr>
          <w:rFonts w:eastAsia="Calibri"/>
          <w:color w:val="000000" w:themeColor="text1"/>
          <w:sz w:val="22"/>
          <w:szCs w:val="22"/>
        </w:rPr>
        <w:t xml:space="preserve">This study focuses on identifying the household-level factors associated with delaying medical treatment due to cost. Delayed care </w:t>
      </w:r>
      <w:proofErr w:type="gramStart"/>
      <w:r w:rsidRPr="00427625">
        <w:rPr>
          <w:rFonts w:eastAsia="Calibri"/>
          <w:color w:val="000000" w:themeColor="text1"/>
          <w:sz w:val="22"/>
          <w:szCs w:val="22"/>
        </w:rPr>
        <w:t>carries</w:t>
      </w:r>
      <w:proofErr w:type="gramEnd"/>
      <w:r w:rsidRPr="00427625">
        <w:rPr>
          <w:rFonts w:eastAsia="Calibri"/>
          <w:color w:val="000000" w:themeColor="text1"/>
          <w:sz w:val="22"/>
          <w:szCs w:val="22"/>
        </w:rPr>
        <w:t xml:space="preserve"> high consequences: conditions may become more severe and harder to treat, early-stage disease may progress, and quality of life may decline. This analysis can help policymakers design more targeted interventions to reduce financial strain and improve access to care, informing decisions around insurance coverage design, cost-sharing structures, Medicaid expansion, and financial assistance programs. The goal is to guide policies that strengthen health equity and ensure greater access to healthcare. The analysis can also help hospitals understand why patients struggle with costs and design patient financial assistance accordingly.</w:t>
      </w:r>
    </w:p>
    <w:p w14:paraId="6968D352" w14:textId="77777777" w:rsidR="00427625" w:rsidRDefault="00427625">
      <w:pPr>
        <w:pStyle w:val="Heading1"/>
        <w:spacing w:before="280" w:after="140"/>
        <w:rPr>
          <w:rFonts w:ascii="Times New Roman" w:hAnsi="Times New Roman" w:cs="Times New Roman"/>
          <w:color w:val="000000" w:themeColor="text1"/>
        </w:rPr>
      </w:pPr>
    </w:p>
    <w:p w14:paraId="15074E0D" w14:textId="35E33B5B" w:rsidR="001F7DE8" w:rsidRPr="00427625" w:rsidRDefault="00000000">
      <w:pPr>
        <w:pStyle w:val="Heading1"/>
        <w:spacing w:before="280" w:after="140"/>
        <w:rPr>
          <w:rFonts w:ascii="Times New Roman" w:hAnsi="Times New Roman" w:cs="Times New Roman"/>
          <w:color w:val="000000" w:themeColor="text1"/>
        </w:rPr>
      </w:pPr>
      <w:r w:rsidRPr="00427625">
        <w:rPr>
          <w:rFonts w:ascii="Times New Roman" w:hAnsi="Times New Roman" w:cs="Times New Roman"/>
          <w:color w:val="000000" w:themeColor="text1"/>
        </w:rPr>
        <w:lastRenderedPageBreak/>
        <w:t>Research Question and Hypotheses</w:t>
      </w:r>
    </w:p>
    <w:p w14:paraId="5449F3BB" w14:textId="77777777" w:rsidR="001F7DE8" w:rsidRPr="00427625" w:rsidRDefault="00000000">
      <w:pPr>
        <w:spacing w:after="160" w:line="276" w:lineRule="auto"/>
        <w:rPr>
          <w:color w:val="000000" w:themeColor="text1"/>
        </w:rPr>
      </w:pPr>
      <w:r w:rsidRPr="00427625">
        <w:rPr>
          <w:rFonts w:eastAsia="Calibri"/>
          <w:color w:val="000000" w:themeColor="text1"/>
          <w:sz w:val="22"/>
          <w:szCs w:val="22"/>
        </w:rPr>
        <w:t>This study asks: which household factors have a significant relationship with whether people delay medical care due to cost? It uses the CDC's 2024 National Health Interview Survey (NHIS), a nationally representative, cross-sectional household survey of the U.S. civilian population covering all 50 states and Washington, DC (NHIS Survey Description, 2024).</w:t>
      </w:r>
    </w:p>
    <w:p w14:paraId="341830D0" w14:textId="77777777" w:rsidR="001F7DE8" w:rsidRPr="00427625" w:rsidRDefault="00000000">
      <w:pPr>
        <w:spacing w:after="160" w:line="276" w:lineRule="auto"/>
        <w:rPr>
          <w:color w:val="000000" w:themeColor="text1"/>
        </w:rPr>
      </w:pPr>
      <w:r w:rsidRPr="00427625">
        <w:rPr>
          <w:rFonts w:eastAsia="Calibri"/>
          <w:color w:val="000000" w:themeColor="text1"/>
          <w:sz w:val="22"/>
          <w:szCs w:val="22"/>
        </w:rPr>
        <w:t xml:space="preserve">The primary methodology is multivariable logistic regression, which is appropriate because the outcome variable is dichotomous — </w:t>
      </w:r>
      <w:proofErr w:type="gramStart"/>
      <w:r w:rsidRPr="00427625">
        <w:rPr>
          <w:rFonts w:eastAsia="Calibri"/>
          <w:color w:val="000000" w:themeColor="text1"/>
          <w:sz w:val="22"/>
          <w:szCs w:val="22"/>
        </w:rPr>
        <w:t>whether or not</w:t>
      </w:r>
      <w:proofErr w:type="gramEnd"/>
      <w:r w:rsidRPr="00427625">
        <w:rPr>
          <w:rFonts w:eastAsia="Calibri"/>
          <w:color w:val="000000" w:themeColor="text1"/>
          <w:sz w:val="22"/>
          <w:szCs w:val="22"/>
        </w:rPr>
        <w:t xml:space="preserve"> a person delayed medical care due to cost. The outcome is the NHIS variable MEDDL12M_A (delayed medical care due to cost in the past 12 months), coded Y = 1 if the respondent delayed care due to cost and Y = 0 otherwise (NHIS Sample Adult Codebook, 2024). Logistic regression is the standard statistical method for modeling the probability of a binary outcome, allowing an examination of how different predictors influence the likelihood of delaying care.</w:t>
      </w:r>
    </w:p>
    <w:p w14:paraId="1F157A46" w14:textId="77777777" w:rsidR="001F7DE8" w:rsidRPr="00427625" w:rsidRDefault="00000000">
      <w:pPr>
        <w:spacing w:after="160" w:line="276" w:lineRule="auto"/>
        <w:rPr>
          <w:color w:val="000000" w:themeColor="text1"/>
        </w:rPr>
      </w:pPr>
      <w:r w:rsidRPr="00427625">
        <w:rPr>
          <w:rFonts w:eastAsia="Calibri"/>
          <w:color w:val="000000" w:themeColor="text1"/>
          <w:sz w:val="22"/>
          <w:szCs w:val="22"/>
        </w:rPr>
        <w:t xml:space="preserve">A multivariable approach is used because access to healthcare is influenced by multiple socioeconomic and demographic factors. This method models the effect of each predictor while </w:t>
      </w:r>
      <w:proofErr w:type="gramStart"/>
      <w:r w:rsidRPr="00427625">
        <w:rPr>
          <w:rFonts w:eastAsia="Calibri"/>
          <w:color w:val="000000" w:themeColor="text1"/>
          <w:sz w:val="22"/>
          <w:szCs w:val="22"/>
        </w:rPr>
        <w:t>controlling for the</w:t>
      </w:r>
      <w:proofErr w:type="gramEnd"/>
      <w:r w:rsidRPr="00427625">
        <w:rPr>
          <w:rFonts w:eastAsia="Calibri"/>
          <w:color w:val="000000" w:themeColor="text1"/>
          <w:sz w:val="22"/>
          <w:szCs w:val="22"/>
        </w:rPr>
        <w:t xml:space="preserve"> others, providing a more accurate estimate of each factor's independent contribution. The independent variables are race/ethnicity, education, and insurance </w:t>
      </w:r>
      <w:proofErr w:type="gramStart"/>
      <w:r w:rsidRPr="00427625">
        <w:rPr>
          <w:rFonts w:eastAsia="Calibri"/>
          <w:color w:val="000000" w:themeColor="text1"/>
          <w:sz w:val="22"/>
          <w:szCs w:val="22"/>
        </w:rPr>
        <w:t>status — well-documented</w:t>
      </w:r>
      <w:proofErr w:type="gramEnd"/>
      <w:r w:rsidRPr="00427625">
        <w:rPr>
          <w:rFonts w:eastAsia="Calibri"/>
          <w:color w:val="000000" w:themeColor="text1"/>
          <w:sz w:val="22"/>
          <w:szCs w:val="22"/>
        </w:rPr>
        <w:t xml:space="preserve"> predictors of healthcare access and inequities:</w:t>
      </w:r>
    </w:p>
    <w:p w14:paraId="160099B0" w14:textId="77777777" w:rsidR="001F7DE8" w:rsidRPr="00427625" w:rsidRDefault="001F7DE8">
      <w:pPr>
        <w:spacing w:after="120" w:line="276" w:lineRule="auto"/>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4"/>
        <w:gridCol w:w="7056"/>
      </w:tblGrid>
      <w:tr w:rsidR="001F7DE8" w:rsidRPr="00427625" w14:paraId="5A4C47C5" w14:textId="77777777">
        <w:tblPrEx>
          <w:tblCellMar>
            <w:top w:w="0" w:type="dxa"/>
            <w:bottom w:w="0" w:type="dxa"/>
          </w:tblCellMar>
        </w:tblPrEx>
        <w:trPr>
          <w:tblHeader/>
        </w:trPr>
        <w:tc>
          <w:tcPr>
            <w:tcW w:w="2304" w:type="dxa"/>
            <w:shd w:val="clear" w:color="auto" w:fill="D9E2F3"/>
            <w:tcMar>
              <w:top w:w="60" w:type="dxa"/>
              <w:left w:w="100" w:type="dxa"/>
              <w:bottom w:w="60" w:type="dxa"/>
              <w:right w:w="100" w:type="dxa"/>
            </w:tcMar>
          </w:tcPr>
          <w:p w14:paraId="3014A8A4" w14:textId="77777777" w:rsidR="001F7DE8" w:rsidRPr="00427625" w:rsidRDefault="00000000">
            <w:pPr>
              <w:rPr>
                <w:color w:val="000000" w:themeColor="text1"/>
              </w:rPr>
            </w:pPr>
            <w:r w:rsidRPr="00427625">
              <w:rPr>
                <w:rFonts w:eastAsia="Calibri"/>
                <w:b/>
                <w:bCs/>
                <w:color w:val="000000" w:themeColor="text1"/>
              </w:rPr>
              <w:t>Independent Variable</w:t>
            </w:r>
          </w:p>
        </w:tc>
        <w:tc>
          <w:tcPr>
            <w:tcW w:w="7056" w:type="dxa"/>
            <w:shd w:val="clear" w:color="auto" w:fill="D9E2F3"/>
            <w:tcMar>
              <w:top w:w="60" w:type="dxa"/>
              <w:left w:w="100" w:type="dxa"/>
              <w:bottom w:w="60" w:type="dxa"/>
              <w:right w:w="100" w:type="dxa"/>
            </w:tcMar>
          </w:tcPr>
          <w:p w14:paraId="23965BCB" w14:textId="77777777" w:rsidR="001F7DE8" w:rsidRPr="00427625" w:rsidRDefault="00000000">
            <w:pPr>
              <w:rPr>
                <w:color w:val="000000" w:themeColor="text1"/>
              </w:rPr>
            </w:pPr>
            <w:r w:rsidRPr="00427625">
              <w:rPr>
                <w:rFonts w:eastAsia="Calibri"/>
                <w:b/>
                <w:bCs/>
                <w:color w:val="000000" w:themeColor="text1"/>
              </w:rPr>
              <w:t>Description</w:t>
            </w:r>
          </w:p>
        </w:tc>
      </w:tr>
      <w:tr w:rsidR="001F7DE8" w:rsidRPr="00427625" w14:paraId="47687FDB" w14:textId="77777777">
        <w:tblPrEx>
          <w:tblCellMar>
            <w:top w:w="0" w:type="dxa"/>
            <w:bottom w:w="0" w:type="dxa"/>
          </w:tblCellMar>
        </w:tblPrEx>
        <w:tc>
          <w:tcPr>
            <w:tcW w:w="2304" w:type="dxa"/>
            <w:tcMar>
              <w:top w:w="60" w:type="dxa"/>
              <w:left w:w="100" w:type="dxa"/>
              <w:bottom w:w="60" w:type="dxa"/>
              <w:right w:w="100" w:type="dxa"/>
            </w:tcMar>
          </w:tcPr>
          <w:p w14:paraId="3B6A4648" w14:textId="77777777" w:rsidR="001F7DE8" w:rsidRPr="00427625" w:rsidRDefault="00000000">
            <w:pPr>
              <w:rPr>
                <w:color w:val="000000" w:themeColor="text1"/>
              </w:rPr>
            </w:pPr>
            <w:r w:rsidRPr="00427625">
              <w:rPr>
                <w:rFonts w:eastAsia="Calibri"/>
                <w:color w:val="000000" w:themeColor="text1"/>
              </w:rPr>
              <w:t>HISPALLP_A</w:t>
            </w:r>
          </w:p>
        </w:tc>
        <w:tc>
          <w:tcPr>
            <w:tcW w:w="7056" w:type="dxa"/>
            <w:tcMar>
              <w:top w:w="60" w:type="dxa"/>
              <w:left w:w="100" w:type="dxa"/>
              <w:bottom w:w="60" w:type="dxa"/>
              <w:right w:w="100" w:type="dxa"/>
            </w:tcMar>
          </w:tcPr>
          <w:p w14:paraId="7716F957" w14:textId="77777777" w:rsidR="001F7DE8" w:rsidRPr="00427625" w:rsidRDefault="00000000">
            <w:pPr>
              <w:rPr>
                <w:color w:val="000000" w:themeColor="text1"/>
              </w:rPr>
            </w:pPr>
            <w:r w:rsidRPr="00427625">
              <w:rPr>
                <w:rFonts w:eastAsia="Calibri"/>
                <w:color w:val="000000" w:themeColor="text1"/>
              </w:rPr>
              <w:t>Single and multiple race groups with Hispanic origin. This variable is used instead of the standard race variable because it includes Hispanic origin. Restricted to White, Black/African American, Asian, and Hispanic adults.</w:t>
            </w:r>
          </w:p>
        </w:tc>
      </w:tr>
      <w:tr w:rsidR="001F7DE8" w:rsidRPr="00427625" w14:paraId="33593A60" w14:textId="77777777">
        <w:tblPrEx>
          <w:tblCellMar>
            <w:top w:w="0" w:type="dxa"/>
            <w:bottom w:w="0" w:type="dxa"/>
          </w:tblCellMar>
        </w:tblPrEx>
        <w:tc>
          <w:tcPr>
            <w:tcW w:w="2304" w:type="dxa"/>
            <w:tcMar>
              <w:top w:w="60" w:type="dxa"/>
              <w:left w:w="100" w:type="dxa"/>
              <w:bottom w:w="60" w:type="dxa"/>
              <w:right w:w="100" w:type="dxa"/>
            </w:tcMar>
          </w:tcPr>
          <w:p w14:paraId="0EFDDB24" w14:textId="77777777" w:rsidR="001F7DE8" w:rsidRPr="00427625" w:rsidRDefault="00000000">
            <w:pPr>
              <w:rPr>
                <w:color w:val="000000" w:themeColor="text1"/>
              </w:rPr>
            </w:pPr>
            <w:r w:rsidRPr="00427625">
              <w:rPr>
                <w:rFonts w:eastAsia="Calibri"/>
                <w:color w:val="000000" w:themeColor="text1"/>
              </w:rPr>
              <w:t>EDUCP_A</w:t>
            </w:r>
          </w:p>
        </w:tc>
        <w:tc>
          <w:tcPr>
            <w:tcW w:w="7056" w:type="dxa"/>
            <w:tcMar>
              <w:top w:w="60" w:type="dxa"/>
              <w:left w:w="100" w:type="dxa"/>
              <w:bottom w:w="60" w:type="dxa"/>
              <w:right w:w="100" w:type="dxa"/>
            </w:tcMar>
          </w:tcPr>
          <w:p w14:paraId="3BCC9ABE" w14:textId="77777777" w:rsidR="001F7DE8" w:rsidRPr="00427625" w:rsidRDefault="00000000">
            <w:pPr>
              <w:rPr>
                <w:color w:val="000000" w:themeColor="text1"/>
              </w:rPr>
            </w:pPr>
            <w:r w:rsidRPr="00427625">
              <w:rPr>
                <w:rFonts w:eastAsia="Calibri"/>
                <w:color w:val="000000" w:themeColor="text1"/>
              </w:rPr>
              <w:t>Education level of sample adults. Restricted to High School, Bachelor's, Master's, and Doctoral degree holders.</w:t>
            </w:r>
          </w:p>
        </w:tc>
      </w:tr>
      <w:tr w:rsidR="001F7DE8" w:rsidRPr="00427625" w14:paraId="65235F87" w14:textId="77777777">
        <w:tblPrEx>
          <w:tblCellMar>
            <w:top w:w="0" w:type="dxa"/>
            <w:bottom w:w="0" w:type="dxa"/>
          </w:tblCellMar>
        </w:tblPrEx>
        <w:tc>
          <w:tcPr>
            <w:tcW w:w="2304" w:type="dxa"/>
            <w:tcMar>
              <w:top w:w="60" w:type="dxa"/>
              <w:left w:w="100" w:type="dxa"/>
              <w:bottom w:w="60" w:type="dxa"/>
              <w:right w:w="100" w:type="dxa"/>
            </w:tcMar>
          </w:tcPr>
          <w:p w14:paraId="01213611" w14:textId="77777777" w:rsidR="001F7DE8" w:rsidRPr="00427625" w:rsidRDefault="00000000">
            <w:pPr>
              <w:rPr>
                <w:color w:val="000000" w:themeColor="text1"/>
              </w:rPr>
            </w:pPr>
            <w:r w:rsidRPr="00427625">
              <w:rPr>
                <w:rFonts w:eastAsia="Calibri"/>
                <w:color w:val="000000" w:themeColor="text1"/>
              </w:rPr>
              <w:t>NOTCOV_A</w:t>
            </w:r>
          </w:p>
        </w:tc>
        <w:tc>
          <w:tcPr>
            <w:tcW w:w="7056" w:type="dxa"/>
            <w:tcMar>
              <w:top w:w="60" w:type="dxa"/>
              <w:left w:w="100" w:type="dxa"/>
              <w:bottom w:w="60" w:type="dxa"/>
              <w:right w:w="100" w:type="dxa"/>
            </w:tcMar>
          </w:tcPr>
          <w:p w14:paraId="7223DEB3" w14:textId="77777777" w:rsidR="001F7DE8" w:rsidRPr="00427625" w:rsidRDefault="00000000">
            <w:pPr>
              <w:rPr>
                <w:color w:val="000000" w:themeColor="text1"/>
              </w:rPr>
            </w:pPr>
            <w:r w:rsidRPr="00427625">
              <w:rPr>
                <w:rFonts w:eastAsia="Calibri"/>
                <w:color w:val="000000" w:themeColor="text1"/>
              </w:rPr>
              <w:t>Health insurance coverage. Measures whether the adult has insurance or not.</w:t>
            </w:r>
          </w:p>
        </w:tc>
      </w:tr>
    </w:tbl>
    <w:p w14:paraId="1914B602" w14:textId="77777777" w:rsidR="001F7DE8" w:rsidRPr="00427625" w:rsidRDefault="001F7DE8">
      <w:pPr>
        <w:spacing w:after="120" w:line="276" w:lineRule="auto"/>
        <w:rPr>
          <w:color w:val="000000" w:themeColor="text1"/>
        </w:rPr>
      </w:pPr>
    </w:p>
    <w:p w14:paraId="4A9716C9" w14:textId="77777777" w:rsidR="001F7DE8" w:rsidRPr="00427625" w:rsidRDefault="00000000">
      <w:pPr>
        <w:spacing w:after="160" w:line="276" w:lineRule="auto"/>
        <w:rPr>
          <w:color w:val="000000" w:themeColor="text1"/>
        </w:rPr>
      </w:pPr>
      <w:r w:rsidRPr="00427625">
        <w:rPr>
          <w:rFonts w:eastAsia="Calibri"/>
          <w:color w:val="000000" w:themeColor="text1"/>
          <w:sz w:val="22"/>
          <w:szCs w:val="22"/>
        </w:rPr>
        <w:t>My hypothesis is that Black and Hispanic adults, compared to White adults, will have increased odds of delaying medical treatment. Additionally, I expect adults with a high school education and adults without insurance to have higher odds of delaying medical care.</w:t>
      </w:r>
    </w:p>
    <w:p w14:paraId="2151EF5E" w14:textId="77777777" w:rsidR="001F7DE8" w:rsidRPr="00427625" w:rsidRDefault="00000000">
      <w:pPr>
        <w:spacing w:after="160" w:line="276" w:lineRule="auto"/>
        <w:rPr>
          <w:color w:val="000000" w:themeColor="text1"/>
        </w:rPr>
      </w:pPr>
      <w:r w:rsidRPr="00427625">
        <w:rPr>
          <w:rFonts w:eastAsia="Calibri"/>
          <w:b/>
          <w:bCs/>
          <w:color w:val="000000" w:themeColor="text1"/>
          <w:sz w:val="22"/>
          <w:szCs w:val="22"/>
        </w:rPr>
        <w:t xml:space="preserve">Null hypothesis (H0): </w:t>
      </w:r>
      <w:r w:rsidRPr="00427625">
        <w:rPr>
          <w:rFonts w:eastAsia="Calibri"/>
          <w:color w:val="000000" w:themeColor="text1"/>
          <w:sz w:val="22"/>
          <w:szCs w:val="22"/>
        </w:rPr>
        <w:t>The independent variables have no statistically significant effect on the likelihood of delayed or unmet medical care: β1 = β2 = β3 = 0, where β1, β2, β3 are the coefficients for race/ethnicity, education, and insurance.</w:t>
      </w:r>
    </w:p>
    <w:p w14:paraId="5F58B486" w14:textId="77777777" w:rsidR="001F7DE8" w:rsidRPr="00427625" w:rsidRDefault="00000000">
      <w:pPr>
        <w:spacing w:after="160" w:line="276" w:lineRule="auto"/>
        <w:rPr>
          <w:color w:val="000000" w:themeColor="text1"/>
        </w:rPr>
      </w:pPr>
      <w:r w:rsidRPr="00427625">
        <w:rPr>
          <w:rFonts w:eastAsia="Calibri"/>
          <w:b/>
          <w:bCs/>
          <w:color w:val="000000" w:themeColor="text1"/>
          <w:sz w:val="22"/>
          <w:szCs w:val="22"/>
        </w:rPr>
        <w:t xml:space="preserve">Alternative hypothesis (H1): </w:t>
      </w:r>
      <w:r w:rsidRPr="00427625">
        <w:rPr>
          <w:rFonts w:eastAsia="Calibri"/>
          <w:color w:val="000000" w:themeColor="text1"/>
          <w:sz w:val="22"/>
          <w:szCs w:val="22"/>
        </w:rPr>
        <w:t>At least one β</w:t>
      </w:r>
      <w:proofErr w:type="spellStart"/>
      <w:r w:rsidRPr="00427625">
        <w:rPr>
          <w:rFonts w:eastAsia="Calibri"/>
          <w:color w:val="000000" w:themeColor="text1"/>
          <w:sz w:val="22"/>
          <w:szCs w:val="22"/>
        </w:rPr>
        <w:t>i</w:t>
      </w:r>
      <w:proofErr w:type="spellEnd"/>
      <w:r w:rsidRPr="00427625">
        <w:rPr>
          <w:rFonts w:eastAsia="Calibri"/>
          <w:color w:val="000000" w:themeColor="text1"/>
          <w:sz w:val="22"/>
          <w:szCs w:val="22"/>
        </w:rPr>
        <w:t xml:space="preserve"> ≠ 0; that is, at least one of race/ethnicity, education, and insurance coverage is a statistically significant predictor of whether someone delays medical care.</w:t>
      </w:r>
    </w:p>
    <w:p w14:paraId="69126E8A" w14:textId="77777777" w:rsidR="001F7DE8" w:rsidRPr="00427625" w:rsidRDefault="00000000">
      <w:pPr>
        <w:pStyle w:val="Heading1"/>
        <w:spacing w:before="280" w:after="140"/>
        <w:rPr>
          <w:rFonts w:ascii="Times New Roman" w:hAnsi="Times New Roman" w:cs="Times New Roman"/>
          <w:color w:val="000000" w:themeColor="text1"/>
        </w:rPr>
      </w:pPr>
      <w:r w:rsidRPr="00427625">
        <w:rPr>
          <w:rFonts w:ascii="Times New Roman" w:hAnsi="Times New Roman" w:cs="Times New Roman"/>
          <w:color w:val="000000" w:themeColor="text1"/>
        </w:rPr>
        <w:t>Data Description and Justification</w:t>
      </w:r>
    </w:p>
    <w:p w14:paraId="032799A0" w14:textId="77777777" w:rsidR="001F7DE8" w:rsidRPr="00427625" w:rsidRDefault="00000000">
      <w:pPr>
        <w:spacing w:after="160" w:line="276" w:lineRule="auto"/>
        <w:rPr>
          <w:color w:val="000000" w:themeColor="text1"/>
        </w:rPr>
      </w:pPr>
      <w:r w:rsidRPr="00427625">
        <w:rPr>
          <w:rFonts w:eastAsia="Calibri"/>
          <w:color w:val="000000" w:themeColor="text1"/>
          <w:sz w:val="22"/>
          <w:szCs w:val="22"/>
        </w:rPr>
        <w:t xml:space="preserve">This study uses the NHIS because it is the key source of information on the health of the civilian noninstitutionalized U.S. population and one of the major data collection programs of the National Center for Health Statistics (Powell-Griner). The survey's strength lies in its ability to categorize health characteristics by demographic and socioeconomic indicators on a national scale, making it well suited to </w:t>
      </w:r>
      <w:r w:rsidRPr="00427625">
        <w:rPr>
          <w:rFonts w:eastAsia="Calibri"/>
          <w:color w:val="000000" w:themeColor="text1"/>
          <w:sz w:val="22"/>
          <w:szCs w:val="22"/>
        </w:rPr>
        <w:lastRenderedPageBreak/>
        <w:t>understanding which factors are associated with delayed care. NHIS includes the key covariates for this analysis — race/ethnicity, insurance coverage, and education — and the 2024 Sample Adult file is large, with 32,629 interviews, supporting high statistical power. The survey has also standardized its questions over decades of administration since 1957, creating a robust and reliable cross-sectional instrument. The public-use file is available from the CDC website under Sample Adult Interview, Public use data.</w:t>
      </w:r>
    </w:p>
    <w:p w14:paraId="213D3B69" w14:textId="77777777" w:rsidR="001F7DE8" w:rsidRPr="00427625" w:rsidRDefault="00000000">
      <w:pPr>
        <w:spacing w:after="160" w:line="276" w:lineRule="auto"/>
        <w:rPr>
          <w:color w:val="000000" w:themeColor="text1"/>
        </w:rPr>
      </w:pPr>
      <w:r w:rsidRPr="00427625">
        <w:rPr>
          <w:rFonts w:eastAsia="Calibri"/>
          <w:color w:val="000000" w:themeColor="text1"/>
          <w:sz w:val="22"/>
          <w:szCs w:val="22"/>
        </w:rPr>
        <w:t xml:space="preserve">There are, however, limitations. Responses are self-reported and subject to recall and social desirability bias, which may lead to underreporting of financial hardship. The survey covers only the civilian, </w:t>
      </w:r>
      <w:proofErr w:type="gramStart"/>
      <w:r w:rsidRPr="00427625">
        <w:rPr>
          <w:rFonts w:eastAsia="Calibri"/>
          <w:color w:val="000000" w:themeColor="text1"/>
          <w:sz w:val="22"/>
          <w:szCs w:val="22"/>
        </w:rPr>
        <w:t>noninstitutionalized</w:t>
      </w:r>
      <w:proofErr w:type="gramEnd"/>
      <w:r w:rsidRPr="00427625">
        <w:rPr>
          <w:rFonts w:eastAsia="Calibri"/>
          <w:color w:val="000000" w:themeColor="text1"/>
          <w:sz w:val="22"/>
          <w:szCs w:val="22"/>
        </w:rPr>
        <w:t xml:space="preserve"> population, excluding groups such as nursing home residents, incarcerated people, and people experiencing homelessness, who may have higher untreated medical needs. Missing data — especially on sensitive items such as financial barriers, income, and insurance — reduces the analytic sample and can introduce bias if nonrespondents differ systematically from respondents. Measurement is also coarse: “delaying medical care” spans everything from a routine checkup to an emergency visit, and a binary indicator cannot capture the severity or type of care delayed. This analysis additionally does not apply NHIS survey weights or account for the complex sampling design, so estimates describe the analytic sample rather than the U.S. adult population; a design-based extension using survey weights would produce population-representative estimates. Finally, because NHIS is cross-sectional, this study identifies associations only and makes no causal claims about race, education, or insurance status causing delayed care.</w:t>
      </w:r>
    </w:p>
    <w:p w14:paraId="451CEC09" w14:textId="77777777" w:rsidR="001F7DE8" w:rsidRPr="00427625" w:rsidRDefault="00000000">
      <w:pPr>
        <w:pStyle w:val="Heading1"/>
        <w:spacing w:before="280" w:after="140"/>
        <w:rPr>
          <w:rFonts w:ascii="Times New Roman" w:hAnsi="Times New Roman" w:cs="Times New Roman"/>
          <w:color w:val="000000" w:themeColor="text1"/>
        </w:rPr>
      </w:pPr>
      <w:r w:rsidRPr="00427625">
        <w:rPr>
          <w:rFonts w:ascii="Times New Roman" w:hAnsi="Times New Roman" w:cs="Times New Roman"/>
          <w:color w:val="000000" w:themeColor="text1"/>
        </w:rPr>
        <w:t>Methodology</w:t>
      </w:r>
    </w:p>
    <w:p w14:paraId="0197EB4B" w14:textId="77777777" w:rsidR="001F7DE8" w:rsidRPr="00427625" w:rsidRDefault="00000000">
      <w:pPr>
        <w:spacing w:after="160" w:line="276" w:lineRule="auto"/>
        <w:rPr>
          <w:color w:val="000000" w:themeColor="text1"/>
        </w:rPr>
      </w:pPr>
      <w:r w:rsidRPr="00427625">
        <w:rPr>
          <w:rFonts w:eastAsia="Calibri"/>
          <w:color w:val="000000" w:themeColor="text1"/>
          <w:sz w:val="22"/>
          <w:szCs w:val="22"/>
        </w:rPr>
        <w:t xml:space="preserve">The first step was to identify each variable's missing-value codes and remove missing observations. The variables use different coding schemes: HISPALLP_A and EDUCP_A use 97, 98, and 99 to indicate missing or non-response, while MEDDL12M_A and NOTCOV_A use 7, 8, and 9. A single blanket </w:t>
      </w:r>
      <w:proofErr w:type="spellStart"/>
      <w:proofErr w:type="gramStart"/>
      <w:r w:rsidRPr="00427625">
        <w:rPr>
          <w:rFonts w:eastAsia="Calibri"/>
          <w:color w:val="000000" w:themeColor="text1"/>
          <w:sz w:val="22"/>
          <w:szCs w:val="22"/>
        </w:rPr>
        <w:t>na.strings</w:t>
      </w:r>
      <w:proofErr w:type="spellEnd"/>
      <w:proofErr w:type="gramEnd"/>
      <w:r w:rsidRPr="00427625">
        <w:rPr>
          <w:rFonts w:eastAsia="Calibri"/>
          <w:color w:val="000000" w:themeColor="text1"/>
          <w:sz w:val="22"/>
          <w:szCs w:val="22"/>
        </w:rPr>
        <w:t xml:space="preserve"> argument would fail here because EDUCP_A also uses 8 and 9 as valid response categories (</w:t>
      </w:r>
      <w:proofErr w:type="gramStart"/>
      <w:r w:rsidRPr="00427625">
        <w:rPr>
          <w:rFonts w:eastAsia="Calibri"/>
          <w:color w:val="000000" w:themeColor="text1"/>
          <w:sz w:val="22"/>
          <w:szCs w:val="22"/>
        </w:rPr>
        <w:t>Bachelor's and Master's</w:t>
      </w:r>
      <w:proofErr w:type="gramEnd"/>
      <w:r w:rsidRPr="00427625">
        <w:rPr>
          <w:rFonts w:eastAsia="Calibri"/>
          <w:color w:val="000000" w:themeColor="text1"/>
          <w:sz w:val="22"/>
          <w:szCs w:val="22"/>
        </w:rPr>
        <w:t xml:space="preserve"> degree). Missing values were therefore handled individually for each variable against its codebook. After cleaning, the sample decreased from 32,629 to 32,142 observations.</w:t>
      </w:r>
    </w:p>
    <w:p w14:paraId="3C2A3D71" w14:textId="77777777" w:rsidR="001F7DE8" w:rsidRPr="00427625" w:rsidRDefault="00000000">
      <w:pPr>
        <w:spacing w:after="160" w:line="276" w:lineRule="auto"/>
        <w:rPr>
          <w:color w:val="000000" w:themeColor="text1"/>
        </w:rPr>
      </w:pPr>
      <w:r w:rsidRPr="00427625">
        <w:rPr>
          <w:rFonts w:eastAsia="Calibri"/>
          <w:color w:val="000000" w:themeColor="text1"/>
          <w:sz w:val="22"/>
          <w:szCs w:val="22"/>
        </w:rPr>
        <w:t xml:space="preserve">Next, categories were </w:t>
      </w:r>
      <w:proofErr w:type="gramStart"/>
      <w:r w:rsidRPr="00427625">
        <w:rPr>
          <w:rFonts w:eastAsia="Calibri"/>
          <w:color w:val="000000" w:themeColor="text1"/>
          <w:sz w:val="22"/>
          <w:szCs w:val="22"/>
        </w:rPr>
        <w:t>recoded</w:t>
      </w:r>
      <w:proofErr w:type="gramEnd"/>
      <w:r w:rsidRPr="00427625">
        <w:rPr>
          <w:rFonts w:eastAsia="Calibri"/>
          <w:color w:val="000000" w:themeColor="text1"/>
          <w:sz w:val="22"/>
          <w:szCs w:val="22"/>
        </w:rPr>
        <w:t xml:space="preserve"> and restricted. Race/ethnicity follows the NHIS HISPALLP_A codebook (1 = Hispanic, 2 = Non-Hispanic White, 3 = Non-Hispanic Black/African American, 4 = Non-Hispanic Asian); smaller multi-race and AIAN categories were excluded. Education was restricted to High School, Bachelor's, Master's, and Doctoral degree holders. After these deliberate category restrictions and listwise deletion on the model variables, the final analytic sample contains 19,303 adults. The reduction from 32,142 reflects the category restrictions by design, not solely item nonresponse.</w:t>
      </w:r>
    </w:p>
    <w:p w14:paraId="3B83DD70" w14:textId="77777777" w:rsidR="001F7DE8" w:rsidRPr="00427625" w:rsidRDefault="00000000">
      <w:pPr>
        <w:pStyle w:val="Heading1"/>
        <w:spacing w:before="280" w:after="140"/>
        <w:rPr>
          <w:rFonts w:ascii="Times New Roman" w:hAnsi="Times New Roman" w:cs="Times New Roman"/>
          <w:color w:val="000000" w:themeColor="text1"/>
        </w:rPr>
      </w:pPr>
      <w:r w:rsidRPr="00427625">
        <w:rPr>
          <w:rFonts w:ascii="Times New Roman" w:hAnsi="Times New Roman" w:cs="Times New Roman"/>
          <w:color w:val="000000" w:themeColor="text1"/>
        </w:rPr>
        <w:t>Descriptive Analysis</w:t>
      </w:r>
    </w:p>
    <w:p w14:paraId="4CD2D845" w14:textId="77777777" w:rsidR="001F7DE8" w:rsidRPr="00427625" w:rsidRDefault="00000000">
      <w:pPr>
        <w:spacing w:after="160" w:line="276" w:lineRule="auto"/>
        <w:rPr>
          <w:color w:val="000000" w:themeColor="text1"/>
        </w:rPr>
      </w:pPr>
      <w:r w:rsidRPr="00427625">
        <w:rPr>
          <w:rFonts w:eastAsia="Calibri"/>
          <w:color w:val="000000" w:themeColor="text1"/>
          <w:sz w:val="22"/>
          <w:szCs w:val="22"/>
        </w:rPr>
        <w:t>Tables 1, 2, and 3 display the distribution of participants across education, race/ethnicity, and insurance coverage.</w:t>
      </w:r>
    </w:p>
    <w:p w14:paraId="4FBFACF3" w14:textId="77777777" w:rsidR="001F7DE8" w:rsidRPr="00427625" w:rsidRDefault="00000000">
      <w:pPr>
        <w:spacing w:after="100" w:line="276" w:lineRule="auto"/>
        <w:rPr>
          <w:color w:val="000000" w:themeColor="text1"/>
        </w:rPr>
      </w:pPr>
      <w:r w:rsidRPr="00427625">
        <w:rPr>
          <w:rFonts w:eastAsia="Calibri"/>
          <w:b/>
          <w:bCs/>
          <w:color w:val="000000" w:themeColor="text1"/>
          <w:sz w:val="22"/>
          <w:szCs w:val="22"/>
        </w:rPr>
        <w:t>Table 1: Total count of adults by education</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6"/>
        <w:gridCol w:w="1727"/>
        <w:gridCol w:w="1727"/>
      </w:tblGrid>
      <w:tr w:rsidR="001F7DE8" w:rsidRPr="00427625" w14:paraId="0FAFFA08" w14:textId="77777777">
        <w:tblPrEx>
          <w:tblCellMar>
            <w:top w:w="0" w:type="dxa"/>
            <w:bottom w:w="0" w:type="dxa"/>
          </w:tblCellMar>
        </w:tblPrEx>
        <w:trPr>
          <w:tblHeader/>
        </w:trPr>
        <w:tc>
          <w:tcPr>
            <w:tcW w:w="3744" w:type="dxa"/>
            <w:shd w:val="clear" w:color="auto" w:fill="D9E2F3"/>
            <w:tcMar>
              <w:top w:w="60" w:type="dxa"/>
              <w:left w:w="100" w:type="dxa"/>
              <w:bottom w:w="60" w:type="dxa"/>
              <w:right w:w="100" w:type="dxa"/>
            </w:tcMar>
          </w:tcPr>
          <w:p w14:paraId="075AD6F9" w14:textId="77777777" w:rsidR="001F7DE8" w:rsidRPr="00427625" w:rsidRDefault="00000000">
            <w:pPr>
              <w:rPr>
                <w:color w:val="000000" w:themeColor="text1"/>
              </w:rPr>
            </w:pPr>
            <w:r w:rsidRPr="00427625">
              <w:rPr>
                <w:rFonts w:eastAsia="Calibri"/>
                <w:b/>
                <w:bCs/>
                <w:color w:val="000000" w:themeColor="text1"/>
              </w:rPr>
              <w:t>Education</w:t>
            </w:r>
          </w:p>
        </w:tc>
        <w:tc>
          <w:tcPr>
            <w:tcW w:w="1727" w:type="dxa"/>
            <w:shd w:val="clear" w:color="auto" w:fill="D9E2F3"/>
            <w:tcMar>
              <w:top w:w="60" w:type="dxa"/>
              <w:left w:w="100" w:type="dxa"/>
              <w:bottom w:w="60" w:type="dxa"/>
              <w:right w:w="100" w:type="dxa"/>
            </w:tcMar>
          </w:tcPr>
          <w:p w14:paraId="42F5C920" w14:textId="77777777" w:rsidR="001F7DE8" w:rsidRPr="00427625" w:rsidRDefault="00000000">
            <w:pPr>
              <w:rPr>
                <w:color w:val="000000" w:themeColor="text1"/>
              </w:rPr>
            </w:pPr>
            <w:r w:rsidRPr="00427625">
              <w:rPr>
                <w:rFonts w:eastAsia="Calibri"/>
                <w:b/>
                <w:bCs/>
                <w:color w:val="000000" w:themeColor="text1"/>
              </w:rPr>
              <w:t>Count</w:t>
            </w:r>
          </w:p>
        </w:tc>
        <w:tc>
          <w:tcPr>
            <w:tcW w:w="1727" w:type="dxa"/>
            <w:shd w:val="clear" w:color="auto" w:fill="D9E2F3"/>
            <w:tcMar>
              <w:top w:w="60" w:type="dxa"/>
              <w:left w:w="100" w:type="dxa"/>
              <w:bottom w:w="60" w:type="dxa"/>
              <w:right w:w="100" w:type="dxa"/>
            </w:tcMar>
          </w:tcPr>
          <w:p w14:paraId="6A31B314" w14:textId="77777777" w:rsidR="001F7DE8" w:rsidRPr="00427625" w:rsidRDefault="00000000">
            <w:pPr>
              <w:rPr>
                <w:color w:val="000000" w:themeColor="text1"/>
              </w:rPr>
            </w:pPr>
            <w:r w:rsidRPr="00427625">
              <w:rPr>
                <w:rFonts w:eastAsia="Calibri"/>
                <w:b/>
                <w:bCs/>
                <w:color w:val="000000" w:themeColor="text1"/>
              </w:rPr>
              <w:t>Percent</w:t>
            </w:r>
          </w:p>
        </w:tc>
      </w:tr>
      <w:tr w:rsidR="001F7DE8" w:rsidRPr="00427625" w14:paraId="405B1749" w14:textId="77777777">
        <w:tblPrEx>
          <w:tblCellMar>
            <w:top w:w="0" w:type="dxa"/>
            <w:bottom w:w="0" w:type="dxa"/>
          </w:tblCellMar>
        </w:tblPrEx>
        <w:tc>
          <w:tcPr>
            <w:tcW w:w="3744" w:type="dxa"/>
            <w:tcMar>
              <w:top w:w="60" w:type="dxa"/>
              <w:left w:w="100" w:type="dxa"/>
              <w:bottom w:w="60" w:type="dxa"/>
              <w:right w:w="100" w:type="dxa"/>
            </w:tcMar>
          </w:tcPr>
          <w:p w14:paraId="6D17D0BB" w14:textId="77777777" w:rsidR="001F7DE8" w:rsidRPr="00427625" w:rsidRDefault="00000000">
            <w:pPr>
              <w:rPr>
                <w:color w:val="000000" w:themeColor="text1"/>
              </w:rPr>
            </w:pPr>
            <w:r w:rsidRPr="00427625">
              <w:rPr>
                <w:rFonts w:eastAsia="Calibri"/>
                <w:color w:val="000000" w:themeColor="text1"/>
              </w:rPr>
              <w:t>High School Degree</w:t>
            </w:r>
          </w:p>
        </w:tc>
        <w:tc>
          <w:tcPr>
            <w:tcW w:w="1727" w:type="dxa"/>
            <w:tcMar>
              <w:top w:w="60" w:type="dxa"/>
              <w:left w:w="100" w:type="dxa"/>
              <w:bottom w:w="60" w:type="dxa"/>
              <w:right w:w="100" w:type="dxa"/>
            </w:tcMar>
          </w:tcPr>
          <w:p w14:paraId="45AF8F3E" w14:textId="77777777" w:rsidR="001F7DE8" w:rsidRPr="00427625" w:rsidRDefault="00000000">
            <w:pPr>
              <w:rPr>
                <w:color w:val="000000" w:themeColor="text1"/>
              </w:rPr>
            </w:pPr>
            <w:r w:rsidRPr="00427625">
              <w:rPr>
                <w:rFonts w:eastAsia="Calibri"/>
                <w:color w:val="000000" w:themeColor="text1"/>
              </w:rPr>
              <w:t>7,301</w:t>
            </w:r>
          </w:p>
        </w:tc>
        <w:tc>
          <w:tcPr>
            <w:tcW w:w="1727" w:type="dxa"/>
            <w:tcMar>
              <w:top w:w="60" w:type="dxa"/>
              <w:left w:w="100" w:type="dxa"/>
              <w:bottom w:w="60" w:type="dxa"/>
              <w:right w:w="100" w:type="dxa"/>
            </w:tcMar>
          </w:tcPr>
          <w:p w14:paraId="7B171A5B" w14:textId="77777777" w:rsidR="001F7DE8" w:rsidRPr="00427625" w:rsidRDefault="00000000">
            <w:pPr>
              <w:rPr>
                <w:color w:val="000000" w:themeColor="text1"/>
              </w:rPr>
            </w:pPr>
            <w:r w:rsidRPr="00427625">
              <w:rPr>
                <w:rFonts w:eastAsia="Calibri"/>
                <w:color w:val="000000" w:themeColor="text1"/>
              </w:rPr>
              <w:t>37.8%</w:t>
            </w:r>
          </w:p>
        </w:tc>
      </w:tr>
      <w:tr w:rsidR="001F7DE8" w:rsidRPr="00427625" w14:paraId="1BAE023B" w14:textId="77777777">
        <w:tblPrEx>
          <w:tblCellMar>
            <w:top w:w="0" w:type="dxa"/>
            <w:bottom w:w="0" w:type="dxa"/>
          </w:tblCellMar>
        </w:tblPrEx>
        <w:tc>
          <w:tcPr>
            <w:tcW w:w="3744" w:type="dxa"/>
            <w:tcMar>
              <w:top w:w="60" w:type="dxa"/>
              <w:left w:w="100" w:type="dxa"/>
              <w:bottom w:w="60" w:type="dxa"/>
              <w:right w:w="100" w:type="dxa"/>
            </w:tcMar>
          </w:tcPr>
          <w:p w14:paraId="019919AD" w14:textId="77777777" w:rsidR="001F7DE8" w:rsidRPr="00427625" w:rsidRDefault="00000000">
            <w:pPr>
              <w:rPr>
                <w:color w:val="000000" w:themeColor="text1"/>
              </w:rPr>
            </w:pPr>
            <w:r w:rsidRPr="00427625">
              <w:rPr>
                <w:rFonts w:eastAsia="Calibri"/>
                <w:color w:val="000000" w:themeColor="text1"/>
              </w:rPr>
              <w:t>Bachelor's Degree</w:t>
            </w:r>
          </w:p>
        </w:tc>
        <w:tc>
          <w:tcPr>
            <w:tcW w:w="1727" w:type="dxa"/>
            <w:tcMar>
              <w:top w:w="60" w:type="dxa"/>
              <w:left w:w="100" w:type="dxa"/>
              <w:bottom w:w="60" w:type="dxa"/>
              <w:right w:w="100" w:type="dxa"/>
            </w:tcMar>
          </w:tcPr>
          <w:p w14:paraId="697AA044" w14:textId="77777777" w:rsidR="001F7DE8" w:rsidRPr="00427625" w:rsidRDefault="00000000">
            <w:pPr>
              <w:rPr>
                <w:color w:val="000000" w:themeColor="text1"/>
              </w:rPr>
            </w:pPr>
            <w:r w:rsidRPr="00427625">
              <w:rPr>
                <w:rFonts w:eastAsia="Calibri"/>
                <w:color w:val="000000" w:themeColor="text1"/>
              </w:rPr>
              <w:t>7,254</w:t>
            </w:r>
          </w:p>
        </w:tc>
        <w:tc>
          <w:tcPr>
            <w:tcW w:w="1727" w:type="dxa"/>
            <w:tcMar>
              <w:top w:w="60" w:type="dxa"/>
              <w:left w:w="100" w:type="dxa"/>
              <w:bottom w:w="60" w:type="dxa"/>
              <w:right w:w="100" w:type="dxa"/>
            </w:tcMar>
          </w:tcPr>
          <w:p w14:paraId="2063472B" w14:textId="77777777" w:rsidR="001F7DE8" w:rsidRPr="00427625" w:rsidRDefault="00000000">
            <w:pPr>
              <w:rPr>
                <w:color w:val="000000" w:themeColor="text1"/>
              </w:rPr>
            </w:pPr>
            <w:r w:rsidRPr="00427625">
              <w:rPr>
                <w:rFonts w:eastAsia="Calibri"/>
                <w:color w:val="000000" w:themeColor="text1"/>
              </w:rPr>
              <w:t>37.6%</w:t>
            </w:r>
          </w:p>
        </w:tc>
      </w:tr>
      <w:tr w:rsidR="001F7DE8" w:rsidRPr="00427625" w14:paraId="609DD946" w14:textId="77777777">
        <w:tblPrEx>
          <w:tblCellMar>
            <w:top w:w="0" w:type="dxa"/>
            <w:bottom w:w="0" w:type="dxa"/>
          </w:tblCellMar>
        </w:tblPrEx>
        <w:tc>
          <w:tcPr>
            <w:tcW w:w="3744" w:type="dxa"/>
            <w:tcMar>
              <w:top w:w="60" w:type="dxa"/>
              <w:left w:w="100" w:type="dxa"/>
              <w:bottom w:w="60" w:type="dxa"/>
              <w:right w:w="100" w:type="dxa"/>
            </w:tcMar>
          </w:tcPr>
          <w:p w14:paraId="7D986174" w14:textId="77777777" w:rsidR="001F7DE8" w:rsidRPr="00427625" w:rsidRDefault="00000000">
            <w:pPr>
              <w:rPr>
                <w:color w:val="000000" w:themeColor="text1"/>
              </w:rPr>
            </w:pPr>
            <w:r w:rsidRPr="00427625">
              <w:rPr>
                <w:rFonts w:eastAsia="Calibri"/>
                <w:color w:val="000000" w:themeColor="text1"/>
              </w:rPr>
              <w:lastRenderedPageBreak/>
              <w:t>Master's Degree</w:t>
            </w:r>
          </w:p>
        </w:tc>
        <w:tc>
          <w:tcPr>
            <w:tcW w:w="1727" w:type="dxa"/>
            <w:tcMar>
              <w:top w:w="60" w:type="dxa"/>
              <w:left w:w="100" w:type="dxa"/>
              <w:bottom w:w="60" w:type="dxa"/>
              <w:right w:w="100" w:type="dxa"/>
            </w:tcMar>
          </w:tcPr>
          <w:p w14:paraId="59DF9F0B" w14:textId="77777777" w:rsidR="001F7DE8" w:rsidRPr="00427625" w:rsidRDefault="00000000">
            <w:pPr>
              <w:rPr>
                <w:color w:val="000000" w:themeColor="text1"/>
              </w:rPr>
            </w:pPr>
            <w:r w:rsidRPr="00427625">
              <w:rPr>
                <w:rFonts w:eastAsia="Calibri"/>
                <w:color w:val="000000" w:themeColor="text1"/>
              </w:rPr>
              <w:t>3,528</w:t>
            </w:r>
          </w:p>
        </w:tc>
        <w:tc>
          <w:tcPr>
            <w:tcW w:w="1727" w:type="dxa"/>
            <w:tcMar>
              <w:top w:w="60" w:type="dxa"/>
              <w:left w:w="100" w:type="dxa"/>
              <w:bottom w:w="60" w:type="dxa"/>
              <w:right w:w="100" w:type="dxa"/>
            </w:tcMar>
          </w:tcPr>
          <w:p w14:paraId="72E5453B" w14:textId="77777777" w:rsidR="001F7DE8" w:rsidRPr="00427625" w:rsidRDefault="00000000">
            <w:pPr>
              <w:rPr>
                <w:color w:val="000000" w:themeColor="text1"/>
              </w:rPr>
            </w:pPr>
            <w:r w:rsidRPr="00427625">
              <w:rPr>
                <w:rFonts w:eastAsia="Calibri"/>
                <w:color w:val="000000" w:themeColor="text1"/>
              </w:rPr>
              <w:t>18.3%</w:t>
            </w:r>
          </w:p>
        </w:tc>
      </w:tr>
      <w:tr w:rsidR="001F7DE8" w:rsidRPr="00427625" w14:paraId="6F84FA88" w14:textId="77777777">
        <w:tblPrEx>
          <w:tblCellMar>
            <w:top w:w="0" w:type="dxa"/>
            <w:bottom w:w="0" w:type="dxa"/>
          </w:tblCellMar>
        </w:tblPrEx>
        <w:tc>
          <w:tcPr>
            <w:tcW w:w="3744" w:type="dxa"/>
            <w:tcMar>
              <w:top w:w="60" w:type="dxa"/>
              <w:left w:w="100" w:type="dxa"/>
              <w:bottom w:w="60" w:type="dxa"/>
              <w:right w:w="100" w:type="dxa"/>
            </w:tcMar>
          </w:tcPr>
          <w:p w14:paraId="22A5418D" w14:textId="77777777" w:rsidR="001F7DE8" w:rsidRPr="00427625" w:rsidRDefault="00000000">
            <w:pPr>
              <w:rPr>
                <w:color w:val="000000" w:themeColor="text1"/>
              </w:rPr>
            </w:pPr>
            <w:r w:rsidRPr="00427625">
              <w:rPr>
                <w:rFonts w:eastAsia="Calibri"/>
                <w:color w:val="000000" w:themeColor="text1"/>
              </w:rPr>
              <w:t>Doctoral Degree</w:t>
            </w:r>
          </w:p>
        </w:tc>
        <w:tc>
          <w:tcPr>
            <w:tcW w:w="1727" w:type="dxa"/>
            <w:tcMar>
              <w:top w:w="60" w:type="dxa"/>
              <w:left w:w="100" w:type="dxa"/>
              <w:bottom w:w="60" w:type="dxa"/>
              <w:right w:w="100" w:type="dxa"/>
            </w:tcMar>
          </w:tcPr>
          <w:p w14:paraId="38D08003" w14:textId="77777777" w:rsidR="001F7DE8" w:rsidRPr="00427625" w:rsidRDefault="00000000">
            <w:pPr>
              <w:rPr>
                <w:color w:val="000000" w:themeColor="text1"/>
              </w:rPr>
            </w:pPr>
            <w:r w:rsidRPr="00427625">
              <w:rPr>
                <w:rFonts w:eastAsia="Calibri"/>
                <w:color w:val="000000" w:themeColor="text1"/>
              </w:rPr>
              <w:t>1,220</w:t>
            </w:r>
          </w:p>
        </w:tc>
        <w:tc>
          <w:tcPr>
            <w:tcW w:w="1727" w:type="dxa"/>
            <w:tcMar>
              <w:top w:w="60" w:type="dxa"/>
              <w:left w:w="100" w:type="dxa"/>
              <w:bottom w:w="60" w:type="dxa"/>
              <w:right w:w="100" w:type="dxa"/>
            </w:tcMar>
          </w:tcPr>
          <w:p w14:paraId="31CBB900" w14:textId="77777777" w:rsidR="001F7DE8" w:rsidRPr="00427625" w:rsidRDefault="00000000">
            <w:pPr>
              <w:rPr>
                <w:color w:val="000000" w:themeColor="text1"/>
              </w:rPr>
            </w:pPr>
            <w:r w:rsidRPr="00427625">
              <w:rPr>
                <w:rFonts w:eastAsia="Calibri"/>
                <w:color w:val="000000" w:themeColor="text1"/>
              </w:rPr>
              <w:t>6.3%</w:t>
            </w:r>
          </w:p>
        </w:tc>
      </w:tr>
    </w:tbl>
    <w:p w14:paraId="5B8C22D3" w14:textId="77777777" w:rsidR="001F7DE8" w:rsidRPr="00427625" w:rsidRDefault="001F7DE8">
      <w:pPr>
        <w:spacing w:after="120" w:line="276" w:lineRule="auto"/>
        <w:rPr>
          <w:color w:val="000000" w:themeColor="text1"/>
        </w:rPr>
      </w:pPr>
    </w:p>
    <w:p w14:paraId="2A20D664" w14:textId="77777777" w:rsidR="001F7DE8" w:rsidRPr="00427625" w:rsidRDefault="00000000">
      <w:pPr>
        <w:spacing w:after="100" w:line="276" w:lineRule="auto"/>
        <w:rPr>
          <w:color w:val="000000" w:themeColor="text1"/>
        </w:rPr>
      </w:pPr>
      <w:r w:rsidRPr="00427625">
        <w:rPr>
          <w:rFonts w:eastAsia="Calibri"/>
          <w:b/>
          <w:bCs/>
          <w:color w:val="000000" w:themeColor="text1"/>
          <w:sz w:val="22"/>
          <w:szCs w:val="22"/>
        </w:rPr>
        <w:t>Table 2: Total count of adults by race/ethnicity</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6"/>
        <w:gridCol w:w="1727"/>
        <w:gridCol w:w="1727"/>
      </w:tblGrid>
      <w:tr w:rsidR="001F7DE8" w:rsidRPr="00427625" w14:paraId="713C98C0" w14:textId="77777777">
        <w:tblPrEx>
          <w:tblCellMar>
            <w:top w:w="0" w:type="dxa"/>
            <w:bottom w:w="0" w:type="dxa"/>
          </w:tblCellMar>
        </w:tblPrEx>
        <w:trPr>
          <w:tblHeader/>
        </w:trPr>
        <w:tc>
          <w:tcPr>
            <w:tcW w:w="3744" w:type="dxa"/>
            <w:shd w:val="clear" w:color="auto" w:fill="D9E2F3"/>
            <w:tcMar>
              <w:top w:w="60" w:type="dxa"/>
              <w:left w:w="100" w:type="dxa"/>
              <w:bottom w:w="60" w:type="dxa"/>
              <w:right w:w="100" w:type="dxa"/>
            </w:tcMar>
          </w:tcPr>
          <w:p w14:paraId="48CD76B8" w14:textId="77777777" w:rsidR="001F7DE8" w:rsidRPr="00427625" w:rsidRDefault="00000000">
            <w:pPr>
              <w:rPr>
                <w:color w:val="000000" w:themeColor="text1"/>
              </w:rPr>
            </w:pPr>
            <w:r w:rsidRPr="00427625">
              <w:rPr>
                <w:rFonts w:eastAsia="Calibri"/>
                <w:b/>
                <w:bCs/>
                <w:color w:val="000000" w:themeColor="text1"/>
              </w:rPr>
              <w:t>Race/Ethnicity</w:t>
            </w:r>
          </w:p>
        </w:tc>
        <w:tc>
          <w:tcPr>
            <w:tcW w:w="1727" w:type="dxa"/>
            <w:shd w:val="clear" w:color="auto" w:fill="D9E2F3"/>
            <w:tcMar>
              <w:top w:w="60" w:type="dxa"/>
              <w:left w:w="100" w:type="dxa"/>
              <w:bottom w:w="60" w:type="dxa"/>
              <w:right w:w="100" w:type="dxa"/>
            </w:tcMar>
          </w:tcPr>
          <w:p w14:paraId="0D505A1F" w14:textId="77777777" w:rsidR="001F7DE8" w:rsidRPr="00427625" w:rsidRDefault="00000000">
            <w:pPr>
              <w:rPr>
                <w:color w:val="000000" w:themeColor="text1"/>
              </w:rPr>
            </w:pPr>
            <w:r w:rsidRPr="00427625">
              <w:rPr>
                <w:rFonts w:eastAsia="Calibri"/>
                <w:b/>
                <w:bCs/>
                <w:color w:val="000000" w:themeColor="text1"/>
              </w:rPr>
              <w:t>Count</w:t>
            </w:r>
          </w:p>
        </w:tc>
        <w:tc>
          <w:tcPr>
            <w:tcW w:w="1727" w:type="dxa"/>
            <w:shd w:val="clear" w:color="auto" w:fill="D9E2F3"/>
            <w:tcMar>
              <w:top w:w="60" w:type="dxa"/>
              <w:left w:w="100" w:type="dxa"/>
              <w:bottom w:w="60" w:type="dxa"/>
              <w:right w:w="100" w:type="dxa"/>
            </w:tcMar>
          </w:tcPr>
          <w:p w14:paraId="5E9E129A" w14:textId="77777777" w:rsidR="001F7DE8" w:rsidRPr="00427625" w:rsidRDefault="00000000">
            <w:pPr>
              <w:rPr>
                <w:color w:val="000000" w:themeColor="text1"/>
              </w:rPr>
            </w:pPr>
            <w:r w:rsidRPr="00427625">
              <w:rPr>
                <w:rFonts w:eastAsia="Calibri"/>
                <w:b/>
                <w:bCs/>
                <w:color w:val="000000" w:themeColor="text1"/>
              </w:rPr>
              <w:t>Percent</w:t>
            </w:r>
          </w:p>
        </w:tc>
      </w:tr>
      <w:tr w:rsidR="001F7DE8" w:rsidRPr="00427625" w14:paraId="5D82F6EF" w14:textId="77777777">
        <w:tblPrEx>
          <w:tblCellMar>
            <w:top w:w="0" w:type="dxa"/>
            <w:bottom w:w="0" w:type="dxa"/>
          </w:tblCellMar>
        </w:tblPrEx>
        <w:tc>
          <w:tcPr>
            <w:tcW w:w="3744" w:type="dxa"/>
            <w:tcMar>
              <w:top w:w="60" w:type="dxa"/>
              <w:left w:w="100" w:type="dxa"/>
              <w:bottom w:w="60" w:type="dxa"/>
              <w:right w:w="100" w:type="dxa"/>
            </w:tcMar>
          </w:tcPr>
          <w:p w14:paraId="3CBCF2CA" w14:textId="77777777" w:rsidR="001F7DE8" w:rsidRPr="00427625" w:rsidRDefault="00000000">
            <w:pPr>
              <w:rPr>
                <w:color w:val="000000" w:themeColor="text1"/>
              </w:rPr>
            </w:pPr>
            <w:r w:rsidRPr="00427625">
              <w:rPr>
                <w:rFonts w:eastAsia="Calibri"/>
                <w:color w:val="000000" w:themeColor="text1"/>
              </w:rPr>
              <w:t>White</w:t>
            </w:r>
          </w:p>
        </w:tc>
        <w:tc>
          <w:tcPr>
            <w:tcW w:w="1727" w:type="dxa"/>
            <w:tcMar>
              <w:top w:w="60" w:type="dxa"/>
              <w:left w:w="100" w:type="dxa"/>
              <w:bottom w:w="60" w:type="dxa"/>
              <w:right w:w="100" w:type="dxa"/>
            </w:tcMar>
          </w:tcPr>
          <w:p w14:paraId="37BAFEBC" w14:textId="77777777" w:rsidR="001F7DE8" w:rsidRPr="00427625" w:rsidRDefault="00000000">
            <w:pPr>
              <w:rPr>
                <w:color w:val="000000" w:themeColor="text1"/>
              </w:rPr>
            </w:pPr>
            <w:r w:rsidRPr="00427625">
              <w:rPr>
                <w:rFonts w:eastAsia="Calibri"/>
                <w:color w:val="000000" w:themeColor="text1"/>
              </w:rPr>
              <w:t>13,726</w:t>
            </w:r>
          </w:p>
        </w:tc>
        <w:tc>
          <w:tcPr>
            <w:tcW w:w="1727" w:type="dxa"/>
            <w:tcMar>
              <w:top w:w="60" w:type="dxa"/>
              <w:left w:w="100" w:type="dxa"/>
              <w:bottom w:w="60" w:type="dxa"/>
              <w:right w:w="100" w:type="dxa"/>
            </w:tcMar>
          </w:tcPr>
          <w:p w14:paraId="1BCB337D" w14:textId="77777777" w:rsidR="001F7DE8" w:rsidRPr="00427625" w:rsidRDefault="00000000">
            <w:pPr>
              <w:rPr>
                <w:color w:val="000000" w:themeColor="text1"/>
              </w:rPr>
            </w:pPr>
            <w:r w:rsidRPr="00427625">
              <w:rPr>
                <w:rFonts w:eastAsia="Calibri"/>
                <w:color w:val="000000" w:themeColor="text1"/>
              </w:rPr>
              <w:t>71.1%</w:t>
            </w:r>
          </w:p>
        </w:tc>
      </w:tr>
      <w:tr w:rsidR="001F7DE8" w:rsidRPr="00427625" w14:paraId="7BD9292F" w14:textId="77777777">
        <w:tblPrEx>
          <w:tblCellMar>
            <w:top w:w="0" w:type="dxa"/>
            <w:bottom w:w="0" w:type="dxa"/>
          </w:tblCellMar>
        </w:tblPrEx>
        <w:tc>
          <w:tcPr>
            <w:tcW w:w="3744" w:type="dxa"/>
            <w:tcMar>
              <w:top w:w="60" w:type="dxa"/>
              <w:left w:w="100" w:type="dxa"/>
              <w:bottom w:w="60" w:type="dxa"/>
              <w:right w:w="100" w:type="dxa"/>
            </w:tcMar>
          </w:tcPr>
          <w:p w14:paraId="04481555" w14:textId="77777777" w:rsidR="001F7DE8" w:rsidRPr="00427625" w:rsidRDefault="00000000">
            <w:pPr>
              <w:rPr>
                <w:color w:val="000000" w:themeColor="text1"/>
              </w:rPr>
            </w:pPr>
            <w:r w:rsidRPr="00427625">
              <w:rPr>
                <w:rFonts w:eastAsia="Calibri"/>
                <w:color w:val="000000" w:themeColor="text1"/>
              </w:rPr>
              <w:t>Hispanic</w:t>
            </w:r>
          </w:p>
        </w:tc>
        <w:tc>
          <w:tcPr>
            <w:tcW w:w="1727" w:type="dxa"/>
            <w:tcMar>
              <w:top w:w="60" w:type="dxa"/>
              <w:left w:w="100" w:type="dxa"/>
              <w:bottom w:w="60" w:type="dxa"/>
              <w:right w:w="100" w:type="dxa"/>
            </w:tcMar>
          </w:tcPr>
          <w:p w14:paraId="5C66FD92" w14:textId="77777777" w:rsidR="001F7DE8" w:rsidRPr="00427625" w:rsidRDefault="00000000">
            <w:pPr>
              <w:rPr>
                <w:color w:val="000000" w:themeColor="text1"/>
              </w:rPr>
            </w:pPr>
            <w:r w:rsidRPr="00427625">
              <w:rPr>
                <w:rFonts w:eastAsia="Calibri"/>
                <w:color w:val="000000" w:themeColor="text1"/>
              </w:rPr>
              <w:t>2,399</w:t>
            </w:r>
          </w:p>
        </w:tc>
        <w:tc>
          <w:tcPr>
            <w:tcW w:w="1727" w:type="dxa"/>
            <w:tcMar>
              <w:top w:w="60" w:type="dxa"/>
              <w:left w:w="100" w:type="dxa"/>
              <w:bottom w:w="60" w:type="dxa"/>
              <w:right w:w="100" w:type="dxa"/>
            </w:tcMar>
          </w:tcPr>
          <w:p w14:paraId="761AC3DF" w14:textId="77777777" w:rsidR="001F7DE8" w:rsidRPr="00427625" w:rsidRDefault="00000000">
            <w:pPr>
              <w:rPr>
                <w:color w:val="000000" w:themeColor="text1"/>
              </w:rPr>
            </w:pPr>
            <w:r w:rsidRPr="00427625">
              <w:rPr>
                <w:rFonts w:eastAsia="Calibri"/>
                <w:color w:val="000000" w:themeColor="text1"/>
              </w:rPr>
              <w:t>12.4%</w:t>
            </w:r>
          </w:p>
        </w:tc>
      </w:tr>
      <w:tr w:rsidR="001F7DE8" w:rsidRPr="00427625" w14:paraId="7C713B72" w14:textId="77777777">
        <w:tblPrEx>
          <w:tblCellMar>
            <w:top w:w="0" w:type="dxa"/>
            <w:bottom w:w="0" w:type="dxa"/>
          </w:tblCellMar>
        </w:tblPrEx>
        <w:tc>
          <w:tcPr>
            <w:tcW w:w="3744" w:type="dxa"/>
            <w:tcMar>
              <w:top w:w="60" w:type="dxa"/>
              <w:left w:w="100" w:type="dxa"/>
              <w:bottom w:w="60" w:type="dxa"/>
              <w:right w:w="100" w:type="dxa"/>
            </w:tcMar>
          </w:tcPr>
          <w:p w14:paraId="550DF4EC" w14:textId="77777777" w:rsidR="001F7DE8" w:rsidRPr="00427625" w:rsidRDefault="00000000">
            <w:pPr>
              <w:rPr>
                <w:color w:val="000000" w:themeColor="text1"/>
              </w:rPr>
            </w:pPr>
            <w:r w:rsidRPr="00427625">
              <w:rPr>
                <w:rFonts w:eastAsia="Calibri"/>
                <w:color w:val="000000" w:themeColor="text1"/>
              </w:rPr>
              <w:t>Black/African American</w:t>
            </w:r>
          </w:p>
        </w:tc>
        <w:tc>
          <w:tcPr>
            <w:tcW w:w="1727" w:type="dxa"/>
            <w:tcMar>
              <w:top w:w="60" w:type="dxa"/>
              <w:left w:w="100" w:type="dxa"/>
              <w:bottom w:w="60" w:type="dxa"/>
              <w:right w:w="100" w:type="dxa"/>
            </w:tcMar>
          </w:tcPr>
          <w:p w14:paraId="1379DD86" w14:textId="77777777" w:rsidR="001F7DE8" w:rsidRPr="00427625" w:rsidRDefault="00000000">
            <w:pPr>
              <w:rPr>
                <w:color w:val="000000" w:themeColor="text1"/>
              </w:rPr>
            </w:pPr>
            <w:r w:rsidRPr="00427625">
              <w:rPr>
                <w:rFonts w:eastAsia="Calibri"/>
                <w:color w:val="000000" w:themeColor="text1"/>
              </w:rPr>
              <w:t>1,716</w:t>
            </w:r>
          </w:p>
        </w:tc>
        <w:tc>
          <w:tcPr>
            <w:tcW w:w="1727" w:type="dxa"/>
            <w:tcMar>
              <w:top w:w="60" w:type="dxa"/>
              <w:left w:w="100" w:type="dxa"/>
              <w:bottom w:w="60" w:type="dxa"/>
              <w:right w:w="100" w:type="dxa"/>
            </w:tcMar>
          </w:tcPr>
          <w:p w14:paraId="453424B6" w14:textId="77777777" w:rsidR="001F7DE8" w:rsidRPr="00427625" w:rsidRDefault="00000000">
            <w:pPr>
              <w:rPr>
                <w:color w:val="000000" w:themeColor="text1"/>
              </w:rPr>
            </w:pPr>
            <w:r w:rsidRPr="00427625">
              <w:rPr>
                <w:rFonts w:eastAsia="Calibri"/>
                <w:color w:val="000000" w:themeColor="text1"/>
              </w:rPr>
              <w:t>8.9%</w:t>
            </w:r>
          </w:p>
        </w:tc>
      </w:tr>
      <w:tr w:rsidR="001F7DE8" w:rsidRPr="00427625" w14:paraId="29284166" w14:textId="77777777">
        <w:tblPrEx>
          <w:tblCellMar>
            <w:top w:w="0" w:type="dxa"/>
            <w:bottom w:w="0" w:type="dxa"/>
          </w:tblCellMar>
        </w:tblPrEx>
        <w:tc>
          <w:tcPr>
            <w:tcW w:w="3744" w:type="dxa"/>
            <w:tcMar>
              <w:top w:w="60" w:type="dxa"/>
              <w:left w:w="100" w:type="dxa"/>
              <w:bottom w:w="60" w:type="dxa"/>
              <w:right w:w="100" w:type="dxa"/>
            </w:tcMar>
          </w:tcPr>
          <w:p w14:paraId="1F0282BF" w14:textId="77777777" w:rsidR="001F7DE8" w:rsidRPr="00427625" w:rsidRDefault="00000000">
            <w:pPr>
              <w:rPr>
                <w:color w:val="000000" w:themeColor="text1"/>
              </w:rPr>
            </w:pPr>
            <w:r w:rsidRPr="00427625">
              <w:rPr>
                <w:rFonts w:eastAsia="Calibri"/>
                <w:color w:val="000000" w:themeColor="text1"/>
              </w:rPr>
              <w:t>Asian</w:t>
            </w:r>
          </w:p>
        </w:tc>
        <w:tc>
          <w:tcPr>
            <w:tcW w:w="1727" w:type="dxa"/>
            <w:tcMar>
              <w:top w:w="60" w:type="dxa"/>
              <w:left w:w="100" w:type="dxa"/>
              <w:bottom w:w="60" w:type="dxa"/>
              <w:right w:w="100" w:type="dxa"/>
            </w:tcMar>
          </w:tcPr>
          <w:p w14:paraId="3E5E9674" w14:textId="77777777" w:rsidR="001F7DE8" w:rsidRPr="00427625" w:rsidRDefault="00000000">
            <w:pPr>
              <w:rPr>
                <w:color w:val="000000" w:themeColor="text1"/>
              </w:rPr>
            </w:pPr>
            <w:r w:rsidRPr="00427625">
              <w:rPr>
                <w:rFonts w:eastAsia="Calibri"/>
                <w:color w:val="000000" w:themeColor="text1"/>
              </w:rPr>
              <w:t>1,462</w:t>
            </w:r>
          </w:p>
        </w:tc>
        <w:tc>
          <w:tcPr>
            <w:tcW w:w="1727" w:type="dxa"/>
            <w:tcMar>
              <w:top w:w="60" w:type="dxa"/>
              <w:left w:w="100" w:type="dxa"/>
              <w:bottom w:w="60" w:type="dxa"/>
              <w:right w:w="100" w:type="dxa"/>
            </w:tcMar>
          </w:tcPr>
          <w:p w14:paraId="4DBEBB67" w14:textId="77777777" w:rsidR="001F7DE8" w:rsidRPr="00427625" w:rsidRDefault="00000000">
            <w:pPr>
              <w:rPr>
                <w:color w:val="000000" w:themeColor="text1"/>
              </w:rPr>
            </w:pPr>
            <w:r w:rsidRPr="00427625">
              <w:rPr>
                <w:rFonts w:eastAsia="Calibri"/>
                <w:color w:val="000000" w:themeColor="text1"/>
              </w:rPr>
              <w:t>7.6%</w:t>
            </w:r>
          </w:p>
        </w:tc>
      </w:tr>
    </w:tbl>
    <w:p w14:paraId="0861BDE0" w14:textId="77777777" w:rsidR="001F7DE8" w:rsidRPr="00427625" w:rsidRDefault="001F7DE8">
      <w:pPr>
        <w:spacing w:after="120" w:line="276" w:lineRule="auto"/>
        <w:rPr>
          <w:color w:val="000000" w:themeColor="text1"/>
        </w:rPr>
      </w:pPr>
    </w:p>
    <w:p w14:paraId="28BDE95B" w14:textId="77777777" w:rsidR="001F7DE8" w:rsidRPr="00427625" w:rsidRDefault="00000000">
      <w:pPr>
        <w:spacing w:after="100" w:line="276" w:lineRule="auto"/>
        <w:rPr>
          <w:color w:val="000000" w:themeColor="text1"/>
        </w:rPr>
      </w:pPr>
      <w:r w:rsidRPr="00427625">
        <w:rPr>
          <w:rFonts w:eastAsia="Calibri"/>
          <w:b/>
          <w:bCs/>
          <w:color w:val="000000" w:themeColor="text1"/>
          <w:sz w:val="22"/>
          <w:szCs w:val="22"/>
        </w:rPr>
        <w:t>Table 3: Total count of adults by insurance status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6"/>
        <w:gridCol w:w="1727"/>
        <w:gridCol w:w="1727"/>
      </w:tblGrid>
      <w:tr w:rsidR="001F7DE8" w:rsidRPr="00427625" w14:paraId="58A3B989" w14:textId="77777777">
        <w:tblPrEx>
          <w:tblCellMar>
            <w:top w:w="0" w:type="dxa"/>
            <w:bottom w:w="0" w:type="dxa"/>
          </w:tblCellMar>
        </w:tblPrEx>
        <w:trPr>
          <w:tblHeader/>
        </w:trPr>
        <w:tc>
          <w:tcPr>
            <w:tcW w:w="3744" w:type="dxa"/>
            <w:shd w:val="clear" w:color="auto" w:fill="D9E2F3"/>
            <w:tcMar>
              <w:top w:w="60" w:type="dxa"/>
              <w:left w:w="100" w:type="dxa"/>
              <w:bottom w:w="60" w:type="dxa"/>
              <w:right w:w="100" w:type="dxa"/>
            </w:tcMar>
          </w:tcPr>
          <w:p w14:paraId="18AE1DA1" w14:textId="77777777" w:rsidR="001F7DE8" w:rsidRPr="00427625" w:rsidRDefault="00000000">
            <w:pPr>
              <w:rPr>
                <w:color w:val="000000" w:themeColor="text1"/>
              </w:rPr>
            </w:pPr>
            <w:r w:rsidRPr="00427625">
              <w:rPr>
                <w:rFonts w:eastAsia="Calibri"/>
                <w:b/>
                <w:bCs/>
                <w:color w:val="000000" w:themeColor="text1"/>
              </w:rPr>
              <w:t>Insurance Status</w:t>
            </w:r>
          </w:p>
        </w:tc>
        <w:tc>
          <w:tcPr>
            <w:tcW w:w="1727" w:type="dxa"/>
            <w:shd w:val="clear" w:color="auto" w:fill="D9E2F3"/>
            <w:tcMar>
              <w:top w:w="60" w:type="dxa"/>
              <w:left w:w="100" w:type="dxa"/>
              <w:bottom w:w="60" w:type="dxa"/>
              <w:right w:w="100" w:type="dxa"/>
            </w:tcMar>
          </w:tcPr>
          <w:p w14:paraId="6AB36D99" w14:textId="77777777" w:rsidR="001F7DE8" w:rsidRPr="00427625" w:rsidRDefault="00000000">
            <w:pPr>
              <w:rPr>
                <w:color w:val="000000" w:themeColor="text1"/>
              </w:rPr>
            </w:pPr>
            <w:r w:rsidRPr="00427625">
              <w:rPr>
                <w:rFonts w:eastAsia="Calibri"/>
                <w:b/>
                <w:bCs/>
                <w:color w:val="000000" w:themeColor="text1"/>
              </w:rPr>
              <w:t>Count</w:t>
            </w:r>
          </w:p>
        </w:tc>
        <w:tc>
          <w:tcPr>
            <w:tcW w:w="1727" w:type="dxa"/>
            <w:shd w:val="clear" w:color="auto" w:fill="D9E2F3"/>
            <w:tcMar>
              <w:top w:w="60" w:type="dxa"/>
              <w:left w:w="100" w:type="dxa"/>
              <w:bottom w:w="60" w:type="dxa"/>
              <w:right w:w="100" w:type="dxa"/>
            </w:tcMar>
          </w:tcPr>
          <w:p w14:paraId="008064B2" w14:textId="77777777" w:rsidR="001F7DE8" w:rsidRPr="00427625" w:rsidRDefault="00000000">
            <w:pPr>
              <w:rPr>
                <w:color w:val="000000" w:themeColor="text1"/>
              </w:rPr>
            </w:pPr>
            <w:r w:rsidRPr="00427625">
              <w:rPr>
                <w:rFonts w:eastAsia="Calibri"/>
                <w:b/>
                <w:bCs/>
                <w:color w:val="000000" w:themeColor="text1"/>
              </w:rPr>
              <w:t>Percent</w:t>
            </w:r>
          </w:p>
        </w:tc>
      </w:tr>
      <w:tr w:rsidR="001F7DE8" w:rsidRPr="00427625" w14:paraId="1746B7EE" w14:textId="77777777">
        <w:tblPrEx>
          <w:tblCellMar>
            <w:top w:w="0" w:type="dxa"/>
            <w:bottom w:w="0" w:type="dxa"/>
          </w:tblCellMar>
        </w:tblPrEx>
        <w:tc>
          <w:tcPr>
            <w:tcW w:w="3744" w:type="dxa"/>
            <w:tcMar>
              <w:top w:w="60" w:type="dxa"/>
              <w:left w:w="100" w:type="dxa"/>
              <w:bottom w:w="60" w:type="dxa"/>
              <w:right w:w="100" w:type="dxa"/>
            </w:tcMar>
          </w:tcPr>
          <w:p w14:paraId="1C119171" w14:textId="77777777" w:rsidR="001F7DE8" w:rsidRPr="00427625" w:rsidRDefault="00000000">
            <w:pPr>
              <w:rPr>
                <w:color w:val="000000" w:themeColor="text1"/>
              </w:rPr>
            </w:pPr>
            <w:r w:rsidRPr="00427625">
              <w:rPr>
                <w:rFonts w:eastAsia="Calibri"/>
                <w:color w:val="000000" w:themeColor="text1"/>
              </w:rPr>
              <w:t>Covered</w:t>
            </w:r>
          </w:p>
        </w:tc>
        <w:tc>
          <w:tcPr>
            <w:tcW w:w="1727" w:type="dxa"/>
            <w:tcMar>
              <w:top w:w="60" w:type="dxa"/>
              <w:left w:w="100" w:type="dxa"/>
              <w:bottom w:w="60" w:type="dxa"/>
              <w:right w:w="100" w:type="dxa"/>
            </w:tcMar>
          </w:tcPr>
          <w:p w14:paraId="690564BB" w14:textId="77777777" w:rsidR="001F7DE8" w:rsidRPr="00427625" w:rsidRDefault="00000000">
            <w:pPr>
              <w:rPr>
                <w:color w:val="000000" w:themeColor="text1"/>
              </w:rPr>
            </w:pPr>
            <w:r w:rsidRPr="00427625">
              <w:rPr>
                <w:rFonts w:eastAsia="Calibri"/>
                <w:color w:val="000000" w:themeColor="text1"/>
              </w:rPr>
              <w:t>18,203</w:t>
            </w:r>
          </w:p>
        </w:tc>
        <w:tc>
          <w:tcPr>
            <w:tcW w:w="1727" w:type="dxa"/>
            <w:tcMar>
              <w:top w:w="60" w:type="dxa"/>
              <w:left w:w="100" w:type="dxa"/>
              <w:bottom w:w="60" w:type="dxa"/>
              <w:right w:w="100" w:type="dxa"/>
            </w:tcMar>
          </w:tcPr>
          <w:p w14:paraId="0EF63B1E" w14:textId="77777777" w:rsidR="001F7DE8" w:rsidRPr="00427625" w:rsidRDefault="00000000">
            <w:pPr>
              <w:rPr>
                <w:color w:val="000000" w:themeColor="text1"/>
              </w:rPr>
            </w:pPr>
            <w:r w:rsidRPr="00427625">
              <w:rPr>
                <w:rFonts w:eastAsia="Calibri"/>
                <w:color w:val="000000" w:themeColor="text1"/>
              </w:rPr>
              <w:t>94.3%</w:t>
            </w:r>
          </w:p>
        </w:tc>
      </w:tr>
      <w:tr w:rsidR="001F7DE8" w:rsidRPr="00427625" w14:paraId="3308E824" w14:textId="77777777">
        <w:tblPrEx>
          <w:tblCellMar>
            <w:top w:w="0" w:type="dxa"/>
            <w:bottom w:w="0" w:type="dxa"/>
          </w:tblCellMar>
        </w:tblPrEx>
        <w:tc>
          <w:tcPr>
            <w:tcW w:w="3744" w:type="dxa"/>
            <w:tcMar>
              <w:top w:w="60" w:type="dxa"/>
              <w:left w:w="100" w:type="dxa"/>
              <w:bottom w:w="60" w:type="dxa"/>
              <w:right w:w="100" w:type="dxa"/>
            </w:tcMar>
          </w:tcPr>
          <w:p w14:paraId="0F0AEAA0" w14:textId="77777777" w:rsidR="001F7DE8" w:rsidRPr="00427625" w:rsidRDefault="00000000">
            <w:pPr>
              <w:rPr>
                <w:color w:val="000000" w:themeColor="text1"/>
              </w:rPr>
            </w:pPr>
            <w:r w:rsidRPr="00427625">
              <w:rPr>
                <w:rFonts w:eastAsia="Calibri"/>
                <w:color w:val="000000" w:themeColor="text1"/>
              </w:rPr>
              <w:t>Not covered</w:t>
            </w:r>
          </w:p>
        </w:tc>
        <w:tc>
          <w:tcPr>
            <w:tcW w:w="1727" w:type="dxa"/>
            <w:tcMar>
              <w:top w:w="60" w:type="dxa"/>
              <w:left w:w="100" w:type="dxa"/>
              <w:bottom w:w="60" w:type="dxa"/>
              <w:right w:w="100" w:type="dxa"/>
            </w:tcMar>
          </w:tcPr>
          <w:p w14:paraId="30D7A257" w14:textId="77777777" w:rsidR="001F7DE8" w:rsidRPr="00427625" w:rsidRDefault="00000000">
            <w:pPr>
              <w:rPr>
                <w:color w:val="000000" w:themeColor="text1"/>
              </w:rPr>
            </w:pPr>
            <w:r w:rsidRPr="00427625">
              <w:rPr>
                <w:rFonts w:eastAsia="Calibri"/>
                <w:color w:val="000000" w:themeColor="text1"/>
              </w:rPr>
              <w:t>1,100</w:t>
            </w:r>
          </w:p>
        </w:tc>
        <w:tc>
          <w:tcPr>
            <w:tcW w:w="1727" w:type="dxa"/>
            <w:tcMar>
              <w:top w:w="60" w:type="dxa"/>
              <w:left w:w="100" w:type="dxa"/>
              <w:bottom w:w="60" w:type="dxa"/>
              <w:right w:w="100" w:type="dxa"/>
            </w:tcMar>
          </w:tcPr>
          <w:p w14:paraId="5B7BAF82" w14:textId="77777777" w:rsidR="001F7DE8" w:rsidRPr="00427625" w:rsidRDefault="00000000">
            <w:pPr>
              <w:rPr>
                <w:color w:val="000000" w:themeColor="text1"/>
              </w:rPr>
            </w:pPr>
            <w:r w:rsidRPr="00427625">
              <w:rPr>
                <w:rFonts w:eastAsia="Calibri"/>
                <w:color w:val="000000" w:themeColor="text1"/>
              </w:rPr>
              <w:t>5.7%</w:t>
            </w:r>
          </w:p>
        </w:tc>
      </w:tr>
    </w:tbl>
    <w:p w14:paraId="77BE85B7" w14:textId="77777777" w:rsidR="001F7DE8" w:rsidRPr="00427625" w:rsidRDefault="001F7DE8">
      <w:pPr>
        <w:spacing w:after="120" w:line="276" w:lineRule="auto"/>
        <w:rPr>
          <w:color w:val="000000" w:themeColor="text1"/>
        </w:rPr>
      </w:pPr>
    </w:p>
    <w:p w14:paraId="631CB91C" w14:textId="77777777" w:rsidR="001F7DE8" w:rsidRPr="00427625" w:rsidRDefault="00000000">
      <w:pPr>
        <w:spacing w:after="160" w:line="276" w:lineRule="auto"/>
        <w:rPr>
          <w:color w:val="000000" w:themeColor="text1"/>
        </w:rPr>
      </w:pPr>
      <w:r w:rsidRPr="00427625">
        <w:rPr>
          <w:rFonts w:eastAsia="Calibri"/>
          <w:color w:val="000000" w:themeColor="text1"/>
          <w:sz w:val="22"/>
          <w:szCs w:val="22"/>
        </w:rPr>
        <w:t xml:space="preserve">High school and </w:t>
      </w:r>
      <w:proofErr w:type="gramStart"/>
      <w:r w:rsidRPr="00427625">
        <w:rPr>
          <w:rFonts w:eastAsia="Calibri"/>
          <w:color w:val="000000" w:themeColor="text1"/>
          <w:sz w:val="22"/>
          <w:szCs w:val="22"/>
        </w:rPr>
        <w:t>Bachelor's</w:t>
      </w:r>
      <w:proofErr w:type="gramEnd"/>
      <w:r w:rsidRPr="00427625">
        <w:rPr>
          <w:rFonts w:eastAsia="Calibri"/>
          <w:color w:val="000000" w:themeColor="text1"/>
          <w:sz w:val="22"/>
          <w:szCs w:val="22"/>
        </w:rPr>
        <w:t xml:space="preserve"> degree holders each make up roughly 38% of the sample, with smaller shares holding Master's (18.3%) and Doctoral (6.3%) degrees. The sample is majority White (71.1%), with Hispanic (12.4%), Black/African American (8.9%), and Asian (7.6%) adults comprising the remainder; the smaller minority-group cells should be kept in mind when interpreting subgroup estimates. The most important feature of the distribution is that </w:t>
      </w:r>
      <w:proofErr w:type="gramStart"/>
      <w:r w:rsidRPr="00427625">
        <w:rPr>
          <w:rFonts w:eastAsia="Calibri"/>
          <w:color w:val="000000" w:themeColor="text1"/>
          <w:sz w:val="22"/>
          <w:szCs w:val="22"/>
        </w:rPr>
        <w:t>the vast majority of</w:t>
      </w:r>
      <w:proofErr w:type="gramEnd"/>
      <w:r w:rsidRPr="00427625">
        <w:rPr>
          <w:rFonts w:eastAsia="Calibri"/>
          <w:color w:val="000000" w:themeColor="text1"/>
          <w:sz w:val="22"/>
          <w:szCs w:val="22"/>
        </w:rPr>
        <w:t xml:space="preserve"> participants have health insurance (94.3%, n = 18,203), while only 5.7% (n = 1,100) are uninsured. The relatively small uninsured group widens the confidence intervals for insurance-related estimates, though the sample remains adequate for statistical analysis.</w:t>
      </w:r>
    </w:p>
    <w:p w14:paraId="5FF65C48" w14:textId="77777777" w:rsidR="001F7DE8" w:rsidRPr="00427625" w:rsidRDefault="00000000">
      <w:pPr>
        <w:spacing w:after="160" w:line="276" w:lineRule="auto"/>
        <w:rPr>
          <w:color w:val="000000" w:themeColor="text1"/>
        </w:rPr>
      </w:pPr>
      <w:r w:rsidRPr="00427625">
        <w:rPr>
          <w:rFonts w:eastAsia="Calibri"/>
          <w:color w:val="000000" w:themeColor="text1"/>
          <w:sz w:val="22"/>
          <w:szCs w:val="22"/>
        </w:rPr>
        <w:t>Grouping delayed care by each predictor (Tables 4-6 in the Results section) shows that 27.5% of uninsured adults reported delaying care — nearly five times the rate among insured adults (5.8%). This 21.7 percentage point difference is the largest disparity across all predictors in this study.</w:t>
      </w:r>
    </w:p>
    <w:p w14:paraId="093F32B1" w14:textId="77777777" w:rsidR="001F7DE8" w:rsidRPr="00427625" w:rsidRDefault="00000000">
      <w:pPr>
        <w:spacing w:after="160" w:line="276" w:lineRule="auto"/>
        <w:rPr>
          <w:color w:val="000000" w:themeColor="text1"/>
        </w:rPr>
      </w:pPr>
      <w:r w:rsidRPr="00427625">
        <w:rPr>
          <w:rFonts w:eastAsia="Calibri"/>
          <w:color w:val="000000" w:themeColor="text1"/>
          <w:sz w:val="22"/>
          <w:szCs w:val="22"/>
        </w:rPr>
        <w:t>Race/ethnicity differences are far smaller and depend heavily on insurance status. Among insured adults, delayed-care rates fall in a narrow band from 3.3% (Asian) to 6.2% (Hispanic). Among uninsured adults the gaps widen considerably, from 8.6% (Asian) to 32.7% (White) — though several uninsured race cells are small (e.g., only 58 uninsured Asian adults), so those proportions carry wide uncertainty.</w:t>
      </w:r>
    </w:p>
    <w:p w14:paraId="58885F6E" w14:textId="77777777" w:rsidR="001F7DE8" w:rsidRPr="00427625" w:rsidRDefault="00000000">
      <w:pPr>
        <w:spacing w:after="160" w:line="276" w:lineRule="auto"/>
        <w:rPr>
          <w:color w:val="000000" w:themeColor="text1"/>
        </w:rPr>
      </w:pPr>
      <w:r w:rsidRPr="00427625">
        <w:rPr>
          <w:rFonts w:eastAsia="Calibri"/>
          <w:color w:val="000000" w:themeColor="text1"/>
          <w:sz w:val="22"/>
          <w:szCs w:val="22"/>
        </w:rPr>
        <w:t>Educational differences in delayed care were minimal, ranging from 4.3% among Doctoral degree holders to 7.5% among high school graduates. This narrow range suggests that educational attainment, examined alone, may not be a strong predictor of cost-related care delays in this sample.</w:t>
      </w:r>
    </w:p>
    <w:p w14:paraId="02C1E278" w14:textId="77777777" w:rsidR="001F7DE8" w:rsidRPr="00427625" w:rsidRDefault="00000000">
      <w:pPr>
        <w:pStyle w:val="Heading1"/>
        <w:spacing w:before="280" w:after="140"/>
        <w:rPr>
          <w:rFonts w:ascii="Times New Roman" w:hAnsi="Times New Roman" w:cs="Times New Roman"/>
          <w:color w:val="000000" w:themeColor="text1"/>
        </w:rPr>
      </w:pPr>
      <w:r w:rsidRPr="00427625">
        <w:rPr>
          <w:rFonts w:ascii="Times New Roman" w:hAnsi="Times New Roman" w:cs="Times New Roman"/>
          <w:color w:val="000000" w:themeColor="text1"/>
        </w:rPr>
        <w:t>Likelihood and Odds Ratio Testing</w:t>
      </w:r>
    </w:p>
    <w:p w14:paraId="6319D176" w14:textId="77777777" w:rsidR="001F7DE8" w:rsidRPr="00427625" w:rsidRDefault="00000000">
      <w:pPr>
        <w:spacing w:after="160" w:line="276" w:lineRule="auto"/>
        <w:rPr>
          <w:color w:val="000000" w:themeColor="text1"/>
        </w:rPr>
      </w:pPr>
      <w:r w:rsidRPr="00427625">
        <w:rPr>
          <w:rFonts w:eastAsia="Calibri"/>
          <w:color w:val="000000" w:themeColor="text1"/>
          <w:sz w:val="22"/>
          <w:szCs w:val="22"/>
        </w:rPr>
        <w:t xml:space="preserve">Following the descriptive analysis, I conducted bivariate analyses examining the relationship between each independent variable and delayed medical care using separate logistic regression models. Likelihood </w:t>
      </w:r>
      <w:r w:rsidRPr="00427625">
        <w:rPr>
          <w:rFonts w:eastAsia="Calibri"/>
          <w:color w:val="000000" w:themeColor="text1"/>
          <w:sz w:val="22"/>
          <w:szCs w:val="22"/>
        </w:rPr>
        <w:lastRenderedPageBreak/>
        <w:t>ratio tests compared each bivariate model to a null (intercept-only) model to determine which predictors significantly improved model fit. I then constructed a multivariable logistic regression model including all three predictors simultaneously.</w:t>
      </w:r>
    </w:p>
    <w:p w14:paraId="70857ABA" w14:textId="77777777" w:rsidR="001F7DE8" w:rsidRPr="00427625" w:rsidRDefault="00000000">
      <w:pPr>
        <w:spacing w:after="160" w:line="276" w:lineRule="auto"/>
        <w:rPr>
          <w:color w:val="000000" w:themeColor="text1"/>
        </w:rPr>
      </w:pPr>
      <w:r w:rsidRPr="00427625">
        <w:rPr>
          <w:rFonts w:eastAsia="Calibri"/>
          <w:color w:val="000000" w:themeColor="text1"/>
          <w:sz w:val="22"/>
          <w:szCs w:val="22"/>
        </w:rPr>
        <w:t>Results are presented as adjusted odds ratios (ORs) with 95% confidence intervals, representing the odds of delayed care for each category relative to its reference group, holding other variables constant. Reference groups were: White for race/ethnicity, insured (Covered) for insurance status, and High School Degree for education. Statistical significance was assessed at α = 0.05.</w:t>
      </w:r>
    </w:p>
    <w:p w14:paraId="4BC220C3" w14:textId="77777777" w:rsidR="001F7DE8" w:rsidRPr="00427625" w:rsidRDefault="00000000">
      <w:pPr>
        <w:pStyle w:val="Heading1"/>
        <w:spacing w:before="280" w:after="140"/>
        <w:rPr>
          <w:rFonts w:ascii="Times New Roman" w:hAnsi="Times New Roman" w:cs="Times New Roman"/>
          <w:color w:val="000000" w:themeColor="text1"/>
        </w:rPr>
      </w:pPr>
      <w:r w:rsidRPr="00427625">
        <w:rPr>
          <w:rFonts w:ascii="Times New Roman" w:hAnsi="Times New Roman" w:cs="Times New Roman"/>
          <w:color w:val="000000" w:themeColor="text1"/>
        </w:rPr>
        <w:t>Assumptions and Considerations</w:t>
      </w:r>
    </w:p>
    <w:p w14:paraId="716FC7F5" w14:textId="77777777" w:rsidR="001F7DE8" w:rsidRPr="00427625" w:rsidRDefault="00000000">
      <w:pPr>
        <w:spacing w:after="160" w:line="276" w:lineRule="auto"/>
        <w:rPr>
          <w:color w:val="000000" w:themeColor="text1"/>
        </w:rPr>
      </w:pPr>
      <w:r w:rsidRPr="00427625">
        <w:rPr>
          <w:rFonts w:eastAsia="Calibri"/>
          <w:color w:val="000000" w:themeColor="text1"/>
          <w:sz w:val="22"/>
          <w:szCs w:val="22"/>
        </w:rPr>
        <w:t>The cross-sectional design limits causal inference, so findings are interpreted as associations only. The small uninsured group (n = 1,100; 5.7% of the sample) produces wider confidence intervals for insurance-related estimates, although it remains adequate for detecting meaningful effects. The model also assumes observations are independent and that predictor effects are additive on the log-odds scale (no interaction terms are included).</w:t>
      </w:r>
    </w:p>
    <w:p w14:paraId="6856EA27" w14:textId="77777777" w:rsidR="001F7DE8" w:rsidRPr="00427625" w:rsidRDefault="00000000">
      <w:pPr>
        <w:pStyle w:val="Heading1"/>
        <w:spacing w:before="280" w:after="140"/>
        <w:rPr>
          <w:rFonts w:ascii="Times New Roman" w:hAnsi="Times New Roman" w:cs="Times New Roman"/>
          <w:color w:val="000000" w:themeColor="text1"/>
        </w:rPr>
      </w:pPr>
      <w:r w:rsidRPr="00427625">
        <w:rPr>
          <w:rFonts w:ascii="Times New Roman" w:hAnsi="Times New Roman" w:cs="Times New Roman"/>
          <w:color w:val="000000" w:themeColor="text1"/>
        </w:rPr>
        <w:t>Results</w:t>
      </w:r>
    </w:p>
    <w:p w14:paraId="6961C696" w14:textId="77777777" w:rsidR="001F7DE8" w:rsidRPr="00427625" w:rsidRDefault="00000000">
      <w:pPr>
        <w:spacing w:after="100" w:line="276" w:lineRule="auto"/>
        <w:rPr>
          <w:color w:val="000000" w:themeColor="text1"/>
        </w:rPr>
      </w:pPr>
      <w:r w:rsidRPr="00427625">
        <w:rPr>
          <w:rFonts w:eastAsia="Calibri"/>
          <w:b/>
          <w:bCs/>
          <w:color w:val="000000" w:themeColor="text1"/>
          <w:sz w:val="22"/>
          <w:szCs w:val="22"/>
        </w:rPr>
        <w:t>Table 4: Proportion of adults with and without insurance who delay medical treatment</w:t>
      </w:r>
    </w:p>
    <w:tbl>
      <w:tblPr>
        <w:tblW w:w="7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5"/>
        <w:gridCol w:w="1727"/>
        <w:gridCol w:w="2304"/>
      </w:tblGrid>
      <w:tr w:rsidR="001F7DE8" w:rsidRPr="00427625" w14:paraId="1595B5D8" w14:textId="77777777">
        <w:tblPrEx>
          <w:tblCellMar>
            <w:top w:w="0" w:type="dxa"/>
            <w:bottom w:w="0" w:type="dxa"/>
          </w:tblCellMar>
        </w:tblPrEx>
        <w:trPr>
          <w:tblHeader/>
        </w:trPr>
        <w:tc>
          <w:tcPr>
            <w:tcW w:w="3744" w:type="dxa"/>
            <w:shd w:val="clear" w:color="auto" w:fill="D9E2F3"/>
            <w:tcMar>
              <w:top w:w="60" w:type="dxa"/>
              <w:left w:w="100" w:type="dxa"/>
              <w:bottom w:w="60" w:type="dxa"/>
              <w:right w:w="100" w:type="dxa"/>
            </w:tcMar>
          </w:tcPr>
          <w:p w14:paraId="670C6253" w14:textId="77777777" w:rsidR="001F7DE8" w:rsidRPr="00427625" w:rsidRDefault="00000000">
            <w:pPr>
              <w:rPr>
                <w:color w:val="000000" w:themeColor="text1"/>
              </w:rPr>
            </w:pPr>
            <w:r w:rsidRPr="00427625">
              <w:rPr>
                <w:rFonts w:eastAsia="Calibri"/>
                <w:b/>
                <w:bCs/>
                <w:color w:val="000000" w:themeColor="text1"/>
              </w:rPr>
              <w:t>Insurance Status</w:t>
            </w:r>
          </w:p>
        </w:tc>
        <w:tc>
          <w:tcPr>
            <w:tcW w:w="1727" w:type="dxa"/>
            <w:shd w:val="clear" w:color="auto" w:fill="D9E2F3"/>
            <w:tcMar>
              <w:top w:w="60" w:type="dxa"/>
              <w:left w:w="100" w:type="dxa"/>
              <w:bottom w:w="60" w:type="dxa"/>
              <w:right w:w="100" w:type="dxa"/>
            </w:tcMar>
          </w:tcPr>
          <w:p w14:paraId="6124F154" w14:textId="77777777" w:rsidR="001F7DE8" w:rsidRPr="00427625" w:rsidRDefault="00000000">
            <w:pPr>
              <w:rPr>
                <w:color w:val="000000" w:themeColor="text1"/>
              </w:rPr>
            </w:pPr>
            <w:r w:rsidRPr="00427625">
              <w:rPr>
                <w:rFonts w:eastAsia="Calibri"/>
                <w:b/>
                <w:bCs/>
                <w:color w:val="000000" w:themeColor="text1"/>
              </w:rPr>
              <w:t>N</w:t>
            </w:r>
          </w:p>
        </w:tc>
        <w:tc>
          <w:tcPr>
            <w:tcW w:w="2304" w:type="dxa"/>
            <w:shd w:val="clear" w:color="auto" w:fill="D9E2F3"/>
            <w:tcMar>
              <w:top w:w="60" w:type="dxa"/>
              <w:left w:w="100" w:type="dxa"/>
              <w:bottom w:w="60" w:type="dxa"/>
              <w:right w:w="100" w:type="dxa"/>
            </w:tcMar>
          </w:tcPr>
          <w:p w14:paraId="614B01EC" w14:textId="77777777" w:rsidR="001F7DE8" w:rsidRPr="00427625" w:rsidRDefault="00000000">
            <w:pPr>
              <w:rPr>
                <w:color w:val="000000" w:themeColor="text1"/>
              </w:rPr>
            </w:pPr>
            <w:r w:rsidRPr="00427625">
              <w:rPr>
                <w:rFonts w:eastAsia="Calibri"/>
                <w:b/>
                <w:bCs/>
                <w:color w:val="000000" w:themeColor="text1"/>
              </w:rPr>
              <w:t>% Delayed Care</w:t>
            </w:r>
          </w:p>
        </w:tc>
      </w:tr>
      <w:tr w:rsidR="001F7DE8" w:rsidRPr="00427625" w14:paraId="110F478C" w14:textId="77777777">
        <w:tblPrEx>
          <w:tblCellMar>
            <w:top w:w="0" w:type="dxa"/>
            <w:bottom w:w="0" w:type="dxa"/>
          </w:tblCellMar>
        </w:tblPrEx>
        <w:tc>
          <w:tcPr>
            <w:tcW w:w="3744" w:type="dxa"/>
            <w:tcMar>
              <w:top w:w="60" w:type="dxa"/>
              <w:left w:w="100" w:type="dxa"/>
              <w:bottom w:w="60" w:type="dxa"/>
              <w:right w:w="100" w:type="dxa"/>
            </w:tcMar>
          </w:tcPr>
          <w:p w14:paraId="2B6DE3A8" w14:textId="77777777" w:rsidR="001F7DE8" w:rsidRPr="00427625" w:rsidRDefault="00000000">
            <w:pPr>
              <w:rPr>
                <w:color w:val="000000" w:themeColor="text1"/>
              </w:rPr>
            </w:pPr>
            <w:r w:rsidRPr="00427625">
              <w:rPr>
                <w:rFonts w:eastAsia="Calibri"/>
                <w:color w:val="000000" w:themeColor="text1"/>
              </w:rPr>
              <w:t>Covered</w:t>
            </w:r>
          </w:p>
        </w:tc>
        <w:tc>
          <w:tcPr>
            <w:tcW w:w="1727" w:type="dxa"/>
            <w:tcMar>
              <w:top w:w="60" w:type="dxa"/>
              <w:left w:w="100" w:type="dxa"/>
              <w:bottom w:w="60" w:type="dxa"/>
              <w:right w:w="100" w:type="dxa"/>
            </w:tcMar>
          </w:tcPr>
          <w:p w14:paraId="31C362BF" w14:textId="77777777" w:rsidR="001F7DE8" w:rsidRPr="00427625" w:rsidRDefault="00000000">
            <w:pPr>
              <w:rPr>
                <w:color w:val="000000" w:themeColor="text1"/>
              </w:rPr>
            </w:pPr>
            <w:r w:rsidRPr="00427625">
              <w:rPr>
                <w:rFonts w:eastAsia="Calibri"/>
                <w:color w:val="000000" w:themeColor="text1"/>
              </w:rPr>
              <w:t>18,203</w:t>
            </w:r>
          </w:p>
        </w:tc>
        <w:tc>
          <w:tcPr>
            <w:tcW w:w="2304" w:type="dxa"/>
            <w:tcMar>
              <w:top w:w="60" w:type="dxa"/>
              <w:left w:w="100" w:type="dxa"/>
              <w:bottom w:w="60" w:type="dxa"/>
              <w:right w:w="100" w:type="dxa"/>
            </w:tcMar>
          </w:tcPr>
          <w:p w14:paraId="2FB01480" w14:textId="77777777" w:rsidR="001F7DE8" w:rsidRPr="00427625" w:rsidRDefault="00000000">
            <w:pPr>
              <w:rPr>
                <w:color w:val="000000" w:themeColor="text1"/>
              </w:rPr>
            </w:pPr>
            <w:r w:rsidRPr="00427625">
              <w:rPr>
                <w:rFonts w:eastAsia="Calibri"/>
                <w:color w:val="000000" w:themeColor="text1"/>
              </w:rPr>
              <w:t>5.8%</w:t>
            </w:r>
          </w:p>
        </w:tc>
      </w:tr>
      <w:tr w:rsidR="001F7DE8" w:rsidRPr="00427625" w14:paraId="6BB2CB1B" w14:textId="77777777">
        <w:tblPrEx>
          <w:tblCellMar>
            <w:top w:w="0" w:type="dxa"/>
            <w:bottom w:w="0" w:type="dxa"/>
          </w:tblCellMar>
        </w:tblPrEx>
        <w:tc>
          <w:tcPr>
            <w:tcW w:w="3744" w:type="dxa"/>
            <w:tcMar>
              <w:top w:w="60" w:type="dxa"/>
              <w:left w:w="100" w:type="dxa"/>
              <w:bottom w:w="60" w:type="dxa"/>
              <w:right w:w="100" w:type="dxa"/>
            </w:tcMar>
          </w:tcPr>
          <w:p w14:paraId="12387F8F" w14:textId="77777777" w:rsidR="001F7DE8" w:rsidRPr="00427625" w:rsidRDefault="00000000">
            <w:pPr>
              <w:rPr>
                <w:color w:val="000000" w:themeColor="text1"/>
              </w:rPr>
            </w:pPr>
            <w:r w:rsidRPr="00427625">
              <w:rPr>
                <w:rFonts w:eastAsia="Calibri"/>
                <w:color w:val="000000" w:themeColor="text1"/>
              </w:rPr>
              <w:t>Not covered</w:t>
            </w:r>
          </w:p>
        </w:tc>
        <w:tc>
          <w:tcPr>
            <w:tcW w:w="1727" w:type="dxa"/>
            <w:tcMar>
              <w:top w:w="60" w:type="dxa"/>
              <w:left w:w="100" w:type="dxa"/>
              <w:bottom w:w="60" w:type="dxa"/>
              <w:right w:w="100" w:type="dxa"/>
            </w:tcMar>
          </w:tcPr>
          <w:p w14:paraId="1C823F2F" w14:textId="77777777" w:rsidR="001F7DE8" w:rsidRPr="00427625" w:rsidRDefault="00000000">
            <w:pPr>
              <w:rPr>
                <w:color w:val="000000" w:themeColor="text1"/>
              </w:rPr>
            </w:pPr>
            <w:r w:rsidRPr="00427625">
              <w:rPr>
                <w:rFonts w:eastAsia="Calibri"/>
                <w:color w:val="000000" w:themeColor="text1"/>
              </w:rPr>
              <w:t>1,100</w:t>
            </w:r>
          </w:p>
        </w:tc>
        <w:tc>
          <w:tcPr>
            <w:tcW w:w="2304" w:type="dxa"/>
            <w:tcMar>
              <w:top w:w="60" w:type="dxa"/>
              <w:left w:w="100" w:type="dxa"/>
              <w:bottom w:w="60" w:type="dxa"/>
              <w:right w:w="100" w:type="dxa"/>
            </w:tcMar>
          </w:tcPr>
          <w:p w14:paraId="4BBEA452" w14:textId="77777777" w:rsidR="001F7DE8" w:rsidRPr="00427625" w:rsidRDefault="00000000">
            <w:pPr>
              <w:rPr>
                <w:color w:val="000000" w:themeColor="text1"/>
              </w:rPr>
            </w:pPr>
            <w:r w:rsidRPr="00427625">
              <w:rPr>
                <w:rFonts w:eastAsia="Calibri"/>
                <w:color w:val="000000" w:themeColor="text1"/>
              </w:rPr>
              <w:t>27.5%</w:t>
            </w:r>
          </w:p>
        </w:tc>
      </w:tr>
    </w:tbl>
    <w:p w14:paraId="4526CB89" w14:textId="77777777" w:rsidR="001F7DE8" w:rsidRPr="00427625" w:rsidRDefault="001F7DE8">
      <w:pPr>
        <w:spacing w:after="120" w:line="276" w:lineRule="auto"/>
        <w:rPr>
          <w:color w:val="000000" w:themeColor="text1"/>
        </w:rPr>
      </w:pPr>
    </w:p>
    <w:p w14:paraId="7C5B2301" w14:textId="77777777" w:rsidR="001F7DE8" w:rsidRPr="00427625" w:rsidRDefault="00000000">
      <w:pPr>
        <w:spacing w:after="100" w:line="276" w:lineRule="auto"/>
        <w:rPr>
          <w:color w:val="000000" w:themeColor="text1"/>
        </w:rPr>
      </w:pPr>
      <w:r w:rsidRPr="00427625">
        <w:rPr>
          <w:rFonts w:eastAsia="Calibri"/>
          <w:b/>
          <w:bCs/>
          <w:color w:val="000000" w:themeColor="text1"/>
          <w:sz w:val="22"/>
          <w:szCs w:val="22"/>
        </w:rPr>
        <w:t>Table 5: Proportion of adults at each education level who delay medical treatment</w:t>
      </w:r>
    </w:p>
    <w:tbl>
      <w:tblPr>
        <w:tblW w:w="7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5"/>
        <w:gridCol w:w="1727"/>
        <w:gridCol w:w="2304"/>
      </w:tblGrid>
      <w:tr w:rsidR="001F7DE8" w:rsidRPr="00427625" w14:paraId="030071A7" w14:textId="77777777">
        <w:tblPrEx>
          <w:tblCellMar>
            <w:top w:w="0" w:type="dxa"/>
            <w:bottom w:w="0" w:type="dxa"/>
          </w:tblCellMar>
        </w:tblPrEx>
        <w:trPr>
          <w:tblHeader/>
        </w:trPr>
        <w:tc>
          <w:tcPr>
            <w:tcW w:w="3744" w:type="dxa"/>
            <w:shd w:val="clear" w:color="auto" w:fill="D9E2F3"/>
            <w:tcMar>
              <w:top w:w="60" w:type="dxa"/>
              <w:left w:w="100" w:type="dxa"/>
              <w:bottom w:w="60" w:type="dxa"/>
              <w:right w:w="100" w:type="dxa"/>
            </w:tcMar>
          </w:tcPr>
          <w:p w14:paraId="4F5ACE34" w14:textId="77777777" w:rsidR="001F7DE8" w:rsidRPr="00427625" w:rsidRDefault="00000000">
            <w:pPr>
              <w:rPr>
                <w:color w:val="000000" w:themeColor="text1"/>
              </w:rPr>
            </w:pPr>
            <w:r w:rsidRPr="00427625">
              <w:rPr>
                <w:rFonts w:eastAsia="Calibri"/>
                <w:b/>
                <w:bCs/>
                <w:color w:val="000000" w:themeColor="text1"/>
              </w:rPr>
              <w:t>Education</w:t>
            </w:r>
          </w:p>
        </w:tc>
        <w:tc>
          <w:tcPr>
            <w:tcW w:w="1727" w:type="dxa"/>
            <w:shd w:val="clear" w:color="auto" w:fill="D9E2F3"/>
            <w:tcMar>
              <w:top w:w="60" w:type="dxa"/>
              <w:left w:w="100" w:type="dxa"/>
              <w:bottom w:w="60" w:type="dxa"/>
              <w:right w:w="100" w:type="dxa"/>
            </w:tcMar>
          </w:tcPr>
          <w:p w14:paraId="69A59002" w14:textId="77777777" w:rsidR="001F7DE8" w:rsidRPr="00427625" w:rsidRDefault="00000000">
            <w:pPr>
              <w:rPr>
                <w:color w:val="000000" w:themeColor="text1"/>
              </w:rPr>
            </w:pPr>
            <w:r w:rsidRPr="00427625">
              <w:rPr>
                <w:rFonts w:eastAsia="Calibri"/>
                <w:b/>
                <w:bCs/>
                <w:color w:val="000000" w:themeColor="text1"/>
              </w:rPr>
              <w:t>N</w:t>
            </w:r>
          </w:p>
        </w:tc>
        <w:tc>
          <w:tcPr>
            <w:tcW w:w="2304" w:type="dxa"/>
            <w:shd w:val="clear" w:color="auto" w:fill="D9E2F3"/>
            <w:tcMar>
              <w:top w:w="60" w:type="dxa"/>
              <w:left w:w="100" w:type="dxa"/>
              <w:bottom w:w="60" w:type="dxa"/>
              <w:right w:w="100" w:type="dxa"/>
            </w:tcMar>
          </w:tcPr>
          <w:p w14:paraId="0F9284E1" w14:textId="77777777" w:rsidR="001F7DE8" w:rsidRPr="00427625" w:rsidRDefault="00000000">
            <w:pPr>
              <w:rPr>
                <w:color w:val="000000" w:themeColor="text1"/>
              </w:rPr>
            </w:pPr>
            <w:r w:rsidRPr="00427625">
              <w:rPr>
                <w:rFonts w:eastAsia="Calibri"/>
                <w:b/>
                <w:bCs/>
                <w:color w:val="000000" w:themeColor="text1"/>
              </w:rPr>
              <w:t>% Delayed Care</w:t>
            </w:r>
          </w:p>
        </w:tc>
      </w:tr>
      <w:tr w:rsidR="001F7DE8" w:rsidRPr="00427625" w14:paraId="465298AC" w14:textId="77777777">
        <w:tblPrEx>
          <w:tblCellMar>
            <w:top w:w="0" w:type="dxa"/>
            <w:bottom w:w="0" w:type="dxa"/>
          </w:tblCellMar>
        </w:tblPrEx>
        <w:tc>
          <w:tcPr>
            <w:tcW w:w="3744" w:type="dxa"/>
            <w:tcMar>
              <w:top w:w="60" w:type="dxa"/>
              <w:left w:w="100" w:type="dxa"/>
              <w:bottom w:w="60" w:type="dxa"/>
              <w:right w:w="100" w:type="dxa"/>
            </w:tcMar>
          </w:tcPr>
          <w:p w14:paraId="4314B2D7" w14:textId="77777777" w:rsidR="001F7DE8" w:rsidRPr="00427625" w:rsidRDefault="00000000">
            <w:pPr>
              <w:rPr>
                <w:color w:val="000000" w:themeColor="text1"/>
              </w:rPr>
            </w:pPr>
            <w:r w:rsidRPr="00427625">
              <w:rPr>
                <w:rFonts w:eastAsia="Calibri"/>
                <w:color w:val="000000" w:themeColor="text1"/>
              </w:rPr>
              <w:t>High School Degree</w:t>
            </w:r>
          </w:p>
        </w:tc>
        <w:tc>
          <w:tcPr>
            <w:tcW w:w="1727" w:type="dxa"/>
            <w:tcMar>
              <w:top w:w="60" w:type="dxa"/>
              <w:left w:w="100" w:type="dxa"/>
              <w:bottom w:w="60" w:type="dxa"/>
              <w:right w:w="100" w:type="dxa"/>
            </w:tcMar>
          </w:tcPr>
          <w:p w14:paraId="0C1DAB2B" w14:textId="77777777" w:rsidR="001F7DE8" w:rsidRPr="00427625" w:rsidRDefault="00000000">
            <w:pPr>
              <w:rPr>
                <w:color w:val="000000" w:themeColor="text1"/>
              </w:rPr>
            </w:pPr>
            <w:r w:rsidRPr="00427625">
              <w:rPr>
                <w:rFonts w:eastAsia="Calibri"/>
                <w:color w:val="000000" w:themeColor="text1"/>
              </w:rPr>
              <w:t>7,301</w:t>
            </w:r>
          </w:p>
        </w:tc>
        <w:tc>
          <w:tcPr>
            <w:tcW w:w="2304" w:type="dxa"/>
            <w:tcMar>
              <w:top w:w="60" w:type="dxa"/>
              <w:left w:w="100" w:type="dxa"/>
              <w:bottom w:w="60" w:type="dxa"/>
              <w:right w:w="100" w:type="dxa"/>
            </w:tcMar>
          </w:tcPr>
          <w:p w14:paraId="693C388E" w14:textId="77777777" w:rsidR="001F7DE8" w:rsidRPr="00427625" w:rsidRDefault="00000000">
            <w:pPr>
              <w:rPr>
                <w:color w:val="000000" w:themeColor="text1"/>
              </w:rPr>
            </w:pPr>
            <w:r w:rsidRPr="00427625">
              <w:rPr>
                <w:rFonts w:eastAsia="Calibri"/>
                <w:color w:val="000000" w:themeColor="text1"/>
              </w:rPr>
              <w:t>7.5%</w:t>
            </w:r>
          </w:p>
        </w:tc>
      </w:tr>
      <w:tr w:rsidR="001F7DE8" w:rsidRPr="00427625" w14:paraId="20A31C8F" w14:textId="77777777">
        <w:tblPrEx>
          <w:tblCellMar>
            <w:top w:w="0" w:type="dxa"/>
            <w:bottom w:w="0" w:type="dxa"/>
          </w:tblCellMar>
        </w:tblPrEx>
        <w:tc>
          <w:tcPr>
            <w:tcW w:w="3744" w:type="dxa"/>
            <w:tcMar>
              <w:top w:w="60" w:type="dxa"/>
              <w:left w:w="100" w:type="dxa"/>
              <w:bottom w:w="60" w:type="dxa"/>
              <w:right w:w="100" w:type="dxa"/>
            </w:tcMar>
          </w:tcPr>
          <w:p w14:paraId="69B7C657" w14:textId="77777777" w:rsidR="001F7DE8" w:rsidRPr="00427625" w:rsidRDefault="00000000">
            <w:pPr>
              <w:rPr>
                <w:color w:val="000000" w:themeColor="text1"/>
              </w:rPr>
            </w:pPr>
            <w:r w:rsidRPr="00427625">
              <w:rPr>
                <w:rFonts w:eastAsia="Calibri"/>
                <w:color w:val="000000" w:themeColor="text1"/>
              </w:rPr>
              <w:t>Bachelor's Degree</w:t>
            </w:r>
          </w:p>
        </w:tc>
        <w:tc>
          <w:tcPr>
            <w:tcW w:w="1727" w:type="dxa"/>
            <w:tcMar>
              <w:top w:w="60" w:type="dxa"/>
              <w:left w:w="100" w:type="dxa"/>
              <w:bottom w:w="60" w:type="dxa"/>
              <w:right w:w="100" w:type="dxa"/>
            </w:tcMar>
          </w:tcPr>
          <w:p w14:paraId="4A40D8DD" w14:textId="77777777" w:rsidR="001F7DE8" w:rsidRPr="00427625" w:rsidRDefault="00000000">
            <w:pPr>
              <w:rPr>
                <w:color w:val="000000" w:themeColor="text1"/>
              </w:rPr>
            </w:pPr>
            <w:r w:rsidRPr="00427625">
              <w:rPr>
                <w:rFonts w:eastAsia="Calibri"/>
                <w:color w:val="000000" w:themeColor="text1"/>
              </w:rPr>
              <w:t>7,254</w:t>
            </w:r>
          </w:p>
        </w:tc>
        <w:tc>
          <w:tcPr>
            <w:tcW w:w="2304" w:type="dxa"/>
            <w:tcMar>
              <w:top w:w="60" w:type="dxa"/>
              <w:left w:w="100" w:type="dxa"/>
              <w:bottom w:w="60" w:type="dxa"/>
              <w:right w:w="100" w:type="dxa"/>
            </w:tcMar>
          </w:tcPr>
          <w:p w14:paraId="34CC6749" w14:textId="77777777" w:rsidR="001F7DE8" w:rsidRPr="00427625" w:rsidRDefault="00000000">
            <w:pPr>
              <w:rPr>
                <w:color w:val="000000" w:themeColor="text1"/>
              </w:rPr>
            </w:pPr>
            <w:r w:rsidRPr="00427625">
              <w:rPr>
                <w:rFonts w:eastAsia="Calibri"/>
                <w:color w:val="000000" w:themeColor="text1"/>
              </w:rPr>
              <w:t>7.1%</w:t>
            </w:r>
          </w:p>
        </w:tc>
      </w:tr>
      <w:tr w:rsidR="001F7DE8" w:rsidRPr="00427625" w14:paraId="57946BBE" w14:textId="77777777">
        <w:tblPrEx>
          <w:tblCellMar>
            <w:top w:w="0" w:type="dxa"/>
            <w:bottom w:w="0" w:type="dxa"/>
          </w:tblCellMar>
        </w:tblPrEx>
        <w:tc>
          <w:tcPr>
            <w:tcW w:w="3744" w:type="dxa"/>
            <w:tcMar>
              <w:top w:w="60" w:type="dxa"/>
              <w:left w:w="100" w:type="dxa"/>
              <w:bottom w:w="60" w:type="dxa"/>
              <w:right w:w="100" w:type="dxa"/>
            </w:tcMar>
          </w:tcPr>
          <w:p w14:paraId="2C8B66E7" w14:textId="77777777" w:rsidR="001F7DE8" w:rsidRPr="00427625" w:rsidRDefault="00000000">
            <w:pPr>
              <w:rPr>
                <w:color w:val="000000" w:themeColor="text1"/>
              </w:rPr>
            </w:pPr>
            <w:r w:rsidRPr="00427625">
              <w:rPr>
                <w:rFonts w:eastAsia="Calibri"/>
                <w:color w:val="000000" w:themeColor="text1"/>
              </w:rPr>
              <w:t>Master's Degree</w:t>
            </w:r>
          </w:p>
        </w:tc>
        <w:tc>
          <w:tcPr>
            <w:tcW w:w="1727" w:type="dxa"/>
            <w:tcMar>
              <w:top w:w="60" w:type="dxa"/>
              <w:left w:w="100" w:type="dxa"/>
              <w:bottom w:w="60" w:type="dxa"/>
              <w:right w:w="100" w:type="dxa"/>
            </w:tcMar>
          </w:tcPr>
          <w:p w14:paraId="7AF7744C" w14:textId="77777777" w:rsidR="001F7DE8" w:rsidRPr="00427625" w:rsidRDefault="00000000">
            <w:pPr>
              <w:rPr>
                <w:color w:val="000000" w:themeColor="text1"/>
              </w:rPr>
            </w:pPr>
            <w:r w:rsidRPr="00427625">
              <w:rPr>
                <w:rFonts w:eastAsia="Calibri"/>
                <w:color w:val="000000" w:themeColor="text1"/>
              </w:rPr>
              <w:t>3,528</w:t>
            </w:r>
          </w:p>
        </w:tc>
        <w:tc>
          <w:tcPr>
            <w:tcW w:w="2304" w:type="dxa"/>
            <w:tcMar>
              <w:top w:w="60" w:type="dxa"/>
              <w:left w:w="100" w:type="dxa"/>
              <w:bottom w:w="60" w:type="dxa"/>
              <w:right w:w="100" w:type="dxa"/>
            </w:tcMar>
          </w:tcPr>
          <w:p w14:paraId="02357349" w14:textId="77777777" w:rsidR="001F7DE8" w:rsidRPr="00427625" w:rsidRDefault="00000000">
            <w:pPr>
              <w:rPr>
                <w:color w:val="000000" w:themeColor="text1"/>
              </w:rPr>
            </w:pPr>
            <w:r w:rsidRPr="00427625">
              <w:rPr>
                <w:rFonts w:eastAsia="Calibri"/>
                <w:color w:val="000000" w:themeColor="text1"/>
              </w:rPr>
              <w:t>7.1%</w:t>
            </w:r>
          </w:p>
        </w:tc>
      </w:tr>
      <w:tr w:rsidR="001F7DE8" w:rsidRPr="00427625" w14:paraId="1FAB67C0" w14:textId="77777777">
        <w:tblPrEx>
          <w:tblCellMar>
            <w:top w:w="0" w:type="dxa"/>
            <w:bottom w:w="0" w:type="dxa"/>
          </w:tblCellMar>
        </w:tblPrEx>
        <w:tc>
          <w:tcPr>
            <w:tcW w:w="3744" w:type="dxa"/>
            <w:tcMar>
              <w:top w:w="60" w:type="dxa"/>
              <w:left w:w="100" w:type="dxa"/>
              <w:bottom w:w="60" w:type="dxa"/>
              <w:right w:w="100" w:type="dxa"/>
            </w:tcMar>
          </w:tcPr>
          <w:p w14:paraId="73F64904" w14:textId="77777777" w:rsidR="001F7DE8" w:rsidRPr="00427625" w:rsidRDefault="00000000">
            <w:pPr>
              <w:rPr>
                <w:color w:val="000000" w:themeColor="text1"/>
              </w:rPr>
            </w:pPr>
            <w:r w:rsidRPr="00427625">
              <w:rPr>
                <w:rFonts w:eastAsia="Calibri"/>
                <w:color w:val="000000" w:themeColor="text1"/>
              </w:rPr>
              <w:t>Doctoral Degree</w:t>
            </w:r>
          </w:p>
        </w:tc>
        <w:tc>
          <w:tcPr>
            <w:tcW w:w="1727" w:type="dxa"/>
            <w:tcMar>
              <w:top w:w="60" w:type="dxa"/>
              <w:left w:w="100" w:type="dxa"/>
              <w:bottom w:w="60" w:type="dxa"/>
              <w:right w:w="100" w:type="dxa"/>
            </w:tcMar>
          </w:tcPr>
          <w:p w14:paraId="4A5C0BFF" w14:textId="77777777" w:rsidR="001F7DE8" w:rsidRPr="00427625" w:rsidRDefault="00000000">
            <w:pPr>
              <w:rPr>
                <w:color w:val="000000" w:themeColor="text1"/>
              </w:rPr>
            </w:pPr>
            <w:r w:rsidRPr="00427625">
              <w:rPr>
                <w:rFonts w:eastAsia="Calibri"/>
                <w:color w:val="000000" w:themeColor="text1"/>
              </w:rPr>
              <w:t>1,220</w:t>
            </w:r>
          </w:p>
        </w:tc>
        <w:tc>
          <w:tcPr>
            <w:tcW w:w="2304" w:type="dxa"/>
            <w:tcMar>
              <w:top w:w="60" w:type="dxa"/>
              <w:left w:w="100" w:type="dxa"/>
              <w:bottom w:w="60" w:type="dxa"/>
              <w:right w:w="100" w:type="dxa"/>
            </w:tcMar>
          </w:tcPr>
          <w:p w14:paraId="4845250E" w14:textId="77777777" w:rsidR="001F7DE8" w:rsidRPr="00427625" w:rsidRDefault="00000000">
            <w:pPr>
              <w:rPr>
                <w:color w:val="000000" w:themeColor="text1"/>
              </w:rPr>
            </w:pPr>
            <w:r w:rsidRPr="00427625">
              <w:rPr>
                <w:rFonts w:eastAsia="Calibri"/>
                <w:color w:val="000000" w:themeColor="text1"/>
              </w:rPr>
              <w:t>4.3%</w:t>
            </w:r>
          </w:p>
        </w:tc>
      </w:tr>
    </w:tbl>
    <w:p w14:paraId="0DB7E62D" w14:textId="77777777" w:rsidR="001F7DE8" w:rsidRPr="00427625" w:rsidRDefault="001F7DE8">
      <w:pPr>
        <w:spacing w:after="120" w:line="276" w:lineRule="auto"/>
        <w:rPr>
          <w:color w:val="000000" w:themeColor="text1"/>
        </w:rPr>
      </w:pPr>
    </w:p>
    <w:p w14:paraId="63061361" w14:textId="77777777" w:rsidR="001F7DE8" w:rsidRPr="00427625" w:rsidRDefault="00000000">
      <w:pPr>
        <w:spacing w:after="100" w:line="276" w:lineRule="auto"/>
        <w:rPr>
          <w:color w:val="000000" w:themeColor="text1"/>
        </w:rPr>
      </w:pPr>
      <w:r w:rsidRPr="00427625">
        <w:rPr>
          <w:rFonts w:eastAsia="Calibri"/>
          <w:b/>
          <w:bCs/>
          <w:color w:val="000000" w:themeColor="text1"/>
          <w:sz w:val="22"/>
          <w:szCs w:val="22"/>
        </w:rPr>
        <w:t>Table 6: Proportion of adults who delay medical treatment, by race/ethnicity and insurance status</w:t>
      </w:r>
    </w:p>
    <w:tbl>
      <w:tblPr>
        <w:tblW w:w="92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6"/>
        <w:gridCol w:w="2160"/>
        <w:gridCol w:w="1440"/>
        <w:gridCol w:w="2160"/>
      </w:tblGrid>
      <w:tr w:rsidR="001F7DE8" w:rsidRPr="00427625" w14:paraId="1304A995" w14:textId="77777777">
        <w:tblPrEx>
          <w:tblCellMar>
            <w:top w:w="0" w:type="dxa"/>
            <w:bottom w:w="0" w:type="dxa"/>
          </w:tblCellMar>
        </w:tblPrEx>
        <w:trPr>
          <w:tblHeader/>
        </w:trPr>
        <w:tc>
          <w:tcPr>
            <w:tcW w:w="3455" w:type="dxa"/>
            <w:shd w:val="clear" w:color="auto" w:fill="D9E2F3"/>
            <w:tcMar>
              <w:top w:w="60" w:type="dxa"/>
              <w:left w:w="100" w:type="dxa"/>
              <w:bottom w:w="60" w:type="dxa"/>
              <w:right w:w="100" w:type="dxa"/>
            </w:tcMar>
          </w:tcPr>
          <w:p w14:paraId="7B225191" w14:textId="77777777" w:rsidR="001F7DE8" w:rsidRPr="00427625" w:rsidRDefault="00000000">
            <w:pPr>
              <w:rPr>
                <w:color w:val="000000" w:themeColor="text1"/>
              </w:rPr>
            </w:pPr>
            <w:r w:rsidRPr="00427625">
              <w:rPr>
                <w:rFonts w:eastAsia="Calibri"/>
                <w:b/>
                <w:bCs/>
                <w:color w:val="000000" w:themeColor="text1"/>
              </w:rPr>
              <w:t>Race/Ethnicity</w:t>
            </w:r>
          </w:p>
        </w:tc>
        <w:tc>
          <w:tcPr>
            <w:tcW w:w="2160" w:type="dxa"/>
            <w:shd w:val="clear" w:color="auto" w:fill="D9E2F3"/>
            <w:tcMar>
              <w:top w:w="60" w:type="dxa"/>
              <w:left w:w="100" w:type="dxa"/>
              <w:bottom w:w="60" w:type="dxa"/>
              <w:right w:w="100" w:type="dxa"/>
            </w:tcMar>
          </w:tcPr>
          <w:p w14:paraId="6EA02601" w14:textId="77777777" w:rsidR="001F7DE8" w:rsidRPr="00427625" w:rsidRDefault="00000000">
            <w:pPr>
              <w:rPr>
                <w:color w:val="000000" w:themeColor="text1"/>
              </w:rPr>
            </w:pPr>
            <w:r w:rsidRPr="00427625">
              <w:rPr>
                <w:rFonts w:eastAsia="Calibri"/>
                <w:b/>
                <w:bCs/>
                <w:color w:val="000000" w:themeColor="text1"/>
              </w:rPr>
              <w:t>Insurance Status</w:t>
            </w:r>
          </w:p>
        </w:tc>
        <w:tc>
          <w:tcPr>
            <w:tcW w:w="1440" w:type="dxa"/>
            <w:shd w:val="clear" w:color="auto" w:fill="D9E2F3"/>
            <w:tcMar>
              <w:top w:w="60" w:type="dxa"/>
              <w:left w:w="100" w:type="dxa"/>
              <w:bottom w:w="60" w:type="dxa"/>
              <w:right w:w="100" w:type="dxa"/>
            </w:tcMar>
          </w:tcPr>
          <w:p w14:paraId="10DED7CC" w14:textId="77777777" w:rsidR="001F7DE8" w:rsidRPr="00427625" w:rsidRDefault="00000000">
            <w:pPr>
              <w:rPr>
                <w:color w:val="000000" w:themeColor="text1"/>
              </w:rPr>
            </w:pPr>
            <w:r w:rsidRPr="00427625">
              <w:rPr>
                <w:rFonts w:eastAsia="Calibri"/>
                <w:b/>
                <w:bCs/>
                <w:color w:val="000000" w:themeColor="text1"/>
              </w:rPr>
              <w:t>N</w:t>
            </w:r>
          </w:p>
        </w:tc>
        <w:tc>
          <w:tcPr>
            <w:tcW w:w="2160" w:type="dxa"/>
            <w:shd w:val="clear" w:color="auto" w:fill="D9E2F3"/>
            <w:tcMar>
              <w:top w:w="60" w:type="dxa"/>
              <w:left w:w="100" w:type="dxa"/>
              <w:bottom w:w="60" w:type="dxa"/>
              <w:right w:w="100" w:type="dxa"/>
            </w:tcMar>
          </w:tcPr>
          <w:p w14:paraId="50096215" w14:textId="77777777" w:rsidR="001F7DE8" w:rsidRPr="00427625" w:rsidRDefault="00000000">
            <w:pPr>
              <w:rPr>
                <w:color w:val="000000" w:themeColor="text1"/>
              </w:rPr>
            </w:pPr>
            <w:r w:rsidRPr="00427625">
              <w:rPr>
                <w:rFonts w:eastAsia="Calibri"/>
                <w:b/>
                <w:bCs/>
                <w:color w:val="000000" w:themeColor="text1"/>
              </w:rPr>
              <w:t>% Delayed Care</w:t>
            </w:r>
          </w:p>
        </w:tc>
      </w:tr>
      <w:tr w:rsidR="001F7DE8" w:rsidRPr="00427625" w14:paraId="6EC459FB" w14:textId="77777777">
        <w:tblPrEx>
          <w:tblCellMar>
            <w:top w:w="0" w:type="dxa"/>
            <w:bottom w:w="0" w:type="dxa"/>
          </w:tblCellMar>
        </w:tblPrEx>
        <w:tc>
          <w:tcPr>
            <w:tcW w:w="3455" w:type="dxa"/>
            <w:tcMar>
              <w:top w:w="60" w:type="dxa"/>
              <w:left w:w="100" w:type="dxa"/>
              <w:bottom w:w="60" w:type="dxa"/>
              <w:right w:w="100" w:type="dxa"/>
            </w:tcMar>
          </w:tcPr>
          <w:p w14:paraId="34EA6676" w14:textId="77777777" w:rsidR="001F7DE8" w:rsidRPr="00427625" w:rsidRDefault="00000000">
            <w:pPr>
              <w:rPr>
                <w:color w:val="000000" w:themeColor="text1"/>
              </w:rPr>
            </w:pPr>
            <w:r w:rsidRPr="00427625">
              <w:rPr>
                <w:rFonts w:eastAsia="Calibri"/>
                <w:color w:val="000000" w:themeColor="text1"/>
              </w:rPr>
              <w:t>White</w:t>
            </w:r>
          </w:p>
        </w:tc>
        <w:tc>
          <w:tcPr>
            <w:tcW w:w="2160" w:type="dxa"/>
            <w:tcMar>
              <w:top w:w="60" w:type="dxa"/>
              <w:left w:w="100" w:type="dxa"/>
              <w:bottom w:w="60" w:type="dxa"/>
              <w:right w:w="100" w:type="dxa"/>
            </w:tcMar>
          </w:tcPr>
          <w:p w14:paraId="1F699296" w14:textId="77777777" w:rsidR="001F7DE8" w:rsidRPr="00427625" w:rsidRDefault="00000000">
            <w:pPr>
              <w:rPr>
                <w:color w:val="000000" w:themeColor="text1"/>
              </w:rPr>
            </w:pPr>
            <w:r w:rsidRPr="00427625">
              <w:rPr>
                <w:rFonts w:eastAsia="Calibri"/>
                <w:color w:val="000000" w:themeColor="text1"/>
              </w:rPr>
              <w:t>Covered</w:t>
            </w:r>
          </w:p>
        </w:tc>
        <w:tc>
          <w:tcPr>
            <w:tcW w:w="1440" w:type="dxa"/>
            <w:tcMar>
              <w:top w:w="60" w:type="dxa"/>
              <w:left w:w="100" w:type="dxa"/>
              <w:bottom w:w="60" w:type="dxa"/>
              <w:right w:w="100" w:type="dxa"/>
            </w:tcMar>
          </w:tcPr>
          <w:p w14:paraId="3029568A" w14:textId="77777777" w:rsidR="001F7DE8" w:rsidRPr="00427625" w:rsidRDefault="00000000">
            <w:pPr>
              <w:rPr>
                <w:color w:val="000000" w:themeColor="text1"/>
              </w:rPr>
            </w:pPr>
            <w:r w:rsidRPr="00427625">
              <w:rPr>
                <w:rFonts w:eastAsia="Calibri"/>
                <w:color w:val="000000" w:themeColor="text1"/>
              </w:rPr>
              <w:t>13,194</w:t>
            </w:r>
          </w:p>
        </w:tc>
        <w:tc>
          <w:tcPr>
            <w:tcW w:w="2160" w:type="dxa"/>
            <w:tcMar>
              <w:top w:w="60" w:type="dxa"/>
              <w:left w:w="100" w:type="dxa"/>
              <w:bottom w:w="60" w:type="dxa"/>
              <w:right w:w="100" w:type="dxa"/>
            </w:tcMar>
          </w:tcPr>
          <w:p w14:paraId="3CE9C200" w14:textId="77777777" w:rsidR="001F7DE8" w:rsidRPr="00427625" w:rsidRDefault="00000000">
            <w:pPr>
              <w:rPr>
                <w:color w:val="000000" w:themeColor="text1"/>
              </w:rPr>
            </w:pPr>
            <w:r w:rsidRPr="00427625">
              <w:rPr>
                <w:rFonts w:eastAsia="Calibri"/>
                <w:color w:val="000000" w:themeColor="text1"/>
              </w:rPr>
              <w:t>6.1%</w:t>
            </w:r>
          </w:p>
        </w:tc>
      </w:tr>
      <w:tr w:rsidR="001F7DE8" w:rsidRPr="00427625" w14:paraId="48D94F44" w14:textId="77777777">
        <w:tblPrEx>
          <w:tblCellMar>
            <w:top w:w="0" w:type="dxa"/>
            <w:bottom w:w="0" w:type="dxa"/>
          </w:tblCellMar>
        </w:tblPrEx>
        <w:tc>
          <w:tcPr>
            <w:tcW w:w="3455" w:type="dxa"/>
            <w:tcMar>
              <w:top w:w="60" w:type="dxa"/>
              <w:left w:w="100" w:type="dxa"/>
              <w:bottom w:w="60" w:type="dxa"/>
              <w:right w:w="100" w:type="dxa"/>
            </w:tcMar>
          </w:tcPr>
          <w:p w14:paraId="7DBCE62B" w14:textId="77777777" w:rsidR="001F7DE8" w:rsidRPr="00427625" w:rsidRDefault="00000000">
            <w:pPr>
              <w:rPr>
                <w:color w:val="000000" w:themeColor="text1"/>
              </w:rPr>
            </w:pPr>
            <w:r w:rsidRPr="00427625">
              <w:rPr>
                <w:rFonts w:eastAsia="Calibri"/>
                <w:color w:val="000000" w:themeColor="text1"/>
              </w:rPr>
              <w:t>White</w:t>
            </w:r>
          </w:p>
        </w:tc>
        <w:tc>
          <w:tcPr>
            <w:tcW w:w="2160" w:type="dxa"/>
            <w:tcMar>
              <w:top w:w="60" w:type="dxa"/>
              <w:left w:w="100" w:type="dxa"/>
              <w:bottom w:w="60" w:type="dxa"/>
              <w:right w:w="100" w:type="dxa"/>
            </w:tcMar>
          </w:tcPr>
          <w:p w14:paraId="52D706B7" w14:textId="77777777" w:rsidR="001F7DE8" w:rsidRPr="00427625" w:rsidRDefault="00000000">
            <w:pPr>
              <w:rPr>
                <w:color w:val="000000" w:themeColor="text1"/>
              </w:rPr>
            </w:pPr>
            <w:r w:rsidRPr="00427625">
              <w:rPr>
                <w:rFonts w:eastAsia="Calibri"/>
                <w:color w:val="000000" w:themeColor="text1"/>
              </w:rPr>
              <w:t>Not covered</w:t>
            </w:r>
          </w:p>
        </w:tc>
        <w:tc>
          <w:tcPr>
            <w:tcW w:w="1440" w:type="dxa"/>
            <w:tcMar>
              <w:top w:w="60" w:type="dxa"/>
              <w:left w:w="100" w:type="dxa"/>
              <w:bottom w:w="60" w:type="dxa"/>
              <w:right w:w="100" w:type="dxa"/>
            </w:tcMar>
          </w:tcPr>
          <w:p w14:paraId="1E298781" w14:textId="77777777" w:rsidR="001F7DE8" w:rsidRPr="00427625" w:rsidRDefault="00000000">
            <w:pPr>
              <w:rPr>
                <w:color w:val="000000" w:themeColor="text1"/>
              </w:rPr>
            </w:pPr>
            <w:r w:rsidRPr="00427625">
              <w:rPr>
                <w:rFonts w:eastAsia="Calibri"/>
                <w:color w:val="000000" w:themeColor="text1"/>
              </w:rPr>
              <w:t>532</w:t>
            </w:r>
          </w:p>
        </w:tc>
        <w:tc>
          <w:tcPr>
            <w:tcW w:w="2160" w:type="dxa"/>
            <w:tcMar>
              <w:top w:w="60" w:type="dxa"/>
              <w:left w:w="100" w:type="dxa"/>
              <w:bottom w:w="60" w:type="dxa"/>
              <w:right w:w="100" w:type="dxa"/>
            </w:tcMar>
          </w:tcPr>
          <w:p w14:paraId="3A401E5B" w14:textId="77777777" w:rsidR="001F7DE8" w:rsidRPr="00427625" w:rsidRDefault="00000000">
            <w:pPr>
              <w:rPr>
                <w:color w:val="000000" w:themeColor="text1"/>
              </w:rPr>
            </w:pPr>
            <w:r w:rsidRPr="00427625">
              <w:rPr>
                <w:rFonts w:eastAsia="Calibri"/>
                <w:color w:val="000000" w:themeColor="text1"/>
              </w:rPr>
              <w:t>32.7%</w:t>
            </w:r>
          </w:p>
        </w:tc>
      </w:tr>
      <w:tr w:rsidR="001F7DE8" w:rsidRPr="00427625" w14:paraId="78EEB230" w14:textId="77777777">
        <w:tblPrEx>
          <w:tblCellMar>
            <w:top w:w="0" w:type="dxa"/>
            <w:bottom w:w="0" w:type="dxa"/>
          </w:tblCellMar>
        </w:tblPrEx>
        <w:tc>
          <w:tcPr>
            <w:tcW w:w="3455" w:type="dxa"/>
            <w:tcMar>
              <w:top w:w="60" w:type="dxa"/>
              <w:left w:w="100" w:type="dxa"/>
              <w:bottom w:w="60" w:type="dxa"/>
              <w:right w:w="100" w:type="dxa"/>
            </w:tcMar>
          </w:tcPr>
          <w:p w14:paraId="53C2C51C" w14:textId="77777777" w:rsidR="001F7DE8" w:rsidRPr="00427625" w:rsidRDefault="00000000">
            <w:pPr>
              <w:rPr>
                <w:color w:val="000000" w:themeColor="text1"/>
              </w:rPr>
            </w:pPr>
            <w:r w:rsidRPr="00427625">
              <w:rPr>
                <w:rFonts w:eastAsia="Calibri"/>
                <w:color w:val="000000" w:themeColor="text1"/>
              </w:rPr>
              <w:t>Black/African American</w:t>
            </w:r>
          </w:p>
        </w:tc>
        <w:tc>
          <w:tcPr>
            <w:tcW w:w="2160" w:type="dxa"/>
            <w:tcMar>
              <w:top w:w="60" w:type="dxa"/>
              <w:left w:w="100" w:type="dxa"/>
              <w:bottom w:w="60" w:type="dxa"/>
              <w:right w:w="100" w:type="dxa"/>
            </w:tcMar>
          </w:tcPr>
          <w:p w14:paraId="7210A21A" w14:textId="77777777" w:rsidR="001F7DE8" w:rsidRPr="00427625" w:rsidRDefault="00000000">
            <w:pPr>
              <w:rPr>
                <w:color w:val="000000" w:themeColor="text1"/>
              </w:rPr>
            </w:pPr>
            <w:r w:rsidRPr="00427625">
              <w:rPr>
                <w:rFonts w:eastAsia="Calibri"/>
                <w:color w:val="000000" w:themeColor="text1"/>
              </w:rPr>
              <w:t>Covered</w:t>
            </w:r>
          </w:p>
        </w:tc>
        <w:tc>
          <w:tcPr>
            <w:tcW w:w="1440" w:type="dxa"/>
            <w:tcMar>
              <w:top w:w="60" w:type="dxa"/>
              <w:left w:w="100" w:type="dxa"/>
              <w:bottom w:w="60" w:type="dxa"/>
              <w:right w:w="100" w:type="dxa"/>
            </w:tcMar>
          </w:tcPr>
          <w:p w14:paraId="0327C4F9" w14:textId="77777777" w:rsidR="001F7DE8" w:rsidRPr="00427625" w:rsidRDefault="00000000">
            <w:pPr>
              <w:rPr>
                <w:color w:val="000000" w:themeColor="text1"/>
              </w:rPr>
            </w:pPr>
            <w:r w:rsidRPr="00427625">
              <w:rPr>
                <w:rFonts w:eastAsia="Calibri"/>
                <w:color w:val="000000" w:themeColor="text1"/>
              </w:rPr>
              <w:t>1,603</w:t>
            </w:r>
          </w:p>
        </w:tc>
        <w:tc>
          <w:tcPr>
            <w:tcW w:w="2160" w:type="dxa"/>
            <w:tcMar>
              <w:top w:w="60" w:type="dxa"/>
              <w:left w:w="100" w:type="dxa"/>
              <w:bottom w:w="60" w:type="dxa"/>
              <w:right w:w="100" w:type="dxa"/>
            </w:tcMar>
          </w:tcPr>
          <w:p w14:paraId="27BC2BF2" w14:textId="77777777" w:rsidR="001F7DE8" w:rsidRPr="00427625" w:rsidRDefault="00000000">
            <w:pPr>
              <w:rPr>
                <w:color w:val="000000" w:themeColor="text1"/>
              </w:rPr>
            </w:pPr>
            <w:r w:rsidRPr="00427625">
              <w:rPr>
                <w:rFonts w:eastAsia="Calibri"/>
                <w:color w:val="000000" w:themeColor="text1"/>
              </w:rPr>
              <w:t>5.6%</w:t>
            </w:r>
          </w:p>
        </w:tc>
      </w:tr>
      <w:tr w:rsidR="001F7DE8" w:rsidRPr="00427625" w14:paraId="7202460B" w14:textId="77777777">
        <w:tblPrEx>
          <w:tblCellMar>
            <w:top w:w="0" w:type="dxa"/>
            <w:bottom w:w="0" w:type="dxa"/>
          </w:tblCellMar>
        </w:tblPrEx>
        <w:tc>
          <w:tcPr>
            <w:tcW w:w="3455" w:type="dxa"/>
            <w:tcMar>
              <w:top w:w="60" w:type="dxa"/>
              <w:left w:w="100" w:type="dxa"/>
              <w:bottom w:w="60" w:type="dxa"/>
              <w:right w:w="100" w:type="dxa"/>
            </w:tcMar>
          </w:tcPr>
          <w:p w14:paraId="7836D305" w14:textId="77777777" w:rsidR="001F7DE8" w:rsidRPr="00427625" w:rsidRDefault="00000000">
            <w:pPr>
              <w:rPr>
                <w:color w:val="000000" w:themeColor="text1"/>
              </w:rPr>
            </w:pPr>
            <w:r w:rsidRPr="00427625">
              <w:rPr>
                <w:rFonts w:eastAsia="Calibri"/>
                <w:color w:val="000000" w:themeColor="text1"/>
              </w:rPr>
              <w:t>Black/African American</w:t>
            </w:r>
          </w:p>
        </w:tc>
        <w:tc>
          <w:tcPr>
            <w:tcW w:w="2160" w:type="dxa"/>
            <w:tcMar>
              <w:top w:w="60" w:type="dxa"/>
              <w:left w:w="100" w:type="dxa"/>
              <w:bottom w:w="60" w:type="dxa"/>
              <w:right w:w="100" w:type="dxa"/>
            </w:tcMar>
          </w:tcPr>
          <w:p w14:paraId="6A4A631F" w14:textId="77777777" w:rsidR="001F7DE8" w:rsidRPr="00427625" w:rsidRDefault="00000000">
            <w:pPr>
              <w:rPr>
                <w:color w:val="000000" w:themeColor="text1"/>
              </w:rPr>
            </w:pPr>
            <w:r w:rsidRPr="00427625">
              <w:rPr>
                <w:rFonts w:eastAsia="Calibri"/>
                <w:color w:val="000000" w:themeColor="text1"/>
              </w:rPr>
              <w:t>Not covered</w:t>
            </w:r>
          </w:p>
        </w:tc>
        <w:tc>
          <w:tcPr>
            <w:tcW w:w="1440" w:type="dxa"/>
            <w:tcMar>
              <w:top w:w="60" w:type="dxa"/>
              <w:left w:w="100" w:type="dxa"/>
              <w:bottom w:w="60" w:type="dxa"/>
              <w:right w:w="100" w:type="dxa"/>
            </w:tcMar>
          </w:tcPr>
          <w:p w14:paraId="42C9834A" w14:textId="77777777" w:rsidR="001F7DE8" w:rsidRPr="00427625" w:rsidRDefault="00000000">
            <w:pPr>
              <w:rPr>
                <w:color w:val="000000" w:themeColor="text1"/>
              </w:rPr>
            </w:pPr>
            <w:r w:rsidRPr="00427625">
              <w:rPr>
                <w:rFonts w:eastAsia="Calibri"/>
                <w:color w:val="000000" w:themeColor="text1"/>
              </w:rPr>
              <w:t>113</w:t>
            </w:r>
          </w:p>
        </w:tc>
        <w:tc>
          <w:tcPr>
            <w:tcW w:w="2160" w:type="dxa"/>
            <w:tcMar>
              <w:top w:w="60" w:type="dxa"/>
              <w:left w:w="100" w:type="dxa"/>
              <w:bottom w:w="60" w:type="dxa"/>
              <w:right w:w="100" w:type="dxa"/>
            </w:tcMar>
          </w:tcPr>
          <w:p w14:paraId="47BE7E5B" w14:textId="77777777" w:rsidR="001F7DE8" w:rsidRPr="00427625" w:rsidRDefault="00000000">
            <w:pPr>
              <w:rPr>
                <w:color w:val="000000" w:themeColor="text1"/>
              </w:rPr>
            </w:pPr>
            <w:r w:rsidRPr="00427625">
              <w:rPr>
                <w:rFonts w:eastAsia="Calibri"/>
                <w:color w:val="000000" w:themeColor="text1"/>
              </w:rPr>
              <w:t>26.5%</w:t>
            </w:r>
          </w:p>
        </w:tc>
      </w:tr>
      <w:tr w:rsidR="001F7DE8" w:rsidRPr="00427625" w14:paraId="51AFC601" w14:textId="77777777">
        <w:tblPrEx>
          <w:tblCellMar>
            <w:top w:w="0" w:type="dxa"/>
            <w:bottom w:w="0" w:type="dxa"/>
          </w:tblCellMar>
        </w:tblPrEx>
        <w:tc>
          <w:tcPr>
            <w:tcW w:w="3455" w:type="dxa"/>
            <w:tcMar>
              <w:top w:w="60" w:type="dxa"/>
              <w:left w:w="100" w:type="dxa"/>
              <w:bottom w:w="60" w:type="dxa"/>
              <w:right w:w="100" w:type="dxa"/>
            </w:tcMar>
          </w:tcPr>
          <w:p w14:paraId="5C45FDCB" w14:textId="77777777" w:rsidR="001F7DE8" w:rsidRPr="00427625" w:rsidRDefault="00000000">
            <w:pPr>
              <w:rPr>
                <w:color w:val="000000" w:themeColor="text1"/>
              </w:rPr>
            </w:pPr>
            <w:r w:rsidRPr="00427625">
              <w:rPr>
                <w:rFonts w:eastAsia="Calibri"/>
                <w:color w:val="000000" w:themeColor="text1"/>
              </w:rPr>
              <w:t>Asian</w:t>
            </w:r>
          </w:p>
        </w:tc>
        <w:tc>
          <w:tcPr>
            <w:tcW w:w="2160" w:type="dxa"/>
            <w:tcMar>
              <w:top w:w="60" w:type="dxa"/>
              <w:left w:w="100" w:type="dxa"/>
              <w:bottom w:w="60" w:type="dxa"/>
              <w:right w:w="100" w:type="dxa"/>
            </w:tcMar>
          </w:tcPr>
          <w:p w14:paraId="042640DF" w14:textId="77777777" w:rsidR="001F7DE8" w:rsidRPr="00427625" w:rsidRDefault="00000000">
            <w:pPr>
              <w:rPr>
                <w:color w:val="000000" w:themeColor="text1"/>
              </w:rPr>
            </w:pPr>
            <w:r w:rsidRPr="00427625">
              <w:rPr>
                <w:rFonts w:eastAsia="Calibri"/>
                <w:color w:val="000000" w:themeColor="text1"/>
              </w:rPr>
              <w:t>Covered</w:t>
            </w:r>
          </w:p>
        </w:tc>
        <w:tc>
          <w:tcPr>
            <w:tcW w:w="1440" w:type="dxa"/>
            <w:tcMar>
              <w:top w:w="60" w:type="dxa"/>
              <w:left w:w="100" w:type="dxa"/>
              <w:bottom w:w="60" w:type="dxa"/>
              <w:right w:w="100" w:type="dxa"/>
            </w:tcMar>
          </w:tcPr>
          <w:p w14:paraId="4A93629C" w14:textId="77777777" w:rsidR="001F7DE8" w:rsidRPr="00427625" w:rsidRDefault="00000000">
            <w:pPr>
              <w:rPr>
                <w:color w:val="000000" w:themeColor="text1"/>
              </w:rPr>
            </w:pPr>
            <w:r w:rsidRPr="00427625">
              <w:rPr>
                <w:rFonts w:eastAsia="Calibri"/>
                <w:color w:val="000000" w:themeColor="text1"/>
              </w:rPr>
              <w:t>1,404</w:t>
            </w:r>
          </w:p>
        </w:tc>
        <w:tc>
          <w:tcPr>
            <w:tcW w:w="2160" w:type="dxa"/>
            <w:tcMar>
              <w:top w:w="60" w:type="dxa"/>
              <w:left w:w="100" w:type="dxa"/>
              <w:bottom w:w="60" w:type="dxa"/>
              <w:right w:w="100" w:type="dxa"/>
            </w:tcMar>
          </w:tcPr>
          <w:p w14:paraId="133ACBF9" w14:textId="77777777" w:rsidR="001F7DE8" w:rsidRPr="00427625" w:rsidRDefault="00000000">
            <w:pPr>
              <w:rPr>
                <w:color w:val="000000" w:themeColor="text1"/>
              </w:rPr>
            </w:pPr>
            <w:r w:rsidRPr="00427625">
              <w:rPr>
                <w:rFonts w:eastAsia="Calibri"/>
                <w:color w:val="000000" w:themeColor="text1"/>
              </w:rPr>
              <w:t>3.3%</w:t>
            </w:r>
          </w:p>
        </w:tc>
      </w:tr>
      <w:tr w:rsidR="001F7DE8" w:rsidRPr="00427625" w14:paraId="560DB5D1" w14:textId="77777777">
        <w:tblPrEx>
          <w:tblCellMar>
            <w:top w:w="0" w:type="dxa"/>
            <w:bottom w:w="0" w:type="dxa"/>
          </w:tblCellMar>
        </w:tblPrEx>
        <w:tc>
          <w:tcPr>
            <w:tcW w:w="3455" w:type="dxa"/>
            <w:tcMar>
              <w:top w:w="60" w:type="dxa"/>
              <w:left w:w="100" w:type="dxa"/>
              <w:bottom w:w="60" w:type="dxa"/>
              <w:right w:w="100" w:type="dxa"/>
            </w:tcMar>
          </w:tcPr>
          <w:p w14:paraId="5F4BF731" w14:textId="77777777" w:rsidR="001F7DE8" w:rsidRPr="00427625" w:rsidRDefault="00000000">
            <w:pPr>
              <w:rPr>
                <w:color w:val="000000" w:themeColor="text1"/>
              </w:rPr>
            </w:pPr>
            <w:r w:rsidRPr="00427625">
              <w:rPr>
                <w:rFonts w:eastAsia="Calibri"/>
                <w:color w:val="000000" w:themeColor="text1"/>
              </w:rPr>
              <w:t>Asian</w:t>
            </w:r>
          </w:p>
        </w:tc>
        <w:tc>
          <w:tcPr>
            <w:tcW w:w="2160" w:type="dxa"/>
            <w:tcMar>
              <w:top w:w="60" w:type="dxa"/>
              <w:left w:w="100" w:type="dxa"/>
              <w:bottom w:w="60" w:type="dxa"/>
              <w:right w:w="100" w:type="dxa"/>
            </w:tcMar>
          </w:tcPr>
          <w:p w14:paraId="0057030C" w14:textId="77777777" w:rsidR="001F7DE8" w:rsidRPr="00427625" w:rsidRDefault="00000000">
            <w:pPr>
              <w:rPr>
                <w:color w:val="000000" w:themeColor="text1"/>
              </w:rPr>
            </w:pPr>
            <w:r w:rsidRPr="00427625">
              <w:rPr>
                <w:rFonts w:eastAsia="Calibri"/>
                <w:color w:val="000000" w:themeColor="text1"/>
              </w:rPr>
              <w:t>Not covered</w:t>
            </w:r>
          </w:p>
        </w:tc>
        <w:tc>
          <w:tcPr>
            <w:tcW w:w="1440" w:type="dxa"/>
            <w:tcMar>
              <w:top w:w="60" w:type="dxa"/>
              <w:left w:w="100" w:type="dxa"/>
              <w:bottom w:w="60" w:type="dxa"/>
              <w:right w:w="100" w:type="dxa"/>
            </w:tcMar>
          </w:tcPr>
          <w:p w14:paraId="251C9A95" w14:textId="77777777" w:rsidR="001F7DE8" w:rsidRPr="00427625" w:rsidRDefault="00000000">
            <w:pPr>
              <w:rPr>
                <w:color w:val="000000" w:themeColor="text1"/>
              </w:rPr>
            </w:pPr>
            <w:r w:rsidRPr="00427625">
              <w:rPr>
                <w:rFonts w:eastAsia="Calibri"/>
                <w:color w:val="000000" w:themeColor="text1"/>
              </w:rPr>
              <w:t>58</w:t>
            </w:r>
          </w:p>
        </w:tc>
        <w:tc>
          <w:tcPr>
            <w:tcW w:w="2160" w:type="dxa"/>
            <w:tcMar>
              <w:top w:w="60" w:type="dxa"/>
              <w:left w:w="100" w:type="dxa"/>
              <w:bottom w:w="60" w:type="dxa"/>
              <w:right w:w="100" w:type="dxa"/>
            </w:tcMar>
          </w:tcPr>
          <w:p w14:paraId="55631AF3" w14:textId="77777777" w:rsidR="001F7DE8" w:rsidRPr="00427625" w:rsidRDefault="00000000">
            <w:pPr>
              <w:rPr>
                <w:color w:val="000000" w:themeColor="text1"/>
              </w:rPr>
            </w:pPr>
            <w:r w:rsidRPr="00427625">
              <w:rPr>
                <w:rFonts w:eastAsia="Calibri"/>
                <w:color w:val="000000" w:themeColor="text1"/>
              </w:rPr>
              <w:t>8.6%</w:t>
            </w:r>
          </w:p>
        </w:tc>
      </w:tr>
      <w:tr w:rsidR="001F7DE8" w:rsidRPr="00427625" w14:paraId="5E968B27" w14:textId="77777777">
        <w:tblPrEx>
          <w:tblCellMar>
            <w:top w:w="0" w:type="dxa"/>
            <w:bottom w:w="0" w:type="dxa"/>
          </w:tblCellMar>
        </w:tblPrEx>
        <w:tc>
          <w:tcPr>
            <w:tcW w:w="3455" w:type="dxa"/>
            <w:tcMar>
              <w:top w:w="60" w:type="dxa"/>
              <w:left w:w="100" w:type="dxa"/>
              <w:bottom w:w="60" w:type="dxa"/>
              <w:right w:w="100" w:type="dxa"/>
            </w:tcMar>
          </w:tcPr>
          <w:p w14:paraId="6704EF16" w14:textId="77777777" w:rsidR="001F7DE8" w:rsidRPr="00427625" w:rsidRDefault="00000000">
            <w:pPr>
              <w:rPr>
                <w:color w:val="000000" w:themeColor="text1"/>
              </w:rPr>
            </w:pPr>
            <w:r w:rsidRPr="00427625">
              <w:rPr>
                <w:rFonts w:eastAsia="Calibri"/>
                <w:color w:val="000000" w:themeColor="text1"/>
              </w:rPr>
              <w:t>Hispanic</w:t>
            </w:r>
          </w:p>
        </w:tc>
        <w:tc>
          <w:tcPr>
            <w:tcW w:w="2160" w:type="dxa"/>
            <w:tcMar>
              <w:top w:w="60" w:type="dxa"/>
              <w:left w:w="100" w:type="dxa"/>
              <w:bottom w:w="60" w:type="dxa"/>
              <w:right w:w="100" w:type="dxa"/>
            </w:tcMar>
          </w:tcPr>
          <w:p w14:paraId="435508DE" w14:textId="77777777" w:rsidR="001F7DE8" w:rsidRPr="00427625" w:rsidRDefault="00000000">
            <w:pPr>
              <w:rPr>
                <w:color w:val="000000" w:themeColor="text1"/>
              </w:rPr>
            </w:pPr>
            <w:r w:rsidRPr="00427625">
              <w:rPr>
                <w:rFonts w:eastAsia="Calibri"/>
                <w:color w:val="000000" w:themeColor="text1"/>
              </w:rPr>
              <w:t>Covered</w:t>
            </w:r>
          </w:p>
        </w:tc>
        <w:tc>
          <w:tcPr>
            <w:tcW w:w="1440" w:type="dxa"/>
            <w:tcMar>
              <w:top w:w="60" w:type="dxa"/>
              <w:left w:w="100" w:type="dxa"/>
              <w:bottom w:w="60" w:type="dxa"/>
              <w:right w:w="100" w:type="dxa"/>
            </w:tcMar>
          </w:tcPr>
          <w:p w14:paraId="3041F960" w14:textId="77777777" w:rsidR="001F7DE8" w:rsidRPr="00427625" w:rsidRDefault="00000000">
            <w:pPr>
              <w:rPr>
                <w:color w:val="000000" w:themeColor="text1"/>
              </w:rPr>
            </w:pPr>
            <w:r w:rsidRPr="00427625">
              <w:rPr>
                <w:rFonts w:eastAsia="Calibri"/>
                <w:color w:val="000000" w:themeColor="text1"/>
              </w:rPr>
              <w:t>2,002</w:t>
            </w:r>
          </w:p>
        </w:tc>
        <w:tc>
          <w:tcPr>
            <w:tcW w:w="2160" w:type="dxa"/>
            <w:tcMar>
              <w:top w:w="60" w:type="dxa"/>
              <w:left w:w="100" w:type="dxa"/>
              <w:bottom w:w="60" w:type="dxa"/>
              <w:right w:w="100" w:type="dxa"/>
            </w:tcMar>
          </w:tcPr>
          <w:p w14:paraId="6E08B1B6" w14:textId="77777777" w:rsidR="001F7DE8" w:rsidRPr="00427625" w:rsidRDefault="00000000">
            <w:pPr>
              <w:rPr>
                <w:color w:val="000000" w:themeColor="text1"/>
              </w:rPr>
            </w:pPr>
            <w:r w:rsidRPr="00427625">
              <w:rPr>
                <w:rFonts w:eastAsia="Calibri"/>
                <w:color w:val="000000" w:themeColor="text1"/>
              </w:rPr>
              <w:t>6.2%</w:t>
            </w:r>
          </w:p>
        </w:tc>
      </w:tr>
      <w:tr w:rsidR="001F7DE8" w:rsidRPr="00427625" w14:paraId="3065C1DB" w14:textId="77777777">
        <w:tblPrEx>
          <w:tblCellMar>
            <w:top w:w="0" w:type="dxa"/>
            <w:bottom w:w="0" w:type="dxa"/>
          </w:tblCellMar>
        </w:tblPrEx>
        <w:tc>
          <w:tcPr>
            <w:tcW w:w="3455" w:type="dxa"/>
            <w:tcMar>
              <w:top w:w="60" w:type="dxa"/>
              <w:left w:w="100" w:type="dxa"/>
              <w:bottom w:w="60" w:type="dxa"/>
              <w:right w:w="100" w:type="dxa"/>
            </w:tcMar>
          </w:tcPr>
          <w:p w14:paraId="506530B5" w14:textId="77777777" w:rsidR="001F7DE8" w:rsidRPr="00427625" w:rsidRDefault="00000000">
            <w:pPr>
              <w:rPr>
                <w:color w:val="000000" w:themeColor="text1"/>
              </w:rPr>
            </w:pPr>
            <w:r w:rsidRPr="00427625">
              <w:rPr>
                <w:rFonts w:eastAsia="Calibri"/>
                <w:color w:val="000000" w:themeColor="text1"/>
              </w:rPr>
              <w:lastRenderedPageBreak/>
              <w:t>Hispanic</w:t>
            </w:r>
          </w:p>
        </w:tc>
        <w:tc>
          <w:tcPr>
            <w:tcW w:w="2160" w:type="dxa"/>
            <w:tcMar>
              <w:top w:w="60" w:type="dxa"/>
              <w:left w:w="100" w:type="dxa"/>
              <w:bottom w:w="60" w:type="dxa"/>
              <w:right w:w="100" w:type="dxa"/>
            </w:tcMar>
          </w:tcPr>
          <w:p w14:paraId="550A6BEA" w14:textId="77777777" w:rsidR="001F7DE8" w:rsidRPr="00427625" w:rsidRDefault="00000000">
            <w:pPr>
              <w:rPr>
                <w:color w:val="000000" w:themeColor="text1"/>
              </w:rPr>
            </w:pPr>
            <w:r w:rsidRPr="00427625">
              <w:rPr>
                <w:rFonts w:eastAsia="Calibri"/>
                <w:color w:val="000000" w:themeColor="text1"/>
              </w:rPr>
              <w:t>Not covered</w:t>
            </w:r>
          </w:p>
        </w:tc>
        <w:tc>
          <w:tcPr>
            <w:tcW w:w="1440" w:type="dxa"/>
            <w:tcMar>
              <w:top w:w="60" w:type="dxa"/>
              <w:left w:w="100" w:type="dxa"/>
              <w:bottom w:w="60" w:type="dxa"/>
              <w:right w:w="100" w:type="dxa"/>
            </w:tcMar>
          </w:tcPr>
          <w:p w14:paraId="0BDAD9E3" w14:textId="77777777" w:rsidR="001F7DE8" w:rsidRPr="00427625" w:rsidRDefault="00000000">
            <w:pPr>
              <w:rPr>
                <w:color w:val="000000" w:themeColor="text1"/>
              </w:rPr>
            </w:pPr>
            <w:r w:rsidRPr="00427625">
              <w:rPr>
                <w:rFonts w:eastAsia="Calibri"/>
                <w:color w:val="000000" w:themeColor="text1"/>
              </w:rPr>
              <w:t>397</w:t>
            </w:r>
          </w:p>
        </w:tc>
        <w:tc>
          <w:tcPr>
            <w:tcW w:w="2160" w:type="dxa"/>
            <w:tcMar>
              <w:top w:w="60" w:type="dxa"/>
              <w:left w:w="100" w:type="dxa"/>
              <w:bottom w:w="60" w:type="dxa"/>
              <w:right w:w="100" w:type="dxa"/>
            </w:tcMar>
          </w:tcPr>
          <w:p w14:paraId="65E57FD3" w14:textId="77777777" w:rsidR="001F7DE8" w:rsidRPr="00427625" w:rsidRDefault="00000000">
            <w:pPr>
              <w:rPr>
                <w:color w:val="000000" w:themeColor="text1"/>
              </w:rPr>
            </w:pPr>
            <w:r w:rsidRPr="00427625">
              <w:rPr>
                <w:rFonts w:eastAsia="Calibri"/>
                <w:color w:val="000000" w:themeColor="text1"/>
              </w:rPr>
              <w:t>23.7%</w:t>
            </w:r>
          </w:p>
        </w:tc>
      </w:tr>
    </w:tbl>
    <w:p w14:paraId="4ACAC03B" w14:textId="77777777" w:rsidR="001F7DE8" w:rsidRPr="00427625" w:rsidRDefault="001F7DE8">
      <w:pPr>
        <w:spacing w:after="120" w:line="276" w:lineRule="auto"/>
        <w:rPr>
          <w:color w:val="000000" w:themeColor="text1"/>
        </w:rPr>
      </w:pPr>
    </w:p>
    <w:p w14:paraId="5F3D70D2" w14:textId="77777777" w:rsidR="001F7DE8" w:rsidRPr="00427625" w:rsidRDefault="00000000">
      <w:pPr>
        <w:spacing w:after="100" w:line="276" w:lineRule="auto"/>
        <w:rPr>
          <w:color w:val="000000" w:themeColor="text1"/>
        </w:rPr>
      </w:pPr>
      <w:r w:rsidRPr="00427625">
        <w:rPr>
          <w:rFonts w:eastAsia="Calibri"/>
          <w:b/>
          <w:bCs/>
          <w:color w:val="000000" w:themeColor="text1"/>
          <w:sz w:val="22"/>
          <w:szCs w:val="22"/>
        </w:rPr>
        <w:t>Figure 5: Likelihood ratio tests, null model vs. bivariate and multivariable models</w:t>
      </w:r>
    </w:p>
    <w:tbl>
      <w:tblPr>
        <w:tblW w:w="8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2"/>
        <w:gridCol w:w="1584"/>
        <w:gridCol w:w="1008"/>
        <w:gridCol w:w="1584"/>
      </w:tblGrid>
      <w:tr w:rsidR="001F7DE8" w:rsidRPr="00427625" w14:paraId="399BA95F" w14:textId="77777777">
        <w:tblPrEx>
          <w:tblCellMar>
            <w:top w:w="0" w:type="dxa"/>
            <w:bottom w:w="0" w:type="dxa"/>
          </w:tblCellMar>
        </w:tblPrEx>
        <w:trPr>
          <w:tblHeader/>
        </w:trPr>
        <w:tc>
          <w:tcPr>
            <w:tcW w:w="4032" w:type="dxa"/>
            <w:shd w:val="clear" w:color="auto" w:fill="D9E2F3"/>
            <w:tcMar>
              <w:top w:w="60" w:type="dxa"/>
              <w:left w:w="100" w:type="dxa"/>
              <w:bottom w:w="60" w:type="dxa"/>
              <w:right w:w="100" w:type="dxa"/>
            </w:tcMar>
          </w:tcPr>
          <w:p w14:paraId="531E1CE0" w14:textId="77777777" w:rsidR="001F7DE8" w:rsidRPr="00427625" w:rsidRDefault="00000000">
            <w:pPr>
              <w:rPr>
                <w:color w:val="000000" w:themeColor="text1"/>
              </w:rPr>
            </w:pPr>
            <w:r w:rsidRPr="00427625">
              <w:rPr>
                <w:rFonts w:eastAsia="Calibri"/>
                <w:b/>
                <w:bCs/>
                <w:color w:val="000000" w:themeColor="text1"/>
              </w:rPr>
              <w:t>Model</w:t>
            </w:r>
          </w:p>
        </w:tc>
        <w:tc>
          <w:tcPr>
            <w:tcW w:w="1584" w:type="dxa"/>
            <w:shd w:val="clear" w:color="auto" w:fill="D9E2F3"/>
            <w:tcMar>
              <w:top w:w="60" w:type="dxa"/>
              <w:left w:w="100" w:type="dxa"/>
              <w:bottom w:w="60" w:type="dxa"/>
              <w:right w:w="100" w:type="dxa"/>
            </w:tcMar>
          </w:tcPr>
          <w:p w14:paraId="4546AF7E" w14:textId="77777777" w:rsidR="001F7DE8" w:rsidRPr="00427625" w:rsidRDefault="00000000">
            <w:pPr>
              <w:rPr>
                <w:color w:val="000000" w:themeColor="text1"/>
              </w:rPr>
            </w:pPr>
            <w:r w:rsidRPr="00427625">
              <w:rPr>
                <w:rFonts w:eastAsia="Calibri"/>
                <w:b/>
                <w:bCs/>
                <w:color w:val="000000" w:themeColor="text1"/>
              </w:rPr>
              <w:t>Chi-sq</w:t>
            </w:r>
          </w:p>
        </w:tc>
        <w:tc>
          <w:tcPr>
            <w:tcW w:w="1008" w:type="dxa"/>
            <w:shd w:val="clear" w:color="auto" w:fill="D9E2F3"/>
            <w:tcMar>
              <w:top w:w="60" w:type="dxa"/>
              <w:left w:w="100" w:type="dxa"/>
              <w:bottom w:w="60" w:type="dxa"/>
              <w:right w:w="100" w:type="dxa"/>
            </w:tcMar>
          </w:tcPr>
          <w:p w14:paraId="43C740C0" w14:textId="77777777" w:rsidR="001F7DE8" w:rsidRPr="00427625" w:rsidRDefault="00000000">
            <w:pPr>
              <w:rPr>
                <w:color w:val="000000" w:themeColor="text1"/>
              </w:rPr>
            </w:pPr>
            <w:proofErr w:type="spellStart"/>
            <w:r w:rsidRPr="00427625">
              <w:rPr>
                <w:rFonts w:eastAsia="Calibri"/>
                <w:b/>
                <w:bCs/>
                <w:color w:val="000000" w:themeColor="text1"/>
              </w:rPr>
              <w:t>df</w:t>
            </w:r>
            <w:proofErr w:type="spellEnd"/>
          </w:p>
        </w:tc>
        <w:tc>
          <w:tcPr>
            <w:tcW w:w="1584" w:type="dxa"/>
            <w:shd w:val="clear" w:color="auto" w:fill="D9E2F3"/>
            <w:tcMar>
              <w:top w:w="60" w:type="dxa"/>
              <w:left w:w="100" w:type="dxa"/>
              <w:bottom w:w="60" w:type="dxa"/>
              <w:right w:w="100" w:type="dxa"/>
            </w:tcMar>
          </w:tcPr>
          <w:p w14:paraId="4E0BE6A2" w14:textId="77777777" w:rsidR="001F7DE8" w:rsidRPr="00427625" w:rsidRDefault="00000000">
            <w:pPr>
              <w:rPr>
                <w:color w:val="000000" w:themeColor="text1"/>
              </w:rPr>
            </w:pPr>
            <w:r w:rsidRPr="00427625">
              <w:rPr>
                <w:rFonts w:eastAsia="Calibri"/>
                <w:b/>
                <w:bCs/>
                <w:color w:val="000000" w:themeColor="text1"/>
              </w:rPr>
              <w:t>p-value</w:t>
            </w:r>
          </w:p>
        </w:tc>
      </w:tr>
      <w:tr w:rsidR="001F7DE8" w:rsidRPr="00427625" w14:paraId="1FB81C83" w14:textId="77777777">
        <w:tblPrEx>
          <w:tblCellMar>
            <w:top w:w="0" w:type="dxa"/>
            <w:bottom w:w="0" w:type="dxa"/>
          </w:tblCellMar>
        </w:tblPrEx>
        <w:tc>
          <w:tcPr>
            <w:tcW w:w="4032" w:type="dxa"/>
            <w:tcMar>
              <w:top w:w="60" w:type="dxa"/>
              <w:left w:w="100" w:type="dxa"/>
              <w:bottom w:w="60" w:type="dxa"/>
              <w:right w:w="100" w:type="dxa"/>
            </w:tcMar>
          </w:tcPr>
          <w:p w14:paraId="23BD7728" w14:textId="77777777" w:rsidR="001F7DE8" w:rsidRPr="00427625" w:rsidRDefault="00000000">
            <w:pPr>
              <w:rPr>
                <w:color w:val="000000" w:themeColor="text1"/>
              </w:rPr>
            </w:pPr>
            <w:r w:rsidRPr="00427625">
              <w:rPr>
                <w:rFonts w:eastAsia="Calibri"/>
                <w:color w:val="000000" w:themeColor="text1"/>
              </w:rPr>
              <w:t>Education (bivariate)</w:t>
            </w:r>
          </w:p>
        </w:tc>
        <w:tc>
          <w:tcPr>
            <w:tcW w:w="1584" w:type="dxa"/>
            <w:tcMar>
              <w:top w:w="60" w:type="dxa"/>
              <w:left w:w="100" w:type="dxa"/>
              <w:bottom w:w="60" w:type="dxa"/>
              <w:right w:w="100" w:type="dxa"/>
            </w:tcMar>
          </w:tcPr>
          <w:p w14:paraId="3691049C" w14:textId="77777777" w:rsidR="001F7DE8" w:rsidRPr="00427625" w:rsidRDefault="00000000">
            <w:pPr>
              <w:rPr>
                <w:color w:val="000000" w:themeColor="text1"/>
              </w:rPr>
            </w:pPr>
            <w:r w:rsidRPr="00427625">
              <w:rPr>
                <w:rFonts w:eastAsia="Calibri"/>
                <w:color w:val="000000" w:themeColor="text1"/>
              </w:rPr>
              <w:t>18.66</w:t>
            </w:r>
          </w:p>
        </w:tc>
        <w:tc>
          <w:tcPr>
            <w:tcW w:w="1008" w:type="dxa"/>
            <w:tcMar>
              <w:top w:w="60" w:type="dxa"/>
              <w:left w:w="100" w:type="dxa"/>
              <w:bottom w:w="60" w:type="dxa"/>
              <w:right w:w="100" w:type="dxa"/>
            </w:tcMar>
          </w:tcPr>
          <w:p w14:paraId="746AAEA8" w14:textId="77777777" w:rsidR="001F7DE8" w:rsidRPr="00427625" w:rsidRDefault="00000000">
            <w:pPr>
              <w:rPr>
                <w:color w:val="000000" w:themeColor="text1"/>
              </w:rPr>
            </w:pPr>
            <w:r w:rsidRPr="00427625">
              <w:rPr>
                <w:rFonts w:eastAsia="Calibri"/>
                <w:color w:val="000000" w:themeColor="text1"/>
              </w:rPr>
              <w:t>3</w:t>
            </w:r>
          </w:p>
        </w:tc>
        <w:tc>
          <w:tcPr>
            <w:tcW w:w="1584" w:type="dxa"/>
            <w:tcMar>
              <w:top w:w="60" w:type="dxa"/>
              <w:left w:w="100" w:type="dxa"/>
              <w:bottom w:w="60" w:type="dxa"/>
              <w:right w:w="100" w:type="dxa"/>
            </w:tcMar>
          </w:tcPr>
          <w:p w14:paraId="3BBB6901" w14:textId="77777777" w:rsidR="001F7DE8" w:rsidRPr="00427625" w:rsidRDefault="00000000">
            <w:pPr>
              <w:rPr>
                <w:color w:val="000000" w:themeColor="text1"/>
              </w:rPr>
            </w:pPr>
            <w:r w:rsidRPr="00427625">
              <w:rPr>
                <w:rFonts w:eastAsia="Calibri"/>
                <w:color w:val="000000" w:themeColor="text1"/>
              </w:rPr>
              <w:t>&lt; .001</w:t>
            </w:r>
          </w:p>
        </w:tc>
      </w:tr>
      <w:tr w:rsidR="001F7DE8" w:rsidRPr="00427625" w14:paraId="13738ED6" w14:textId="77777777">
        <w:tblPrEx>
          <w:tblCellMar>
            <w:top w:w="0" w:type="dxa"/>
            <w:bottom w:w="0" w:type="dxa"/>
          </w:tblCellMar>
        </w:tblPrEx>
        <w:tc>
          <w:tcPr>
            <w:tcW w:w="4032" w:type="dxa"/>
            <w:tcMar>
              <w:top w:w="60" w:type="dxa"/>
              <w:left w:w="100" w:type="dxa"/>
              <w:bottom w:w="60" w:type="dxa"/>
              <w:right w:w="100" w:type="dxa"/>
            </w:tcMar>
          </w:tcPr>
          <w:p w14:paraId="752A9C90" w14:textId="77777777" w:rsidR="001F7DE8" w:rsidRPr="00427625" w:rsidRDefault="00000000">
            <w:pPr>
              <w:rPr>
                <w:color w:val="000000" w:themeColor="text1"/>
              </w:rPr>
            </w:pPr>
            <w:r w:rsidRPr="00427625">
              <w:rPr>
                <w:rFonts w:eastAsia="Calibri"/>
                <w:color w:val="000000" w:themeColor="text1"/>
              </w:rPr>
              <w:t>Race/Ethnicity (bivariate)</w:t>
            </w:r>
          </w:p>
        </w:tc>
        <w:tc>
          <w:tcPr>
            <w:tcW w:w="1584" w:type="dxa"/>
            <w:tcMar>
              <w:top w:w="60" w:type="dxa"/>
              <w:left w:w="100" w:type="dxa"/>
              <w:bottom w:w="60" w:type="dxa"/>
              <w:right w:w="100" w:type="dxa"/>
            </w:tcMar>
          </w:tcPr>
          <w:p w14:paraId="7EC52B62" w14:textId="77777777" w:rsidR="001F7DE8" w:rsidRPr="00427625" w:rsidRDefault="00000000">
            <w:pPr>
              <w:rPr>
                <w:color w:val="000000" w:themeColor="text1"/>
              </w:rPr>
            </w:pPr>
            <w:r w:rsidRPr="00427625">
              <w:rPr>
                <w:rFonts w:eastAsia="Calibri"/>
                <w:color w:val="000000" w:themeColor="text1"/>
              </w:rPr>
              <w:t>48.97</w:t>
            </w:r>
          </w:p>
        </w:tc>
        <w:tc>
          <w:tcPr>
            <w:tcW w:w="1008" w:type="dxa"/>
            <w:tcMar>
              <w:top w:w="60" w:type="dxa"/>
              <w:left w:w="100" w:type="dxa"/>
              <w:bottom w:w="60" w:type="dxa"/>
              <w:right w:w="100" w:type="dxa"/>
            </w:tcMar>
          </w:tcPr>
          <w:p w14:paraId="6D1E3E2B" w14:textId="77777777" w:rsidR="001F7DE8" w:rsidRPr="00427625" w:rsidRDefault="00000000">
            <w:pPr>
              <w:rPr>
                <w:color w:val="000000" w:themeColor="text1"/>
              </w:rPr>
            </w:pPr>
            <w:r w:rsidRPr="00427625">
              <w:rPr>
                <w:rFonts w:eastAsia="Calibri"/>
                <w:color w:val="000000" w:themeColor="text1"/>
              </w:rPr>
              <w:t>3</w:t>
            </w:r>
          </w:p>
        </w:tc>
        <w:tc>
          <w:tcPr>
            <w:tcW w:w="1584" w:type="dxa"/>
            <w:tcMar>
              <w:top w:w="60" w:type="dxa"/>
              <w:left w:w="100" w:type="dxa"/>
              <w:bottom w:w="60" w:type="dxa"/>
              <w:right w:w="100" w:type="dxa"/>
            </w:tcMar>
          </w:tcPr>
          <w:p w14:paraId="3C43E34B" w14:textId="77777777" w:rsidR="001F7DE8" w:rsidRPr="00427625" w:rsidRDefault="00000000">
            <w:pPr>
              <w:rPr>
                <w:color w:val="000000" w:themeColor="text1"/>
              </w:rPr>
            </w:pPr>
            <w:r w:rsidRPr="00427625">
              <w:rPr>
                <w:rFonts w:eastAsia="Calibri"/>
                <w:color w:val="000000" w:themeColor="text1"/>
              </w:rPr>
              <w:t>&lt; .001</w:t>
            </w:r>
          </w:p>
        </w:tc>
      </w:tr>
      <w:tr w:rsidR="001F7DE8" w:rsidRPr="00427625" w14:paraId="38A14470" w14:textId="77777777">
        <w:tblPrEx>
          <w:tblCellMar>
            <w:top w:w="0" w:type="dxa"/>
            <w:bottom w:w="0" w:type="dxa"/>
          </w:tblCellMar>
        </w:tblPrEx>
        <w:tc>
          <w:tcPr>
            <w:tcW w:w="4032" w:type="dxa"/>
            <w:tcMar>
              <w:top w:w="60" w:type="dxa"/>
              <w:left w:w="100" w:type="dxa"/>
              <w:bottom w:w="60" w:type="dxa"/>
              <w:right w:w="100" w:type="dxa"/>
            </w:tcMar>
          </w:tcPr>
          <w:p w14:paraId="533B725F" w14:textId="77777777" w:rsidR="001F7DE8" w:rsidRPr="00427625" w:rsidRDefault="00000000">
            <w:pPr>
              <w:rPr>
                <w:color w:val="000000" w:themeColor="text1"/>
              </w:rPr>
            </w:pPr>
            <w:r w:rsidRPr="00427625">
              <w:rPr>
                <w:rFonts w:eastAsia="Calibri"/>
                <w:color w:val="000000" w:themeColor="text1"/>
              </w:rPr>
              <w:t>Insurance (bivariate)</w:t>
            </w:r>
          </w:p>
        </w:tc>
        <w:tc>
          <w:tcPr>
            <w:tcW w:w="1584" w:type="dxa"/>
            <w:tcMar>
              <w:top w:w="60" w:type="dxa"/>
              <w:left w:w="100" w:type="dxa"/>
              <w:bottom w:w="60" w:type="dxa"/>
              <w:right w:w="100" w:type="dxa"/>
            </w:tcMar>
          </w:tcPr>
          <w:p w14:paraId="2A9F7D0E" w14:textId="77777777" w:rsidR="001F7DE8" w:rsidRPr="00427625" w:rsidRDefault="00000000">
            <w:pPr>
              <w:rPr>
                <w:color w:val="000000" w:themeColor="text1"/>
              </w:rPr>
            </w:pPr>
            <w:r w:rsidRPr="00427625">
              <w:rPr>
                <w:rFonts w:eastAsia="Calibri"/>
                <w:color w:val="000000" w:themeColor="text1"/>
              </w:rPr>
              <w:t>472.23</w:t>
            </w:r>
          </w:p>
        </w:tc>
        <w:tc>
          <w:tcPr>
            <w:tcW w:w="1008" w:type="dxa"/>
            <w:tcMar>
              <w:top w:w="60" w:type="dxa"/>
              <w:left w:w="100" w:type="dxa"/>
              <w:bottom w:w="60" w:type="dxa"/>
              <w:right w:w="100" w:type="dxa"/>
            </w:tcMar>
          </w:tcPr>
          <w:p w14:paraId="438D540F" w14:textId="77777777" w:rsidR="001F7DE8" w:rsidRPr="00427625" w:rsidRDefault="00000000">
            <w:pPr>
              <w:rPr>
                <w:color w:val="000000" w:themeColor="text1"/>
              </w:rPr>
            </w:pPr>
            <w:r w:rsidRPr="00427625">
              <w:rPr>
                <w:rFonts w:eastAsia="Calibri"/>
                <w:color w:val="000000" w:themeColor="text1"/>
              </w:rPr>
              <w:t>1</w:t>
            </w:r>
          </w:p>
        </w:tc>
        <w:tc>
          <w:tcPr>
            <w:tcW w:w="1584" w:type="dxa"/>
            <w:tcMar>
              <w:top w:w="60" w:type="dxa"/>
              <w:left w:w="100" w:type="dxa"/>
              <w:bottom w:w="60" w:type="dxa"/>
              <w:right w:w="100" w:type="dxa"/>
            </w:tcMar>
          </w:tcPr>
          <w:p w14:paraId="1FDE925A" w14:textId="77777777" w:rsidR="001F7DE8" w:rsidRPr="00427625" w:rsidRDefault="00000000">
            <w:pPr>
              <w:rPr>
                <w:color w:val="000000" w:themeColor="text1"/>
              </w:rPr>
            </w:pPr>
            <w:r w:rsidRPr="00427625">
              <w:rPr>
                <w:rFonts w:eastAsia="Calibri"/>
                <w:color w:val="000000" w:themeColor="text1"/>
              </w:rPr>
              <w:t>&lt; .001</w:t>
            </w:r>
          </w:p>
        </w:tc>
      </w:tr>
      <w:tr w:rsidR="001F7DE8" w:rsidRPr="00427625" w14:paraId="25F8EDEC" w14:textId="77777777">
        <w:tblPrEx>
          <w:tblCellMar>
            <w:top w:w="0" w:type="dxa"/>
            <w:bottom w:w="0" w:type="dxa"/>
          </w:tblCellMar>
        </w:tblPrEx>
        <w:tc>
          <w:tcPr>
            <w:tcW w:w="4032" w:type="dxa"/>
            <w:tcMar>
              <w:top w:w="60" w:type="dxa"/>
              <w:left w:w="100" w:type="dxa"/>
              <w:bottom w:w="60" w:type="dxa"/>
              <w:right w:w="100" w:type="dxa"/>
            </w:tcMar>
          </w:tcPr>
          <w:p w14:paraId="1DCB49F1" w14:textId="77777777" w:rsidR="001F7DE8" w:rsidRPr="00427625" w:rsidRDefault="00000000">
            <w:pPr>
              <w:rPr>
                <w:color w:val="000000" w:themeColor="text1"/>
              </w:rPr>
            </w:pPr>
            <w:r w:rsidRPr="00427625">
              <w:rPr>
                <w:rFonts w:eastAsia="Calibri"/>
                <w:color w:val="000000" w:themeColor="text1"/>
              </w:rPr>
              <w:t>Full multivariable model</w:t>
            </w:r>
          </w:p>
        </w:tc>
        <w:tc>
          <w:tcPr>
            <w:tcW w:w="1584" w:type="dxa"/>
            <w:tcMar>
              <w:top w:w="60" w:type="dxa"/>
              <w:left w:w="100" w:type="dxa"/>
              <w:bottom w:w="60" w:type="dxa"/>
              <w:right w:w="100" w:type="dxa"/>
            </w:tcMar>
          </w:tcPr>
          <w:p w14:paraId="1AE06072" w14:textId="77777777" w:rsidR="001F7DE8" w:rsidRPr="00427625" w:rsidRDefault="00000000">
            <w:pPr>
              <w:rPr>
                <w:color w:val="000000" w:themeColor="text1"/>
              </w:rPr>
            </w:pPr>
            <w:r w:rsidRPr="00427625">
              <w:rPr>
                <w:rFonts w:eastAsia="Calibri"/>
                <w:color w:val="000000" w:themeColor="text1"/>
              </w:rPr>
              <w:t>527.73</w:t>
            </w:r>
          </w:p>
        </w:tc>
        <w:tc>
          <w:tcPr>
            <w:tcW w:w="1008" w:type="dxa"/>
            <w:tcMar>
              <w:top w:w="60" w:type="dxa"/>
              <w:left w:w="100" w:type="dxa"/>
              <w:bottom w:w="60" w:type="dxa"/>
              <w:right w:w="100" w:type="dxa"/>
            </w:tcMar>
          </w:tcPr>
          <w:p w14:paraId="2CE0AA3D" w14:textId="77777777" w:rsidR="001F7DE8" w:rsidRPr="00427625" w:rsidRDefault="00000000">
            <w:pPr>
              <w:rPr>
                <w:color w:val="000000" w:themeColor="text1"/>
              </w:rPr>
            </w:pPr>
            <w:r w:rsidRPr="00427625">
              <w:rPr>
                <w:rFonts w:eastAsia="Calibri"/>
                <w:color w:val="000000" w:themeColor="text1"/>
              </w:rPr>
              <w:t>7</w:t>
            </w:r>
          </w:p>
        </w:tc>
        <w:tc>
          <w:tcPr>
            <w:tcW w:w="1584" w:type="dxa"/>
            <w:tcMar>
              <w:top w:w="60" w:type="dxa"/>
              <w:left w:w="100" w:type="dxa"/>
              <w:bottom w:w="60" w:type="dxa"/>
              <w:right w:w="100" w:type="dxa"/>
            </w:tcMar>
          </w:tcPr>
          <w:p w14:paraId="41EFC22C" w14:textId="77777777" w:rsidR="001F7DE8" w:rsidRPr="00427625" w:rsidRDefault="00000000">
            <w:pPr>
              <w:rPr>
                <w:color w:val="000000" w:themeColor="text1"/>
              </w:rPr>
            </w:pPr>
            <w:r w:rsidRPr="00427625">
              <w:rPr>
                <w:rFonts w:eastAsia="Calibri"/>
                <w:color w:val="000000" w:themeColor="text1"/>
              </w:rPr>
              <w:t>&lt; .001</w:t>
            </w:r>
          </w:p>
        </w:tc>
      </w:tr>
    </w:tbl>
    <w:p w14:paraId="59CC4BB4" w14:textId="77777777" w:rsidR="001F7DE8" w:rsidRPr="00427625" w:rsidRDefault="00000000">
      <w:pPr>
        <w:spacing w:after="220" w:line="276" w:lineRule="auto"/>
        <w:rPr>
          <w:color w:val="000000" w:themeColor="text1"/>
        </w:rPr>
      </w:pPr>
      <w:r w:rsidRPr="00427625">
        <w:rPr>
          <w:rFonts w:eastAsia="Calibri"/>
          <w:i/>
          <w:iCs/>
          <w:color w:val="000000" w:themeColor="text1"/>
        </w:rPr>
        <w:t>α = 0.05, n = 19,303 for all tables and figures.</w:t>
      </w:r>
    </w:p>
    <w:p w14:paraId="0D81117C" w14:textId="77777777" w:rsidR="001F7DE8" w:rsidRPr="00427625" w:rsidRDefault="00000000">
      <w:pPr>
        <w:spacing w:after="100" w:line="276" w:lineRule="auto"/>
        <w:rPr>
          <w:color w:val="000000" w:themeColor="text1"/>
        </w:rPr>
      </w:pPr>
      <w:r w:rsidRPr="00427625">
        <w:rPr>
          <w:rFonts w:eastAsia="Calibri"/>
          <w:b/>
          <w:bCs/>
          <w:color w:val="000000" w:themeColor="text1"/>
          <w:sz w:val="22"/>
          <w:szCs w:val="22"/>
        </w:rPr>
        <w:t>Figure 6: Multivariable logistic regression — adjusted odds ratios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1584"/>
        <w:gridCol w:w="2016"/>
        <w:gridCol w:w="1440"/>
      </w:tblGrid>
      <w:tr w:rsidR="001F7DE8" w:rsidRPr="00427625" w14:paraId="32588C90" w14:textId="77777777">
        <w:tblPrEx>
          <w:tblCellMar>
            <w:top w:w="0" w:type="dxa"/>
            <w:bottom w:w="0" w:type="dxa"/>
          </w:tblCellMar>
        </w:tblPrEx>
        <w:trPr>
          <w:tblHeader/>
        </w:trPr>
        <w:tc>
          <w:tcPr>
            <w:tcW w:w="4320" w:type="dxa"/>
            <w:shd w:val="clear" w:color="auto" w:fill="D9E2F3"/>
            <w:tcMar>
              <w:top w:w="60" w:type="dxa"/>
              <w:left w:w="100" w:type="dxa"/>
              <w:bottom w:w="60" w:type="dxa"/>
              <w:right w:w="100" w:type="dxa"/>
            </w:tcMar>
          </w:tcPr>
          <w:p w14:paraId="2B887466" w14:textId="77777777" w:rsidR="001F7DE8" w:rsidRPr="00427625" w:rsidRDefault="00000000">
            <w:pPr>
              <w:rPr>
                <w:color w:val="000000" w:themeColor="text1"/>
              </w:rPr>
            </w:pPr>
            <w:r w:rsidRPr="00427625">
              <w:rPr>
                <w:rFonts w:eastAsia="Calibri"/>
                <w:b/>
                <w:bCs/>
                <w:color w:val="000000" w:themeColor="text1"/>
              </w:rPr>
              <w:t>Predictor</w:t>
            </w:r>
          </w:p>
        </w:tc>
        <w:tc>
          <w:tcPr>
            <w:tcW w:w="1584" w:type="dxa"/>
            <w:shd w:val="clear" w:color="auto" w:fill="D9E2F3"/>
            <w:tcMar>
              <w:top w:w="60" w:type="dxa"/>
              <w:left w:w="100" w:type="dxa"/>
              <w:bottom w:w="60" w:type="dxa"/>
              <w:right w:w="100" w:type="dxa"/>
            </w:tcMar>
          </w:tcPr>
          <w:p w14:paraId="2CE6494B" w14:textId="77777777" w:rsidR="001F7DE8" w:rsidRPr="00427625" w:rsidRDefault="00000000">
            <w:pPr>
              <w:rPr>
                <w:color w:val="000000" w:themeColor="text1"/>
              </w:rPr>
            </w:pPr>
            <w:r w:rsidRPr="00427625">
              <w:rPr>
                <w:rFonts w:eastAsia="Calibri"/>
                <w:b/>
                <w:bCs/>
                <w:color w:val="000000" w:themeColor="text1"/>
              </w:rPr>
              <w:t>Odds Ratio</w:t>
            </w:r>
          </w:p>
        </w:tc>
        <w:tc>
          <w:tcPr>
            <w:tcW w:w="2016" w:type="dxa"/>
            <w:shd w:val="clear" w:color="auto" w:fill="D9E2F3"/>
            <w:tcMar>
              <w:top w:w="60" w:type="dxa"/>
              <w:left w:w="100" w:type="dxa"/>
              <w:bottom w:w="60" w:type="dxa"/>
              <w:right w:w="100" w:type="dxa"/>
            </w:tcMar>
          </w:tcPr>
          <w:p w14:paraId="19968CBA" w14:textId="77777777" w:rsidR="001F7DE8" w:rsidRPr="00427625" w:rsidRDefault="00000000">
            <w:pPr>
              <w:rPr>
                <w:color w:val="000000" w:themeColor="text1"/>
              </w:rPr>
            </w:pPr>
            <w:r w:rsidRPr="00427625">
              <w:rPr>
                <w:rFonts w:eastAsia="Calibri"/>
                <w:b/>
                <w:bCs/>
                <w:color w:val="000000" w:themeColor="text1"/>
              </w:rPr>
              <w:t>95% CI</w:t>
            </w:r>
          </w:p>
        </w:tc>
        <w:tc>
          <w:tcPr>
            <w:tcW w:w="1440" w:type="dxa"/>
            <w:shd w:val="clear" w:color="auto" w:fill="D9E2F3"/>
            <w:tcMar>
              <w:top w:w="60" w:type="dxa"/>
              <w:left w:w="100" w:type="dxa"/>
              <w:bottom w:w="60" w:type="dxa"/>
              <w:right w:w="100" w:type="dxa"/>
            </w:tcMar>
          </w:tcPr>
          <w:p w14:paraId="3FA1842D" w14:textId="77777777" w:rsidR="001F7DE8" w:rsidRPr="00427625" w:rsidRDefault="00000000">
            <w:pPr>
              <w:rPr>
                <w:color w:val="000000" w:themeColor="text1"/>
              </w:rPr>
            </w:pPr>
            <w:r w:rsidRPr="00427625">
              <w:rPr>
                <w:rFonts w:eastAsia="Calibri"/>
                <w:b/>
                <w:bCs/>
                <w:color w:val="000000" w:themeColor="text1"/>
              </w:rPr>
              <w:t>p-value</w:t>
            </w:r>
          </w:p>
        </w:tc>
      </w:tr>
      <w:tr w:rsidR="001F7DE8" w:rsidRPr="00427625" w14:paraId="62EB2BD8" w14:textId="77777777">
        <w:tblPrEx>
          <w:tblCellMar>
            <w:top w:w="0" w:type="dxa"/>
            <w:bottom w:w="0" w:type="dxa"/>
          </w:tblCellMar>
        </w:tblPrEx>
        <w:tc>
          <w:tcPr>
            <w:tcW w:w="4320" w:type="dxa"/>
            <w:tcMar>
              <w:top w:w="60" w:type="dxa"/>
              <w:left w:w="100" w:type="dxa"/>
              <w:bottom w:w="60" w:type="dxa"/>
              <w:right w:w="100" w:type="dxa"/>
            </w:tcMar>
          </w:tcPr>
          <w:p w14:paraId="0A153E77" w14:textId="77777777" w:rsidR="001F7DE8" w:rsidRPr="00427625" w:rsidRDefault="00000000">
            <w:pPr>
              <w:rPr>
                <w:color w:val="000000" w:themeColor="text1"/>
              </w:rPr>
            </w:pPr>
            <w:r w:rsidRPr="00427625">
              <w:rPr>
                <w:rFonts w:eastAsia="Calibri"/>
                <w:color w:val="000000" w:themeColor="text1"/>
              </w:rPr>
              <w:t>Uninsured (vs. Covered)</w:t>
            </w:r>
          </w:p>
        </w:tc>
        <w:tc>
          <w:tcPr>
            <w:tcW w:w="1584" w:type="dxa"/>
            <w:tcMar>
              <w:top w:w="60" w:type="dxa"/>
              <w:left w:w="100" w:type="dxa"/>
              <w:bottom w:w="60" w:type="dxa"/>
              <w:right w:w="100" w:type="dxa"/>
            </w:tcMar>
          </w:tcPr>
          <w:p w14:paraId="6C0A2003" w14:textId="77777777" w:rsidR="001F7DE8" w:rsidRPr="00427625" w:rsidRDefault="00000000">
            <w:pPr>
              <w:rPr>
                <w:color w:val="000000" w:themeColor="text1"/>
              </w:rPr>
            </w:pPr>
            <w:r w:rsidRPr="00427625">
              <w:rPr>
                <w:rFonts w:eastAsia="Calibri"/>
                <w:color w:val="000000" w:themeColor="text1"/>
              </w:rPr>
              <w:t>6.55</w:t>
            </w:r>
          </w:p>
        </w:tc>
        <w:tc>
          <w:tcPr>
            <w:tcW w:w="2016" w:type="dxa"/>
            <w:tcMar>
              <w:top w:w="60" w:type="dxa"/>
              <w:left w:w="100" w:type="dxa"/>
              <w:bottom w:w="60" w:type="dxa"/>
              <w:right w:w="100" w:type="dxa"/>
            </w:tcMar>
          </w:tcPr>
          <w:p w14:paraId="5B7B098D" w14:textId="77777777" w:rsidR="001F7DE8" w:rsidRPr="00427625" w:rsidRDefault="00000000">
            <w:pPr>
              <w:rPr>
                <w:color w:val="000000" w:themeColor="text1"/>
              </w:rPr>
            </w:pPr>
            <w:r w:rsidRPr="00427625">
              <w:rPr>
                <w:rFonts w:eastAsia="Calibri"/>
                <w:color w:val="000000" w:themeColor="text1"/>
              </w:rPr>
              <w:t>[5.60, 7.65]</w:t>
            </w:r>
          </w:p>
        </w:tc>
        <w:tc>
          <w:tcPr>
            <w:tcW w:w="1440" w:type="dxa"/>
            <w:tcMar>
              <w:top w:w="60" w:type="dxa"/>
              <w:left w:w="100" w:type="dxa"/>
              <w:bottom w:w="60" w:type="dxa"/>
              <w:right w:w="100" w:type="dxa"/>
            </w:tcMar>
          </w:tcPr>
          <w:p w14:paraId="1A2A46CF" w14:textId="77777777" w:rsidR="001F7DE8" w:rsidRPr="00427625" w:rsidRDefault="00000000">
            <w:pPr>
              <w:rPr>
                <w:color w:val="000000" w:themeColor="text1"/>
              </w:rPr>
            </w:pPr>
            <w:r w:rsidRPr="00427625">
              <w:rPr>
                <w:rFonts w:eastAsia="Calibri"/>
                <w:color w:val="000000" w:themeColor="text1"/>
              </w:rPr>
              <w:t>&lt; .001</w:t>
            </w:r>
          </w:p>
        </w:tc>
      </w:tr>
      <w:tr w:rsidR="001F7DE8" w:rsidRPr="00427625" w14:paraId="3828AB7E" w14:textId="77777777">
        <w:tblPrEx>
          <w:tblCellMar>
            <w:top w:w="0" w:type="dxa"/>
            <w:bottom w:w="0" w:type="dxa"/>
          </w:tblCellMar>
        </w:tblPrEx>
        <w:tc>
          <w:tcPr>
            <w:tcW w:w="4320" w:type="dxa"/>
            <w:tcMar>
              <w:top w:w="60" w:type="dxa"/>
              <w:left w:w="100" w:type="dxa"/>
              <w:bottom w:w="60" w:type="dxa"/>
              <w:right w:w="100" w:type="dxa"/>
            </w:tcMar>
          </w:tcPr>
          <w:p w14:paraId="72FDE398" w14:textId="77777777" w:rsidR="001F7DE8" w:rsidRPr="00427625" w:rsidRDefault="00000000">
            <w:pPr>
              <w:rPr>
                <w:color w:val="000000" w:themeColor="text1"/>
              </w:rPr>
            </w:pPr>
            <w:r w:rsidRPr="00427625">
              <w:rPr>
                <w:rFonts w:eastAsia="Calibri"/>
                <w:color w:val="000000" w:themeColor="text1"/>
              </w:rPr>
              <w:t>Black/African American (vs. White)</w:t>
            </w:r>
          </w:p>
        </w:tc>
        <w:tc>
          <w:tcPr>
            <w:tcW w:w="1584" w:type="dxa"/>
            <w:tcMar>
              <w:top w:w="60" w:type="dxa"/>
              <w:left w:w="100" w:type="dxa"/>
              <w:bottom w:w="60" w:type="dxa"/>
              <w:right w:w="100" w:type="dxa"/>
            </w:tcMar>
          </w:tcPr>
          <w:p w14:paraId="11112E2A" w14:textId="77777777" w:rsidR="001F7DE8" w:rsidRPr="00427625" w:rsidRDefault="00000000">
            <w:pPr>
              <w:rPr>
                <w:color w:val="000000" w:themeColor="text1"/>
              </w:rPr>
            </w:pPr>
            <w:r w:rsidRPr="00427625">
              <w:rPr>
                <w:rFonts w:eastAsia="Calibri"/>
                <w:color w:val="000000" w:themeColor="text1"/>
              </w:rPr>
              <w:t>0.91</w:t>
            </w:r>
          </w:p>
        </w:tc>
        <w:tc>
          <w:tcPr>
            <w:tcW w:w="2016" w:type="dxa"/>
            <w:tcMar>
              <w:top w:w="60" w:type="dxa"/>
              <w:left w:w="100" w:type="dxa"/>
              <w:bottom w:w="60" w:type="dxa"/>
              <w:right w:w="100" w:type="dxa"/>
            </w:tcMar>
          </w:tcPr>
          <w:p w14:paraId="5B24C31E" w14:textId="77777777" w:rsidR="001F7DE8" w:rsidRPr="00427625" w:rsidRDefault="00000000">
            <w:pPr>
              <w:rPr>
                <w:color w:val="000000" w:themeColor="text1"/>
              </w:rPr>
            </w:pPr>
            <w:r w:rsidRPr="00427625">
              <w:rPr>
                <w:rFonts w:eastAsia="Calibri"/>
                <w:color w:val="000000" w:themeColor="text1"/>
              </w:rPr>
              <w:t>[0.74, 1.11]</w:t>
            </w:r>
          </w:p>
        </w:tc>
        <w:tc>
          <w:tcPr>
            <w:tcW w:w="1440" w:type="dxa"/>
            <w:tcMar>
              <w:top w:w="60" w:type="dxa"/>
              <w:left w:w="100" w:type="dxa"/>
              <w:bottom w:w="60" w:type="dxa"/>
              <w:right w:w="100" w:type="dxa"/>
            </w:tcMar>
          </w:tcPr>
          <w:p w14:paraId="2C5E4924" w14:textId="77777777" w:rsidR="001F7DE8" w:rsidRPr="00427625" w:rsidRDefault="00000000">
            <w:pPr>
              <w:rPr>
                <w:color w:val="000000" w:themeColor="text1"/>
              </w:rPr>
            </w:pPr>
            <w:r w:rsidRPr="00427625">
              <w:rPr>
                <w:rFonts w:eastAsia="Calibri"/>
                <w:color w:val="000000" w:themeColor="text1"/>
              </w:rPr>
              <w:t>.348</w:t>
            </w:r>
          </w:p>
        </w:tc>
      </w:tr>
      <w:tr w:rsidR="001F7DE8" w:rsidRPr="00427625" w14:paraId="6D7AB610" w14:textId="77777777">
        <w:tblPrEx>
          <w:tblCellMar>
            <w:top w:w="0" w:type="dxa"/>
            <w:bottom w:w="0" w:type="dxa"/>
          </w:tblCellMar>
        </w:tblPrEx>
        <w:tc>
          <w:tcPr>
            <w:tcW w:w="4320" w:type="dxa"/>
            <w:tcMar>
              <w:top w:w="60" w:type="dxa"/>
              <w:left w:w="100" w:type="dxa"/>
              <w:bottom w:w="60" w:type="dxa"/>
              <w:right w:w="100" w:type="dxa"/>
            </w:tcMar>
          </w:tcPr>
          <w:p w14:paraId="0B47CA35" w14:textId="77777777" w:rsidR="001F7DE8" w:rsidRPr="00427625" w:rsidRDefault="00000000">
            <w:pPr>
              <w:rPr>
                <w:color w:val="000000" w:themeColor="text1"/>
              </w:rPr>
            </w:pPr>
            <w:r w:rsidRPr="00427625">
              <w:rPr>
                <w:rFonts w:eastAsia="Calibri"/>
                <w:color w:val="000000" w:themeColor="text1"/>
              </w:rPr>
              <w:t>Asian (vs. White)</w:t>
            </w:r>
          </w:p>
        </w:tc>
        <w:tc>
          <w:tcPr>
            <w:tcW w:w="1584" w:type="dxa"/>
            <w:tcMar>
              <w:top w:w="60" w:type="dxa"/>
              <w:left w:w="100" w:type="dxa"/>
              <w:bottom w:w="60" w:type="dxa"/>
              <w:right w:w="100" w:type="dxa"/>
            </w:tcMar>
          </w:tcPr>
          <w:p w14:paraId="5C250707" w14:textId="77777777" w:rsidR="001F7DE8" w:rsidRPr="00427625" w:rsidRDefault="00000000">
            <w:pPr>
              <w:rPr>
                <w:color w:val="000000" w:themeColor="text1"/>
              </w:rPr>
            </w:pPr>
            <w:r w:rsidRPr="00427625">
              <w:rPr>
                <w:rFonts w:eastAsia="Calibri"/>
                <w:color w:val="000000" w:themeColor="text1"/>
              </w:rPr>
              <w:t>0.45</w:t>
            </w:r>
          </w:p>
        </w:tc>
        <w:tc>
          <w:tcPr>
            <w:tcW w:w="2016" w:type="dxa"/>
            <w:tcMar>
              <w:top w:w="60" w:type="dxa"/>
              <w:left w:w="100" w:type="dxa"/>
              <w:bottom w:w="60" w:type="dxa"/>
              <w:right w:w="100" w:type="dxa"/>
            </w:tcMar>
          </w:tcPr>
          <w:p w14:paraId="138B8517" w14:textId="77777777" w:rsidR="001F7DE8" w:rsidRPr="00427625" w:rsidRDefault="00000000">
            <w:pPr>
              <w:rPr>
                <w:color w:val="000000" w:themeColor="text1"/>
              </w:rPr>
            </w:pPr>
            <w:r w:rsidRPr="00427625">
              <w:rPr>
                <w:rFonts w:eastAsia="Calibri"/>
                <w:color w:val="000000" w:themeColor="text1"/>
              </w:rPr>
              <w:t>[0.33, 0.59]</w:t>
            </w:r>
          </w:p>
        </w:tc>
        <w:tc>
          <w:tcPr>
            <w:tcW w:w="1440" w:type="dxa"/>
            <w:tcMar>
              <w:top w:w="60" w:type="dxa"/>
              <w:left w:w="100" w:type="dxa"/>
              <w:bottom w:w="60" w:type="dxa"/>
              <w:right w:w="100" w:type="dxa"/>
            </w:tcMar>
          </w:tcPr>
          <w:p w14:paraId="6A7D8C42" w14:textId="77777777" w:rsidR="001F7DE8" w:rsidRPr="00427625" w:rsidRDefault="00000000">
            <w:pPr>
              <w:rPr>
                <w:color w:val="000000" w:themeColor="text1"/>
              </w:rPr>
            </w:pPr>
            <w:r w:rsidRPr="00427625">
              <w:rPr>
                <w:rFonts w:eastAsia="Calibri"/>
                <w:color w:val="000000" w:themeColor="text1"/>
              </w:rPr>
              <w:t>&lt; .001</w:t>
            </w:r>
          </w:p>
        </w:tc>
      </w:tr>
      <w:tr w:rsidR="001F7DE8" w:rsidRPr="00427625" w14:paraId="7FC4AF6C" w14:textId="77777777">
        <w:tblPrEx>
          <w:tblCellMar>
            <w:top w:w="0" w:type="dxa"/>
            <w:bottom w:w="0" w:type="dxa"/>
          </w:tblCellMar>
        </w:tblPrEx>
        <w:tc>
          <w:tcPr>
            <w:tcW w:w="4320" w:type="dxa"/>
            <w:tcMar>
              <w:top w:w="60" w:type="dxa"/>
              <w:left w:w="100" w:type="dxa"/>
              <w:bottom w:w="60" w:type="dxa"/>
              <w:right w:w="100" w:type="dxa"/>
            </w:tcMar>
          </w:tcPr>
          <w:p w14:paraId="17A767D8" w14:textId="77777777" w:rsidR="001F7DE8" w:rsidRPr="00427625" w:rsidRDefault="00000000">
            <w:pPr>
              <w:rPr>
                <w:color w:val="000000" w:themeColor="text1"/>
              </w:rPr>
            </w:pPr>
            <w:r w:rsidRPr="00427625">
              <w:rPr>
                <w:rFonts w:eastAsia="Calibri"/>
                <w:color w:val="000000" w:themeColor="text1"/>
              </w:rPr>
              <w:t>Hispanic (vs. White)</w:t>
            </w:r>
          </w:p>
        </w:tc>
        <w:tc>
          <w:tcPr>
            <w:tcW w:w="1584" w:type="dxa"/>
            <w:tcMar>
              <w:top w:w="60" w:type="dxa"/>
              <w:left w:w="100" w:type="dxa"/>
              <w:bottom w:w="60" w:type="dxa"/>
              <w:right w:w="100" w:type="dxa"/>
            </w:tcMar>
          </w:tcPr>
          <w:p w14:paraId="0C478FD4" w14:textId="77777777" w:rsidR="001F7DE8" w:rsidRPr="00427625" w:rsidRDefault="00000000">
            <w:pPr>
              <w:rPr>
                <w:color w:val="000000" w:themeColor="text1"/>
              </w:rPr>
            </w:pPr>
            <w:r w:rsidRPr="00427625">
              <w:rPr>
                <w:rFonts w:eastAsia="Calibri"/>
                <w:color w:val="000000" w:themeColor="text1"/>
              </w:rPr>
              <w:t>0.91</w:t>
            </w:r>
          </w:p>
        </w:tc>
        <w:tc>
          <w:tcPr>
            <w:tcW w:w="2016" w:type="dxa"/>
            <w:tcMar>
              <w:top w:w="60" w:type="dxa"/>
              <w:left w:w="100" w:type="dxa"/>
              <w:bottom w:w="60" w:type="dxa"/>
              <w:right w:w="100" w:type="dxa"/>
            </w:tcMar>
          </w:tcPr>
          <w:p w14:paraId="306580FF" w14:textId="77777777" w:rsidR="001F7DE8" w:rsidRPr="00427625" w:rsidRDefault="00000000">
            <w:pPr>
              <w:rPr>
                <w:color w:val="000000" w:themeColor="text1"/>
              </w:rPr>
            </w:pPr>
            <w:r w:rsidRPr="00427625">
              <w:rPr>
                <w:rFonts w:eastAsia="Calibri"/>
                <w:color w:val="000000" w:themeColor="text1"/>
              </w:rPr>
              <w:t>[0.77, 1.08]</w:t>
            </w:r>
          </w:p>
        </w:tc>
        <w:tc>
          <w:tcPr>
            <w:tcW w:w="1440" w:type="dxa"/>
            <w:tcMar>
              <w:top w:w="60" w:type="dxa"/>
              <w:left w:w="100" w:type="dxa"/>
              <w:bottom w:w="60" w:type="dxa"/>
              <w:right w:w="100" w:type="dxa"/>
            </w:tcMar>
          </w:tcPr>
          <w:p w14:paraId="41128D54" w14:textId="77777777" w:rsidR="001F7DE8" w:rsidRPr="00427625" w:rsidRDefault="00000000">
            <w:pPr>
              <w:rPr>
                <w:color w:val="000000" w:themeColor="text1"/>
              </w:rPr>
            </w:pPr>
            <w:r w:rsidRPr="00427625">
              <w:rPr>
                <w:rFonts w:eastAsia="Calibri"/>
                <w:color w:val="000000" w:themeColor="text1"/>
              </w:rPr>
              <w:t>.296</w:t>
            </w:r>
          </w:p>
        </w:tc>
      </w:tr>
      <w:tr w:rsidR="001F7DE8" w:rsidRPr="00427625" w14:paraId="354D0DE0" w14:textId="77777777">
        <w:tblPrEx>
          <w:tblCellMar>
            <w:top w:w="0" w:type="dxa"/>
            <w:bottom w:w="0" w:type="dxa"/>
          </w:tblCellMar>
        </w:tblPrEx>
        <w:tc>
          <w:tcPr>
            <w:tcW w:w="4320" w:type="dxa"/>
            <w:tcMar>
              <w:top w:w="60" w:type="dxa"/>
              <w:left w:w="100" w:type="dxa"/>
              <w:bottom w:w="60" w:type="dxa"/>
              <w:right w:w="100" w:type="dxa"/>
            </w:tcMar>
          </w:tcPr>
          <w:p w14:paraId="378AAF42" w14:textId="77777777" w:rsidR="001F7DE8" w:rsidRPr="00427625" w:rsidRDefault="00000000">
            <w:pPr>
              <w:rPr>
                <w:color w:val="000000" w:themeColor="text1"/>
              </w:rPr>
            </w:pPr>
            <w:r w:rsidRPr="00427625">
              <w:rPr>
                <w:rFonts w:eastAsia="Calibri"/>
                <w:color w:val="000000" w:themeColor="text1"/>
              </w:rPr>
              <w:t>Bachelor's (vs. High School)</w:t>
            </w:r>
          </w:p>
        </w:tc>
        <w:tc>
          <w:tcPr>
            <w:tcW w:w="1584" w:type="dxa"/>
            <w:tcMar>
              <w:top w:w="60" w:type="dxa"/>
              <w:left w:w="100" w:type="dxa"/>
              <w:bottom w:w="60" w:type="dxa"/>
              <w:right w:w="100" w:type="dxa"/>
            </w:tcMar>
          </w:tcPr>
          <w:p w14:paraId="5E72358A" w14:textId="77777777" w:rsidR="001F7DE8" w:rsidRPr="00427625" w:rsidRDefault="00000000">
            <w:pPr>
              <w:rPr>
                <w:color w:val="000000" w:themeColor="text1"/>
              </w:rPr>
            </w:pPr>
            <w:r w:rsidRPr="00427625">
              <w:rPr>
                <w:rFonts w:eastAsia="Calibri"/>
                <w:color w:val="000000" w:themeColor="text1"/>
              </w:rPr>
              <w:t>1.21</w:t>
            </w:r>
          </w:p>
        </w:tc>
        <w:tc>
          <w:tcPr>
            <w:tcW w:w="2016" w:type="dxa"/>
            <w:tcMar>
              <w:top w:w="60" w:type="dxa"/>
              <w:left w:w="100" w:type="dxa"/>
              <w:bottom w:w="60" w:type="dxa"/>
              <w:right w:w="100" w:type="dxa"/>
            </w:tcMar>
          </w:tcPr>
          <w:p w14:paraId="5E7CE2AC" w14:textId="77777777" w:rsidR="001F7DE8" w:rsidRPr="00427625" w:rsidRDefault="00000000">
            <w:pPr>
              <w:rPr>
                <w:color w:val="000000" w:themeColor="text1"/>
              </w:rPr>
            </w:pPr>
            <w:r w:rsidRPr="00427625">
              <w:rPr>
                <w:rFonts w:eastAsia="Calibri"/>
                <w:color w:val="000000" w:themeColor="text1"/>
              </w:rPr>
              <w:t>[1.06, 1.38]</w:t>
            </w:r>
          </w:p>
        </w:tc>
        <w:tc>
          <w:tcPr>
            <w:tcW w:w="1440" w:type="dxa"/>
            <w:tcMar>
              <w:top w:w="60" w:type="dxa"/>
              <w:left w:w="100" w:type="dxa"/>
              <w:bottom w:w="60" w:type="dxa"/>
              <w:right w:w="100" w:type="dxa"/>
            </w:tcMar>
          </w:tcPr>
          <w:p w14:paraId="7810BDC4" w14:textId="77777777" w:rsidR="001F7DE8" w:rsidRPr="00427625" w:rsidRDefault="00000000">
            <w:pPr>
              <w:rPr>
                <w:color w:val="000000" w:themeColor="text1"/>
              </w:rPr>
            </w:pPr>
            <w:r w:rsidRPr="00427625">
              <w:rPr>
                <w:rFonts w:eastAsia="Calibri"/>
                <w:color w:val="000000" w:themeColor="text1"/>
              </w:rPr>
              <w:t>.005</w:t>
            </w:r>
          </w:p>
        </w:tc>
      </w:tr>
      <w:tr w:rsidR="001F7DE8" w:rsidRPr="00427625" w14:paraId="0BB23176" w14:textId="77777777">
        <w:tblPrEx>
          <w:tblCellMar>
            <w:top w:w="0" w:type="dxa"/>
            <w:bottom w:w="0" w:type="dxa"/>
          </w:tblCellMar>
        </w:tblPrEx>
        <w:tc>
          <w:tcPr>
            <w:tcW w:w="4320" w:type="dxa"/>
            <w:tcMar>
              <w:top w:w="60" w:type="dxa"/>
              <w:left w:w="100" w:type="dxa"/>
              <w:bottom w:w="60" w:type="dxa"/>
              <w:right w:w="100" w:type="dxa"/>
            </w:tcMar>
          </w:tcPr>
          <w:p w14:paraId="681A2603" w14:textId="77777777" w:rsidR="001F7DE8" w:rsidRPr="00427625" w:rsidRDefault="00000000">
            <w:pPr>
              <w:rPr>
                <w:color w:val="000000" w:themeColor="text1"/>
              </w:rPr>
            </w:pPr>
            <w:r w:rsidRPr="00427625">
              <w:rPr>
                <w:rFonts w:eastAsia="Calibri"/>
                <w:color w:val="000000" w:themeColor="text1"/>
              </w:rPr>
              <w:t>Master's (vs. High School)</w:t>
            </w:r>
          </w:p>
        </w:tc>
        <w:tc>
          <w:tcPr>
            <w:tcW w:w="1584" w:type="dxa"/>
            <w:tcMar>
              <w:top w:w="60" w:type="dxa"/>
              <w:left w:w="100" w:type="dxa"/>
              <w:bottom w:w="60" w:type="dxa"/>
              <w:right w:w="100" w:type="dxa"/>
            </w:tcMar>
          </w:tcPr>
          <w:p w14:paraId="4E31208C" w14:textId="77777777" w:rsidR="001F7DE8" w:rsidRPr="00427625" w:rsidRDefault="00000000">
            <w:pPr>
              <w:rPr>
                <w:color w:val="000000" w:themeColor="text1"/>
              </w:rPr>
            </w:pPr>
            <w:r w:rsidRPr="00427625">
              <w:rPr>
                <w:rFonts w:eastAsia="Calibri"/>
                <w:color w:val="000000" w:themeColor="text1"/>
              </w:rPr>
              <w:t>1.29</w:t>
            </w:r>
          </w:p>
        </w:tc>
        <w:tc>
          <w:tcPr>
            <w:tcW w:w="2016" w:type="dxa"/>
            <w:tcMar>
              <w:top w:w="60" w:type="dxa"/>
              <w:left w:w="100" w:type="dxa"/>
              <w:bottom w:w="60" w:type="dxa"/>
              <w:right w:w="100" w:type="dxa"/>
            </w:tcMar>
          </w:tcPr>
          <w:p w14:paraId="4DBA846F" w14:textId="77777777" w:rsidR="001F7DE8" w:rsidRPr="00427625" w:rsidRDefault="00000000">
            <w:pPr>
              <w:rPr>
                <w:color w:val="000000" w:themeColor="text1"/>
              </w:rPr>
            </w:pPr>
            <w:r w:rsidRPr="00427625">
              <w:rPr>
                <w:rFonts w:eastAsia="Calibri"/>
                <w:color w:val="000000" w:themeColor="text1"/>
              </w:rPr>
              <w:t>[1.10, 1.52]</w:t>
            </w:r>
          </w:p>
        </w:tc>
        <w:tc>
          <w:tcPr>
            <w:tcW w:w="1440" w:type="dxa"/>
            <w:tcMar>
              <w:top w:w="60" w:type="dxa"/>
              <w:left w:w="100" w:type="dxa"/>
              <w:bottom w:w="60" w:type="dxa"/>
              <w:right w:w="100" w:type="dxa"/>
            </w:tcMar>
          </w:tcPr>
          <w:p w14:paraId="07776D8B" w14:textId="77777777" w:rsidR="001F7DE8" w:rsidRPr="00427625" w:rsidRDefault="00000000">
            <w:pPr>
              <w:rPr>
                <w:color w:val="000000" w:themeColor="text1"/>
              </w:rPr>
            </w:pPr>
            <w:r w:rsidRPr="00427625">
              <w:rPr>
                <w:rFonts w:eastAsia="Calibri"/>
                <w:color w:val="000000" w:themeColor="text1"/>
              </w:rPr>
              <w:t>.002</w:t>
            </w:r>
          </w:p>
        </w:tc>
      </w:tr>
      <w:tr w:rsidR="001F7DE8" w:rsidRPr="00427625" w14:paraId="5B9AD6F1" w14:textId="77777777">
        <w:tblPrEx>
          <w:tblCellMar>
            <w:top w:w="0" w:type="dxa"/>
            <w:bottom w:w="0" w:type="dxa"/>
          </w:tblCellMar>
        </w:tblPrEx>
        <w:tc>
          <w:tcPr>
            <w:tcW w:w="4320" w:type="dxa"/>
            <w:tcMar>
              <w:top w:w="60" w:type="dxa"/>
              <w:left w:w="100" w:type="dxa"/>
              <w:bottom w:w="60" w:type="dxa"/>
              <w:right w:w="100" w:type="dxa"/>
            </w:tcMar>
          </w:tcPr>
          <w:p w14:paraId="4E2025AD" w14:textId="77777777" w:rsidR="001F7DE8" w:rsidRPr="00427625" w:rsidRDefault="00000000">
            <w:pPr>
              <w:rPr>
                <w:color w:val="000000" w:themeColor="text1"/>
              </w:rPr>
            </w:pPr>
            <w:r w:rsidRPr="00427625">
              <w:rPr>
                <w:rFonts w:eastAsia="Calibri"/>
                <w:color w:val="000000" w:themeColor="text1"/>
              </w:rPr>
              <w:t>Doctoral (vs. High School)</w:t>
            </w:r>
          </w:p>
        </w:tc>
        <w:tc>
          <w:tcPr>
            <w:tcW w:w="1584" w:type="dxa"/>
            <w:tcMar>
              <w:top w:w="60" w:type="dxa"/>
              <w:left w:w="100" w:type="dxa"/>
              <w:bottom w:w="60" w:type="dxa"/>
              <w:right w:w="100" w:type="dxa"/>
            </w:tcMar>
          </w:tcPr>
          <w:p w14:paraId="42524553" w14:textId="77777777" w:rsidR="001F7DE8" w:rsidRPr="00427625" w:rsidRDefault="00000000">
            <w:pPr>
              <w:rPr>
                <w:color w:val="000000" w:themeColor="text1"/>
              </w:rPr>
            </w:pPr>
            <w:r w:rsidRPr="00427625">
              <w:rPr>
                <w:rFonts w:eastAsia="Calibri"/>
                <w:color w:val="000000" w:themeColor="text1"/>
              </w:rPr>
              <w:t>0.76</w:t>
            </w:r>
          </w:p>
        </w:tc>
        <w:tc>
          <w:tcPr>
            <w:tcW w:w="2016" w:type="dxa"/>
            <w:tcMar>
              <w:top w:w="60" w:type="dxa"/>
              <w:left w:w="100" w:type="dxa"/>
              <w:bottom w:w="60" w:type="dxa"/>
              <w:right w:w="100" w:type="dxa"/>
            </w:tcMar>
          </w:tcPr>
          <w:p w14:paraId="693A5512" w14:textId="77777777" w:rsidR="001F7DE8" w:rsidRPr="00427625" w:rsidRDefault="00000000">
            <w:pPr>
              <w:rPr>
                <w:color w:val="000000" w:themeColor="text1"/>
              </w:rPr>
            </w:pPr>
            <w:r w:rsidRPr="00427625">
              <w:rPr>
                <w:rFonts w:eastAsia="Calibri"/>
                <w:color w:val="000000" w:themeColor="text1"/>
              </w:rPr>
              <w:t>[0.56, 1.01]</w:t>
            </w:r>
          </w:p>
        </w:tc>
        <w:tc>
          <w:tcPr>
            <w:tcW w:w="1440" w:type="dxa"/>
            <w:tcMar>
              <w:top w:w="60" w:type="dxa"/>
              <w:left w:w="100" w:type="dxa"/>
              <w:bottom w:w="60" w:type="dxa"/>
              <w:right w:w="100" w:type="dxa"/>
            </w:tcMar>
          </w:tcPr>
          <w:p w14:paraId="7DDE7E29" w14:textId="77777777" w:rsidR="001F7DE8" w:rsidRPr="00427625" w:rsidRDefault="00000000">
            <w:pPr>
              <w:rPr>
                <w:color w:val="000000" w:themeColor="text1"/>
              </w:rPr>
            </w:pPr>
            <w:r w:rsidRPr="00427625">
              <w:rPr>
                <w:rFonts w:eastAsia="Calibri"/>
                <w:color w:val="000000" w:themeColor="text1"/>
              </w:rPr>
              <w:t>.067</w:t>
            </w:r>
          </w:p>
        </w:tc>
      </w:tr>
    </w:tbl>
    <w:p w14:paraId="5E34B2B1" w14:textId="77777777" w:rsidR="001F7DE8" w:rsidRPr="00427625" w:rsidRDefault="001F7DE8">
      <w:pPr>
        <w:spacing w:after="120" w:line="276" w:lineRule="auto"/>
        <w:rPr>
          <w:color w:val="000000" w:themeColor="text1"/>
        </w:rPr>
      </w:pPr>
    </w:p>
    <w:p w14:paraId="26B813A8" w14:textId="43C0E653" w:rsidR="001F7DE8" w:rsidRPr="00427625" w:rsidRDefault="00000000">
      <w:pPr>
        <w:spacing w:after="220" w:line="276" w:lineRule="auto"/>
        <w:rPr>
          <w:rFonts w:eastAsia="Calibri"/>
          <w:i/>
          <w:iCs/>
          <w:color w:val="000000" w:themeColor="text1"/>
          <w:sz w:val="22"/>
          <w:szCs w:val="22"/>
        </w:rPr>
      </w:pPr>
      <w:r w:rsidRPr="00427625">
        <w:rPr>
          <w:rFonts w:eastAsia="Calibri"/>
          <w:b/>
          <w:bCs/>
          <w:color w:val="000000" w:themeColor="text1"/>
          <w:sz w:val="22"/>
          <w:szCs w:val="22"/>
        </w:rPr>
        <w:t xml:space="preserve">Figure 7: </w:t>
      </w:r>
      <w:proofErr w:type="gramStart"/>
      <w:r w:rsidRPr="00427625">
        <w:rPr>
          <w:rFonts w:eastAsia="Calibri"/>
          <w:b/>
          <w:bCs/>
          <w:color w:val="000000" w:themeColor="text1"/>
          <w:sz w:val="22"/>
          <w:szCs w:val="22"/>
        </w:rPr>
        <w:t>Odds ratio forest</w:t>
      </w:r>
      <w:proofErr w:type="gramEnd"/>
      <w:r w:rsidRPr="00427625">
        <w:rPr>
          <w:rFonts w:eastAsia="Calibri"/>
          <w:b/>
          <w:bCs/>
          <w:color w:val="000000" w:themeColor="text1"/>
          <w:sz w:val="22"/>
          <w:szCs w:val="22"/>
        </w:rPr>
        <w:t xml:space="preserve"> plot for the multivariable logistic regression</w:t>
      </w:r>
      <w:r w:rsidRPr="00427625">
        <w:rPr>
          <w:rFonts w:eastAsia="Calibri"/>
          <w:color w:val="000000" w:themeColor="text1"/>
          <w:sz w:val="22"/>
          <w:szCs w:val="22"/>
        </w:rPr>
        <w:t xml:space="preserve"> </w:t>
      </w:r>
    </w:p>
    <w:p w14:paraId="67955E4F" w14:textId="5A7278B8" w:rsidR="00427625" w:rsidRPr="00427625" w:rsidRDefault="00427625">
      <w:pPr>
        <w:spacing w:after="220" w:line="276" w:lineRule="auto"/>
        <w:rPr>
          <w:color w:val="000000" w:themeColor="text1"/>
        </w:rPr>
      </w:pPr>
      <w:r w:rsidRPr="00427625">
        <w:rPr>
          <w:color w:val="000000" w:themeColor="text1"/>
        </w:rPr>
        <w:drawing>
          <wp:inline distT="0" distB="0" distL="0" distR="0" wp14:anchorId="748E1756" wp14:editId="1BCB6A17">
            <wp:extent cx="4876800" cy="3087719"/>
            <wp:effectExtent l="0" t="0" r="0" b="0"/>
            <wp:docPr id="895389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89063" name=""/>
                    <pic:cNvPicPr/>
                  </pic:nvPicPr>
                  <pic:blipFill>
                    <a:blip r:embed="rId5"/>
                    <a:stretch>
                      <a:fillRect/>
                    </a:stretch>
                  </pic:blipFill>
                  <pic:spPr>
                    <a:xfrm>
                      <a:off x="0" y="0"/>
                      <a:ext cx="4888615" cy="3095200"/>
                    </a:xfrm>
                    <a:prstGeom prst="rect">
                      <a:avLst/>
                    </a:prstGeom>
                  </pic:spPr>
                </pic:pic>
              </a:graphicData>
            </a:graphic>
          </wp:inline>
        </w:drawing>
      </w:r>
    </w:p>
    <w:p w14:paraId="6274AA1E" w14:textId="77777777" w:rsidR="00427625" w:rsidRDefault="00427625">
      <w:pPr>
        <w:pStyle w:val="Heading1"/>
        <w:spacing w:before="280" w:after="140"/>
        <w:rPr>
          <w:rFonts w:ascii="Times New Roman" w:hAnsi="Times New Roman" w:cs="Times New Roman"/>
          <w:color w:val="000000" w:themeColor="text1"/>
        </w:rPr>
      </w:pPr>
    </w:p>
    <w:p w14:paraId="7ED6E852" w14:textId="354CE833" w:rsidR="001F7DE8" w:rsidRPr="00427625" w:rsidRDefault="00000000">
      <w:pPr>
        <w:pStyle w:val="Heading1"/>
        <w:spacing w:before="280" w:after="140"/>
        <w:rPr>
          <w:rFonts w:ascii="Times New Roman" w:hAnsi="Times New Roman" w:cs="Times New Roman"/>
          <w:color w:val="000000" w:themeColor="text1"/>
        </w:rPr>
      </w:pPr>
      <w:r w:rsidRPr="00427625">
        <w:rPr>
          <w:rFonts w:ascii="Times New Roman" w:hAnsi="Times New Roman" w:cs="Times New Roman"/>
          <w:color w:val="000000" w:themeColor="text1"/>
        </w:rPr>
        <w:t>Interpretation and Discussion</w:t>
      </w:r>
    </w:p>
    <w:p w14:paraId="159B9F42" w14:textId="77777777" w:rsidR="001F7DE8" w:rsidRPr="00427625" w:rsidRDefault="00000000">
      <w:pPr>
        <w:spacing w:after="160" w:line="276" w:lineRule="auto"/>
        <w:rPr>
          <w:color w:val="000000" w:themeColor="text1"/>
        </w:rPr>
      </w:pPr>
      <w:r w:rsidRPr="00427625">
        <w:rPr>
          <w:rFonts w:eastAsia="Calibri"/>
          <w:color w:val="000000" w:themeColor="text1"/>
          <w:sz w:val="22"/>
          <w:szCs w:val="22"/>
        </w:rPr>
        <w:t>The likelihood ratio tests (Figure 5) assessed whether each predictor significantly improved model fit beyond a null (intercept-only) model.</w:t>
      </w:r>
    </w:p>
    <w:p w14:paraId="0E39580F" w14:textId="77777777" w:rsidR="001F7DE8" w:rsidRPr="00427625" w:rsidRDefault="00000000">
      <w:pPr>
        <w:spacing w:after="160" w:line="276" w:lineRule="auto"/>
        <w:rPr>
          <w:color w:val="000000" w:themeColor="text1"/>
        </w:rPr>
      </w:pPr>
      <w:r w:rsidRPr="00427625">
        <w:rPr>
          <w:rFonts w:eastAsia="Calibri"/>
          <w:b/>
          <w:bCs/>
          <w:color w:val="000000" w:themeColor="text1"/>
          <w:sz w:val="22"/>
          <w:szCs w:val="22"/>
        </w:rPr>
        <w:t xml:space="preserve">Bivariate models: </w:t>
      </w:r>
      <w:r w:rsidRPr="00427625">
        <w:rPr>
          <w:rFonts w:eastAsia="Calibri"/>
          <w:color w:val="000000" w:themeColor="text1"/>
          <w:sz w:val="22"/>
          <w:szCs w:val="22"/>
        </w:rPr>
        <w:t>All three predictors significantly improved model fit. Education showed the weakest association (χ² = 18.66, p &lt; .001), race/ethnicity was stronger (χ² = 48.97, p &lt; .001), and insurance coverage exhibited by far the strongest association (χ² = 472.23, p &lt; .001), establishing it as the most important predictor of cost-related delayed care.</w:t>
      </w:r>
    </w:p>
    <w:p w14:paraId="48F3E9F3" w14:textId="77777777" w:rsidR="001F7DE8" w:rsidRPr="00427625" w:rsidRDefault="00000000">
      <w:pPr>
        <w:spacing w:after="160" w:line="276" w:lineRule="auto"/>
        <w:rPr>
          <w:color w:val="000000" w:themeColor="text1"/>
        </w:rPr>
      </w:pPr>
      <w:r w:rsidRPr="00427625">
        <w:rPr>
          <w:rFonts w:eastAsia="Calibri"/>
          <w:b/>
          <w:bCs/>
          <w:color w:val="000000" w:themeColor="text1"/>
          <w:sz w:val="22"/>
          <w:szCs w:val="22"/>
        </w:rPr>
        <w:t xml:space="preserve">Multivariable model: </w:t>
      </w:r>
      <w:r w:rsidRPr="00427625">
        <w:rPr>
          <w:rFonts w:eastAsia="Calibri"/>
          <w:color w:val="000000" w:themeColor="text1"/>
          <w:sz w:val="22"/>
          <w:szCs w:val="22"/>
        </w:rPr>
        <w:t>The full model including all three predictors significantly improved fit compared to the null model (χ² = 527.73, p &lt; .001), indicating that these sociodemographic factors collectively explain variation in delayed medical care beyond what would be expected by chance.</w:t>
      </w:r>
    </w:p>
    <w:p w14:paraId="5062F973" w14:textId="77777777" w:rsidR="001F7DE8" w:rsidRPr="00427625" w:rsidRDefault="00000000">
      <w:pPr>
        <w:spacing w:after="160" w:line="276" w:lineRule="auto"/>
        <w:rPr>
          <w:color w:val="000000" w:themeColor="text1"/>
        </w:rPr>
      </w:pPr>
      <w:r w:rsidRPr="00427625">
        <w:rPr>
          <w:rFonts w:eastAsia="Calibri"/>
          <w:color w:val="000000" w:themeColor="text1"/>
          <w:sz w:val="22"/>
          <w:szCs w:val="22"/>
        </w:rPr>
        <w:t>The multivariable logistic regression showed that insurance coverage was the strongest predictor of delayed medical care, while the roles of race/ethnicity and education were more complicated than my original hypothesis anticipated.</w:t>
      </w:r>
    </w:p>
    <w:p w14:paraId="00089962" w14:textId="77777777" w:rsidR="001F7DE8" w:rsidRPr="00427625" w:rsidRDefault="00000000">
      <w:pPr>
        <w:spacing w:after="160" w:line="276" w:lineRule="auto"/>
        <w:rPr>
          <w:color w:val="000000" w:themeColor="text1"/>
        </w:rPr>
      </w:pPr>
      <w:r w:rsidRPr="00427625">
        <w:rPr>
          <w:rFonts w:eastAsia="Calibri"/>
          <w:color w:val="000000" w:themeColor="text1"/>
          <w:sz w:val="22"/>
          <w:szCs w:val="22"/>
        </w:rPr>
        <w:t>I was correct that lacking insurance coverage is associated with higher odds of delaying medical care. Uninsured adults have 6.55 times the odds of delaying care compared to insured adults (95% CI [5.60, 7.65], p &lt; .001), after controlling for race/ethnicity and education. This is consistent with the descriptive proportions: 27.5% of uninsured adults delay care compared to only 5.8% of insured adults. Although the uninsured group is relatively small (n = 1,100), which widens the confidence interval, even the lower bound of the interval (5.60) indicates a very large effect.</w:t>
      </w:r>
    </w:p>
    <w:p w14:paraId="64F0E797" w14:textId="77777777" w:rsidR="001F7DE8" w:rsidRPr="00427625" w:rsidRDefault="00000000">
      <w:pPr>
        <w:spacing w:after="160" w:line="276" w:lineRule="auto"/>
        <w:rPr>
          <w:color w:val="000000" w:themeColor="text1"/>
        </w:rPr>
      </w:pPr>
      <w:r w:rsidRPr="00427625">
        <w:rPr>
          <w:rFonts w:eastAsia="Calibri"/>
          <w:color w:val="000000" w:themeColor="text1"/>
          <w:sz w:val="22"/>
          <w:szCs w:val="22"/>
        </w:rPr>
        <w:t>My expectations about race/ethnicity were not supported. Black/African American (OR = 0.91, p = .348) and Hispanic (OR = 0.91, p = .296) adults showed no significant difference in delayed care compared to White adults after controlling for insurance and education. Insurance-stratified proportions point the same way: among insured adults, delay rates across racial/ethnic groups sit within about three percentage points of one another, and the wider raw gaps appear only among the uninsured. This suggests that racial disparities in delayed care operate largely through differences in insurance coverage rather than race itself. Asian adults are the exception: the Asian coefficient is significant (OR = 0.45, p &lt; .001), indicating about 55% lower odds of delaying care than White adults even after adjustment, which may reflect distinct socioeconomic and healthcare-seeking patterns within this population that merit further study.</w:t>
      </w:r>
    </w:p>
    <w:p w14:paraId="08F18565" w14:textId="77777777" w:rsidR="001F7DE8" w:rsidRPr="00427625" w:rsidRDefault="00000000">
      <w:pPr>
        <w:spacing w:after="160" w:line="276" w:lineRule="auto"/>
        <w:rPr>
          <w:color w:val="000000" w:themeColor="text1"/>
        </w:rPr>
      </w:pPr>
      <w:r w:rsidRPr="00427625">
        <w:rPr>
          <w:rFonts w:eastAsia="Calibri"/>
          <w:color w:val="000000" w:themeColor="text1"/>
          <w:sz w:val="22"/>
          <w:szCs w:val="22"/>
        </w:rPr>
        <w:t xml:space="preserve">The education findings contradicted my initial hypothesis. Compared to high school graduates, Bachelor's degree holders had significantly higher odds of delaying care (OR = 1.21, p = .005), as did </w:t>
      </w:r>
      <w:proofErr w:type="gramStart"/>
      <w:r w:rsidRPr="00427625">
        <w:rPr>
          <w:rFonts w:eastAsia="Calibri"/>
          <w:color w:val="000000" w:themeColor="text1"/>
          <w:sz w:val="22"/>
          <w:szCs w:val="22"/>
        </w:rPr>
        <w:t>Master's</w:t>
      </w:r>
      <w:proofErr w:type="gramEnd"/>
      <w:r w:rsidRPr="00427625">
        <w:rPr>
          <w:rFonts w:eastAsia="Calibri"/>
          <w:color w:val="000000" w:themeColor="text1"/>
          <w:sz w:val="22"/>
          <w:szCs w:val="22"/>
        </w:rPr>
        <w:t xml:space="preserve"> degree holders (OR = 1.29, p = .002). Doctoral degree holders trended lower (OR = 0.76, p = .067), though this did not reach significance at α = 0.05. Several mechanisms could explain the counterintuitive direction: although </w:t>
      </w:r>
      <w:proofErr w:type="gramStart"/>
      <w:r w:rsidRPr="00427625">
        <w:rPr>
          <w:rFonts w:eastAsia="Calibri"/>
          <w:color w:val="000000" w:themeColor="text1"/>
          <w:sz w:val="22"/>
          <w:szCs w:val="22"/>
        </w:rPr>
        <w:t>Bachelor's and Master's</w:t>
      </w:r>
      <w:proofErr w:type="gramEnd"/>
      <w:r w:rsidRPr="00427625">
        <w:rPr>
          <w:rFonts w:eastAsia="Calibri"/>
          <w:color w:val="000000" w:themeColor="text1"/>
          <w:sz w:val="22"/>
          <w:szCs w:val="22"/>
        </w:rPr>
        <w:t xml:space="preserve"> degrees carry higher earning potential, degree holders may face financial demands such as student loans that create cost barriers, and higher-paying jobs often impose time constraints that make it harder to seek care when needed.</w:t>
      </w:r>
    </w:p>
    <w:p w14:paraId="34972645" w14:textId="77777777" w:rsidR="001F7DE8" w:rsidRPr="00427625" w:rsidRDefault="00000000">
      <w:pPr>
        <w:pStyle w:val="Heading1"/>
        <w:spacing w:before="280" w:after="140"/>
        <w:rPr>
          <w:rFonts w:ascii="Times New Roman" w:hAnsi="Times New Roman" w:cs="Times New Roman"/>
          <w:color w:val="000000" w:themeColor="text1"/>
        </w:rPr>
      </w:pPr>
      <w:r w:rsidRPr="00427625">
        <w:rPr>
          <w:rFonts w:ascii="Times New Roman" w:hAnsi="Times New Roman" w:cs="Times New Roman"/>
          <w:color w:val="000000" w:themeColor="text1"/>
        </w:rPr>
        <w:t>Policy Implications</w:t>
      </w:r>
    </w:p>
    <w:p w14:paraId="25A3EFD9" w14:textId="77777777" w:rsidR="001F7DE8" w:rsidRPr="00427625" w:rsidRDefault="00000000">
      <w:pPr>
        <w:spacing w:after="160" w:line="276" w:lineRule="auto"/>
        <w:rPr>
          <w:color w:val="000000" w:themeColor="text1"/>
        </w:rPr>
      </w:pPr>
      <w:r w:rsidRPr="00427625">
        <w:rPr>
          <w:rFonts w:eastAsia="Calibri"/>
          <w:color w:val="000000" w:themeColor="text1"/>
          <w:sz w:val="22"/>
          <w:szCs w:val="22"/>
        </w:rPr>
        <w:lastRenderedPageBreak/>
        <w:t>Because insurance coverage is the dominant predictor of delayed care, the results support policies that expand insurance coverage — for example, Medicaid expansion or universal coverage models — as the most direct way to reduce cost-related care delays. And because adjusted racial differences largely disappear once insurance is controlled for, closing insurance gaps may also reduce racial inequities in healthcare access.</w:t>
      </w:r>
    </w:p>
    <w:p w14:paraId="1D3515F3" w14:textId="77777777" w:rsidR="001F7DE8" w:rsidRPr="00427625" w:rsidRDefault="00000000">
      <w:pPr>
        <w:pStyle w:val="Heading1"/>
        <w:spacing w:before="280" w:after="140"/>
        <w:rPr>
          <w:rFonts w:ascii="Times New Roman" w:hAnsi="Times New Roman" w:cs="Times New Roman"/>
          <w:color w:val="000000" w:themeColor="text1"/>
        </w:rPr>
      </w:pPr>
      <w:r w:rsidRPr="00427625">
        <w:rPr>
          <w:rFonts w:ascii="Times New Roman" w:hAnsi="Times New Roman" w:cs="Times New Roman"/>
          <w:color w:val="000000" w:themeColor="text1"/>
        </w:rPr>
        <w:t>Future Directions</w:t>
      </w:r>
    </w:p>
    <w:p w14:paraId="1897D502" w14:textId="77777777" w:rsidR="001F7DE8" w:rsidRPr="00427625" w:rsidRDefault="00000000">
      <w:pPr>
        <w:spacing w:after="160" w:line="276" w:lineRule="auto"/>
        <w:rPr>
          <w:color w:val="000000" w:themeColor="text1"/>
        </w:rPr>
      </w:pPr>
      <w:r w:rsidRPr="00427625">
        <w:rPr>
          <w:rFonts w:eastAsia="Calibri"/>
          <w:color w:val="000000" w:themeColor="text1"/>
          <w:sz w:val="22"/>
          <w:szCs w:val="22"/>
        </w:rPr>
        <w:t>Several methodological improvements could deepen this analysis. Future models should incorporate additional socioeconomic variables such as income, employment status, geography, and insurance type (e.g., Medicaid vs. Medicare vs. private coverage). Applying NHIS survey weights and design variables would make estimates representative of the U.S. adult population rather than the analytic sample.</w:t>
      </w:r>
    </w:p>
    <w:p w14:paraId="13D37D61" w14:textId="77777777" w:rsidR="001F7DE8" w:rsidRPr="00427625" w:rsidRDefault="00000000">
      <w:pPr>
        <w:spacing w:after="160" w:line="276" w:lineRule="auto"/>
        <w:rPr>
          <w:color w:val="000000" w:themeColor="text1"/>
        </w:rPr>
      </w:pPr>
      <w:r w:rsidRPr="00427625">
        <w:rPr>
          <w:rFonts w:eastAsia="Calibri"/>
          <w:color w:val="000000" w:themeColor="text1"/>
          <w:sz w:val="22"/>
          <w:szCs w:val="22"/>
        </w:rPr>
        <w:t xml:space="preserve">The education findings in particular warrant follow-up: understanding why adults with higher degrees show higher adjusted odds of delaying care would benefit from adding employment status and job type (full-time, part-time, self-employed) to clarify time and cost constraints facing educated professionals. Geographic variables such as urbanicity and state Medicaid expansion status </w:t>
      </w:r>
      <w:proofErr w:type="gramStart"/>
      <w:r w:rsidRPr="00427625">
        <w:rPr>
          <w:rFonts w:eastAsia="Calibri"/>
          <w:color w:val="000000" w:themeColor="text1"/>
          <w:sz w:val="22"/>
          <w:szCs w:val="22"/>
        </w:rPr>
        <w:t>would illuminate</w:t>
      </w:r>
      <w:proofErr w:type="gramEnd"/>
      <w:r w:rsidRPr="00427625">
        <w:rPr>
          <w:rFonts w:eastAsia="Calibri"/>
          <w:color w:val="000000" w:themeColor="text1"/>
          <w:sz w:val="22"/>
          <w:szCs w:val="22"/>
        </w:rPr>
        <w:t xml:space="preserve"> how healthcare infrastructure and policy environments shape access across regions.</w:t>
      </w:r>
    </w:p>
    <w:p w14:paraId="337DA8F0" w14:textId="77777777" w:rsidR="001F7DE8" w:rsidRPr="00427625" w:rsidRDefault="00000000">
      <w:pPr>
        <w:spacing w:after="160" w:line="276" w:lineRule="auto"/>
        <w:rPr>
          <w:color w:val="000000" w:themeColor="text1"/>
        </w:rPr>
      </w:pPr>
      <w:r w:rsidRPr="00427625">
        <w:rPr>
          <w:rFonts w:eastAsia="Calibri"/>
          <w:color w:val="000000" w:themeColor="text1"/>
          <w:sz w:val="22"/>
          <w:szCs w:val="22"/>
        </w:rPr>
        <w:t xml:space="preserve">Rather than relying solely on self-reported delays, </w:t>
      </w:r>
      <w:proofErr w:type="gramStart"/>
      <w:r w:rsidRPr="00427625">
        <w:rPr>
          <w:rFonts w:eastAsia="Calibri"/>
          <w:color w:val="000000" w:themeColor="text1"/>
          <w:sz w:val="22"/>
          <w:szCs w:val="22"/>
        </w:rPr>
        <w:t>a next</w:t>
      </w:r>
      <w:proofErr w:type="gramEnd"/>
      <w:r w:rsidRPr="00427625">
        <w:rPr>
          <w:rFonts w:eastAsia="Calibri"/>
          <w:color w:val="000000" w:themeColor="text1"/>
          <w:sz w:val="22"/>
          <w:szCs w:val="22"/>
        </w:rPr>
        <w:t xml:space="preserve"> iteration could incorporate administrative claims data. The Medical Expenditure Panel Survey, for example, combines household interviews with insurance claims, capturing actual healthcare spending and out-of-pocket costs; objective utilization measures would reduce reporting bias and support analysis of the downstream consequences of delayed care. Interaction terms could test whether insurance effects differ by race or education (the current model assumes independent effects), and an inequality index could quantify how delayed care scales across the full income or education distribution rather than comparing discrete groups. Finally, qualitative interviews would help explain the mechanisms behind the quantitative patterns.</w:t>
      </w:r>
    </w:p>
    <w:p w14:paraId="76C6C997" w14:textId="77777777" w:rsidR="001F7DE8" w:rsidRPr="00427625" w:rsidRDefault="00000000">
      <w:pPr>
        <w:pStyle w:val="Heading1"/>
        <w:spacing w:before="280" w:after="140"/>
        <w:rPr>
          <w:rFonts w:ascii="Times New Roman" w:hAnsi="Times New Roman" w:cs="Times New Roman"/>
          <w:color w:val="000000" w:themeColor="text1"/>
        </w:rPr>
      </w:pPr>
      <w:r w:rsidRPr="00427625">
        <w:rPr>
          <w:rFonts w:ascii="Times New Roman" w:hAnsi="Times New Roman" w:cs="Times New Roman"/>
          <w:color w:val="000000" w:themeColor="text1"/>
        </w:rPr>
        <w:t>References</w:t>
      </w:r>
    </w:p>
    <w:p w14:paraId="43308DDB" w14:textId="77777777" w:rsidR="001F7DE8" w:rsidRPr="00427625" w:rsidRDefault="00000000">
      <w:pPr>
        <w:spacing w:after="160" w:line="276" w:lineRule="auto"/>
        <w:rPr>
          <w:color w:val="000000" w:themeColor="text1"/>
        </w:rPr>
      </w:pPr>
      <w:r w:rsidRPr="00427625">
        <w:rPr>
          <w:rFonts w:eastAsia="Calibri"/>
          <w:color w:val="000000" w:themeColor="text1"/>
          <w:sz w:val="22"/>
          <w:szCs w:val="22"/>
        </w:rPr>
        <w:t>KFF. 2025. “Americans' Challenges with Health Care Costs.” KFF, July 11. https://www.kff.org/health-costs/americans-challenges-with-health-care-costs/.</w:t>
      </w:r>
    </w:p>
    <w:p w14:paraId="38BEE8E5" w14:textId="77777777" w:rsidR="001F7DE8" w:rsidRPr="00427625" w:rsidRDefault="00000000">
      <w:pPr>
        <w:spacing w:after="160" w:line="276" w:lineRule="auto"/>
        <w:rPr>
          <w:color w:val="000000" w:themeColor="text1"/>
        </w:rPr>
      </w:pPr>
      <w:r w:rsidRPr="00427625">
        <w:rPr>
          <w:rFonts w:eastAsia="Calibri"/>
          <w:color w:val="000000" w:themeColor="text1"/>
          <w:sz w:val="22"/>
          <w:szCs w:val="22"/>
        </w:rPr>
        <w:t xml:space="preserve">KFF. 2022. “Health Care Debt </w:t>
      </w:r>
      <w:proofErr w:type="gramStart"/>
      <w:r w:rsidRPr="00427625">
        <w:rPr>
          <w:rFonts w:eastAsia="Calibri"/>
          <w:color w:val="000000" w:themeColor="text1"/>
          <w:sz w:val="22"/>
          <w:szCs w:val="22"/>
        </w:rPr>
        <w:t>In</w:t>
      </w:r>
      <w:proofErr w:type="gramEnd"/>
      <w:r w:rsidRPr="00427625">
        <w:rPr>
          <w:rFonts w:eastAsia="Calibri"/>
          <w:color w:val="000000" w:themeColor="text1"/>
          <w:sz w:val="22"/>
          <w:szCs w:val="22"/>
        </w:rPr>
        <w:t xml:space="preserve"> </w:t>
      </w:r>
      <w:proofErr w:type="gramStart"/>
      <w:r w:rsidRPr="00427625">
        <w:rPr>
          <w:rFonts w:eastAsia="Calibri"/>
          <w:color w:val="000000" w:themeColor="text1"/>
          <w:sz w:val="22"/>
          <w:szCs w:val="22"/>
        </w:rPr>
        <w:t>The</w:t>
      </w:r>
      <w:proofErr w:type="gramEnd"/>
      <w:r w:rsidRPr="00427625">
        <w:rPr>
          <w:rFonts w:eastAsia="Calibri"/>
          <w:color w:val="000000" w:themeColor="text1"/>
          <w:sz w:val="22"/>
          <w:szCs w:val="22"/>
        </w:rPr>
        <w:t xml:space="preserve"> U.S.: The Broad Consequences </w:t>
      </w:r>
      <w:proofErr w:type="gramStart"/>
      <w:r w:rsidRPr="00427625">
        <w:rPr>
          <w:rFonts w:eastAsia="Calibri"/>
          <w:color w:val="000000" w:themeColor="text1"/>
          <w:sz w:val="22"/>
          <w:szCs w:val="22"/>
        </w:rPr>
        <w:t>Of</w:t>
      </w:r>
      <w:proofErr w:type="gramEnd"/>
      <w:r w:rsidRPr="00427625">
        <w:rPr>
          <w:rFonts w:eastAsia="Calibri"/>
          <w:color w:val="000000" w:themeColor="text1"/>
          <w:sz w:val="22"/>
          <w:szCs w:val="22"/>
        </w:rPr>
        <w:t xml:space="preserve"> Medical </w:t>
      </w:r>
      <w:proofErr w:type="gramStart"/>
      <w:r w:rsidRPr="00427625">
        <w:rPr>
          <w:rFonts w:eastAsia="Calibri"/>
          <w:color w:val="000000" w:themeColor="text1"/>
          <w:sz w:val="22"/>
          <w:szCs w:val="22"/>
        </w:rPr>
        <w:t>And</w:t>
      </w:r>
      <w:proofErr w:type="gramEnd"/>
      <w:r w:rsidRPr="00427625">
        <w:rPr>
          <w:rFonts w:eastAsia="Calibri"/>
          <w:color w:val="000000" w:themeColor="text1"/>
          <w:sz w:val="22"/>
          <w:szCs w:val="22"/>
        </w:rPr>
        <w:t xml:space="preserve"> Dental Bills.” KFF, June 16. https://www.kff.org/health-costs/kff-health-care-debt-survey/.</w:t>
      </w:r>
    </w:p>
    <w:p w14:paraId="0EF966F8" w14:textId="77777777" w:rsidR="001F7DE8" w:rsidRPr="00427625" w:rsidRDefault="00000000">
      <w:pPr>
        <w:spacing w:after="160" w:line="276" w:lineRule="auto"/>
        <w:rPr>
          <w:color w:val="000000" w:themeColor="text1"/>
        </w:rPr>
      </w:pPr>
      <w:r w:rsidRPr="00427625">
        <w:rPr>
          <w:rFonts w:eastAsia="Calibri"/>
          <w:color w:val="000000" w:themeColor="text1"/>
          <w:sz w:val="22"/>
          <w:szCs w:val="22"/>
        </w:rPr>
        <w:t>Powell-Griner, Eve. “History of the National Health Interview Survey.” Section on Health Policy Statistics. http://www.asasrms.org/Proceedings/y2007/Files/JSM2007-000281.pdf.</w:t>
      </w:r>
    </w:p>
    <w:p w14:paraId="10F00067" w14:textId="77777777" w:rsidR="001F7DE8" w:rsidRPr="00427625" w:rsidRDefault="00000000">
      <w:pPr>
        <w:spacing w:after="160" w:line="276" w:lineRule="auto"/>
        <w:rPr>
          <w:color w:val="000000" w:themeColor="text1"/>
        </w:rPr>
      </w:pPr>
      <w:r w:rsidRPr="00427625">
        <w:rPr>
          <w:rFonts w:eastAsia="Calibri"/>
          <w:color w:val="000000" w:themeColor="text1"/>
          <w:sz w:val="22"/>
          <w:szCs w:val="22"/>
        </w:rPr>
        <w:t>National Health Interview Survey (NHIS). 2024. “Codebook for Sample Adult File.” Division of Health Interview Statistics. https://ftp.cdc.gov/pub/Health_Statistics/NCHS/Dataset_Documentation/NHIS/2024/adult-codebook.pdf.</w:t>
      </w:r>
    </w:p>
    <w:p w14:paraId="624C2DC2" w14:textId="77777777" w:rsidR="001F7DE8" w:rsidRPr="00427625" w:rsidRDefault="00000000">
      <w:pPr>
        <w:spacing w:after="160" w:line="276" w:lineRule="auto"/>
        <w:rPr>
          <w:color w:val="000000" w:themeColor="text1"/>
        </w:rPr>
      </w:pPr>
      <w:r w:rsidRPr="00427625">
        <w:rPr>
          <w:rFonts w:eastAsia="Calibri"/>
          <w:color w:val="000000" w:themeColor="text1"/>
          <w:sz w:val="22"/>
          <w:szCs w:val="22"/>
        </w:rPr>
        <w:t>National Health Interview Survey (NHIS). 2024. “Survey Description.” Division of Health Interview Statistics. https://ftp.cdc.gov/pub/Health_Statistics/NCHS/Dataset_Documentation/NHIS/2024/srvydesc-508.pdf.</w:t>
      </w:r>
    </w:p>
    <w:sectPr w:rsidR="001F7DE8" w:rsidRPr="0042762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D5057"/>
    <w:multiLevelType w:val="hybridMultilevel"/>
    <w:tmpl w:val="ACD269DE"/>
    <w:lvl w:ilvl="0" w:tplc="0808852C">
      <w:start w:val="1"/>
      <w:numFmt w:val="bullet"/>
      <w:lvlText w:val="•"/>
      <w:lvlJc w:val="left"/>
      <w:pPr>
        <w:ind w:left="720" w:hanging="360"/>
      </w:pPr>
    </w:lvl>
    <w:lvl w:ilvl="1" w:tplc="73C4B19E">
      <w:numFmt w:val="decimal"/>
      <w:lvlText w:val=""/>
      <w:lvlJc w:val="left"/>
    </w:lvl>
    <w:lvl w:ilvl="2" w:tplc="AD926776">
      <w:numFmt w:val="decimal"/>
      <w:lvlText w:val=""/>
      <w:lvlJc w:val="left"/>
    </w:lvl>
    <w:lvl w:ilvl="3" w:tplc="AD88AA8C">
      <w:numFmt w:val="decimal"/>
      <w:lvlText w:val=""/>
      <w:lvlJc w:val="left"/>
    </w:lvl>
    <w:lvl w:ilvl="4" w:tplc="55B6B162">
      <w:numFmt w:val="decimal"/>
      <w:lvlText w:val=""/>
      <w:lvlJc w:val="left"/>
    </w:lvl>
    <w:lvl w:ilvl="5" w:tplc="9D3C854C">
      <w:numFmt w:val="decimal"/>
      <w:lvlText w:val=""/>
      <w:lvlJc w:val="left"/>
    </w:lvl>
    <w:lvl w:ilvl="6" w:tplc="4F5C0CAC">
      <w:numFmt w:val="decimal"/>
      <w:lvlText w:val=""/>
      <w:lvlJc w:val="left"/>
    </w:lvl>
    <w:lvl w:ilvl="7" w:tplc="72745A28">
      <w:numFmt w:val="decimal"/>
      <w:lvlText w:val=""/>
      <w:lvlJc w:val="left"/>
    </w:lvl>
    <w:lvl w:ilvl="8" w:tplc="029C75D6">
      <w:numFmt w:val="decimal"/>
      <w:lvlText w:val=""/>
      <w:lvlJc w:val="left"/>
    </w:lvl>
  </w:abstractNum>
  <w:abstractNum w:abstractNumId="1" w15:restartNumberingAfterBreak="0">
    <w:nsid w:val="6FC11C6E"/>
    <w:multiLevelType w:val="hybridMultilevel"/>
    <w:tmpl w:val="E2E4F1FE"/>
    <w:lvl w:ilvl="0" w:tplc="489AB998">
      <w:start w:val="1"/>
      <w:numFmt w:val="bullet"/>
      <w:lvlText w:val="●"/>
      <w:lvlJc w:val="left"/>
      <w:pPr>
        <w:ind w:left="720" w:hanging="360"/>
      </w:pPr>
    </w:lvl>
    <w:lvl w:ilvl="1" w:tplc="A116486E">
      <w:start w:val="1"/>
      <w:numFmt w:val="bullet"/>
      <w:lvlText w:val="○"/>
      <w:lvlJc w:val="left"/>
      <w:pPr>
        <w:ind w:left="1440" w:hanging="360"/>
      </w:pPr>
    </w:lvl>
    <w:lvl w:ilvl="2" w:tplc="2124B2B6">
      <w:start w:val="1"/>
      <w:numFmt w:val="bullet"/>
      <w:lvlText w:val="■"/>
      <w:lvlJc w:val="left"/>
      <w:pPr>
        <w:ind w:left="2160" w:hanging="360"/>
      </w:pPr>
    </w:lvl>
    <w:lvl w:ilvl="3" w:tplc="627CA0C0">
      <w:start w:val="1"/>
      <w:numFmt w:val="bullet"/>
      <w:lvlText w:val="●"/>
      <w:lvlJc w:val="left"/>
      <w:pPr>
        <w:ind w:left="2880" w:hanging="360"/>
      </w:pPr>
    </w:lvl>
    <w:lvl w:ilvl="4" w:tplc="943AFAB2">
      <w:start w:val="1"/>
      <w:numFmt w:val="bullet"/>
      <w:lvlText w:val="○"/>
      <w:lvlJc w:val="left"/>
      <w:pPr>
        <w:ind w:left="3600" w:hanging="360"/>
      </w:pPr>
    </w:lvl>
    <w:lvl w:ilvl="5" w:tplc="0652CA6A">
      <w:start w:val="1"/>
      <w:numFmt w:val="bullet"/>
      <w:lvlText w:val="■"/>
      <w:lvlJc w:val="left"/>
      <w:pPr>
        <w:ind w:left="4320" w:hanging="360"/>
      </w:pPr>
    </w:lvl>
    <w:lvl w:ilvl="6" w:tplc="E86E6FB2">
      <w:start w:val="1"/>
      <w:numFmt w:val="bullet"/>
      <w:lvlText w:val="●"/>
      <w:lvlJc w:val="left"/>
      <w:pPr>
        <w:ind w:left="5040" w:hanging="360"/>
      </w:pPr>
    </w:lvl>
    <w:lvl w:ilvl="7" w:tplc="9E802FE2">
      <w:start w:val="1"/>
      <w:numFmt w:val="bullet"/>
      <w:lvlText w:val="●"/>
      <w:lvlJc w:val="left"/>
      <w:pPr>
        <w:ind w:left="5760" w:hanging="360"/>
      </w:pPr>
    </w:lvl>
    <w:lvl w:ilvl="8" w:tplc="7EC00BE4">
      <w:start w:val="1"/>
      <w:numFmt w:val="bullet"/>
      <w:lvlText w:val="●"/>
      <w:lvlJc w:val="left"/>
      <w:pPr>
        <w:ind w:left="6480" w:hanging="360"/>
      </w:pPr>
    </w:lvl>
  </w:abstractNum>
  <w:num w:numId="1" w16cid:durableId="1330660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DE8"/>
    <w:rsid w:val="001F7DE8"/>
    <w:rsid w:val="00427625"/>
    <w:rsid w:val="004D2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0EB2A"/>
  <w15:docId w15:val="{2A0DA05F-D415-4C91-8D94-707C81C3E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libri" w:eastAsia="Calibri" w:hAnsi="Calibri" w:cs="Calibri"/>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3132</Words>
  <Characters>17854</Characters>
  <Application>Microsoft Office Word</Application>
  <DocSecurity>0</DocSecurity>
  <Lines>148</Lines>
  <Paragraphs>41</Paragraphs>
  <ScaleCrop>false</ScaleCrop>
  <Company/>
  <LinksUpToDate>false</LinksUpToDate>
  <CharactersWithSpaces>20945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Nandita Kannapadi</cp:lastModifiedBy>
  <cp:revision>2</cp:revision>
  <dcterms:created xsi:type="dcterms:W3CDTF">2026-07-20T01:47:00Z</dcterms:created>
  <dcterms:modified xsi:type="dcterms:W3CDTF">2026-07-20T01:47:00Z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e399c474-0045-430e-bd6d-34d8cc6d464b</vt:lpwstr>
  </property>
</Properties>
</file>