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57140069"/>
        <w:docPartObj>
          <w:docPartGallery w:val="Cover Pages"/>
          <w:docPartUnique/>
        </w:docPartObj>
      </w:sdtPr>
      <w:sdtContent>
        <w:p w14:paraId="29BD9C1C" w14:textId="2A4EC877" w:rsidR="00007732" w:rsidRDefault="00007732">
          <w:r>
            <w:rPr>
              <w:noProof/>
            </w:rPr>
            <mc:AlternateContent>
              <mc:Choice Requires="wpg">
                <w:drawing>
                  <wp:anchor distT="0" distB="0" distL="114300" distR="114300" simplePos="0" relativeHeight="251662336" behindDoc="0" locked="0" layoutInCell="1" allowOverlap="1" wp14:anchorId="6A1AAE7E" wp14:editId="1CA50D30">
                    <wp:simplePos x="0" y="0"/>
                    <wp:positionH relativeFrom="page">
                      <wp:align>center</wp:align>
                    </wp:positionH>
                    <mc:AlternateContent>
                      <mc:Choice Requires="wp14">
                        <wp:positionV relativeFrom="page">
                          <wp14:pctPosVOffset>2300</wp14:pctPosVOffset>
                        </wp:positionV>
                      </mc:Choice>
                      <mc:Fallback>
                        <wp:positionV relativeFrom="page">
                          <wp:posOffset>173355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67A877D"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2F7B61E" wp14:editId="741261E8">
                    <wp:simplePos x="0" y="0"/>
                    <wp:positionH relativeFrom="page">
                      <wp:align>center</wp:align>
                    </wp:positionH>
                    <mc:AlternateContent>
                      <mc:Choice Requires="wp14">
                        <wp:positionV relativeFrom="page">
                          <wp14:pctPosVOffset>81800</wp14:pctPosVOffset>
                        </wp:positionV>
                      </mc:Choice>
                      <mc:Fallback>
                        <wp:positionV relativeFrom="page">
                          <wp:posOffset>6184265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FC0EDE9" w14:textId="5DD1346F" w:rsidR="00007732" w:rsidRDefault="00CC303C" w:rsidP="00CC303C">
                                    <w:pPr>
                                      <w:pStyle w:val="NoSpacing"/>
                                      <w:jc w:val="center"/>
                                      <w:rPr>
                                        <w:color w:val="595959" w:themeColor="text1" w:themeTint="A6"/>
                                        <w:sz w:val="28"/>
                                        <w:szCs w:val="28"/>
                                      </w:rPr>
                                    </w:pPr>
                                    <w:r>
                                      <w:rPr>
                                        <w:color w:val="595959" w:themeColor="text1" w:themeTint="A6"/>
                                        <w:sz w:val="28"/>
                                        <w:szCs w:val="28"/>
                                      </w:rPr>
                                      <w:t>OUEDRAOGO Regis</w:t>
                                    </w:r>
                                  </w:p>
                                </w:sdtContent>
                              </w:sdt>
                              <w:p w14:paraId="7773CFFE" w14:textId="4240AA1B" w:rsidR="00007732" w:rsidRDefault="00007732" w:rsidP="00CC303C">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CC303C">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2F7B61E"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FC0EDE9" w14:textId="5DD1346F" w:rsidR="00007732" w:rsidRDefault="00CC303C" w:rsidP="00CC303C">
                              <w:pPr>
                                <w:pStyle w:val="NoSpacing"/>
                                <w:jc w:val="center"/>
                                <w:rPr>
                                  <w:color w:val="595959" w:themeColor="text1" w:themeTint="A6"/>
                                  <w:sz w:val="28"/>
                                  <w:szCs w:val="28"/>
                                </w:rPr>
                              </w:pPr>
                              <w:r>
                                <w:rPr>
                                  <w:color w:val="595959" w:themeColor="text1" w:themeTint="A6"/>
                                  <w:sz w:val="28"/>
                                  <w:szCs w:val="28"/>
                                </w:rPr>
                                <w:t>OUEDRAOGO Regis</w:t>
                              </w:r>
                            </w:p>
                          </w:sdtContent>
                        </w:sdt>
                        <w:p w14:paraId="7773CFFE" w14:textId="4240AA1B" w:rsidR="00007732" w:rsidRDefault="00007732" w:rsidP="00CC303C">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CC303C">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042E64B" wp14:editId="218969BE">
                    <wp:simplePos x="0" y="0"/>
                    <wp:positionH relativeFrom="page">
                      <wp:align>center</wp:align>
                    </wp:positionH>
                    <mc:AlternateContent>
                      <mc:Choice Requires="wp14">
                        <wp:positionV relativeFrom="page">
                          <wp14:pctPosVOffset>70000</wp14:pctPosVOffset>
                        </wp:positionV>
                      </mc:Choice>
                      <mc:Fallback>
                        <wp:positionV relativeFrom="page">
                          <wp:posOffset>5292090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538B10" w14:textId="49E65299" w:rsidR="00007732" w:rsidRDefault="00007732">
                                <w:pPr>
                                  <w:pStyle w:val="NoSpacing"/>
                                  <w:jc w:val="right"/>
                                  <w:rPr>
                                    <w:color w:val="4472C4" w:themeColor="accent1"/>
                                    <w:sz w:val="28"/>
                                    <w:szCs w:val="28"/>
                                  </w:rPr>
                                </w:pPr>
                                <w:r>
                                  <w:rPr>
                                    <w:color w:val="4472C4" w:themeColor="accent1"/>
                                    <w:sz w:val="28"/>
                                    <w:szCs w:val="28"/>
                                  </w:rPr>
                                  <w:t>Industrial software eng</w:t>
                                </w:r>
                                <w:r w:rsidR="00CC303C">
                                  <w:rPr>
                                    <w:color w:val="4472C4" w:themeColor="accent1"/>
                                    <w:sz w:val="28"/>
                                    <w:szCs w:val="28"/>
                                  </w:rPr>
                                  <w:t>ineering</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3C0ACA44" w14:textId="3C900B6F" w:rsidR="00007732" w:rsidRDefault="00CC303C">
                                    <w:pPr>
                                      <w:pStyle w:val="NoSpacing"/>
                                      <w:jc w:val="right"/>
                                      <w:rPr>
                                        <w:color w:val="595959" w:themeColor="text1" w:themeTint="A6"/>
                                        <w:sz w:val="20"/>
                                        <w:szCs w:val="20"/>
                                      </w:rPr>
                                    </w:pPr>
                                    <w:proofErr w:type="spellStart"/>
                                    <w:r>
                                      <w:rPr>
                                        <w:color w:val="595959" w:themeColor="text1" w:themeTint="A6"/>
                                        <w:sz w:val="20"/>
                                        <w:szCs w:val="20"/>
                                      </w:rPr>
                                      <w:t>Lv</w:t>
                                    </w:r>
                                    <w:proofErr w:type="spellEnd"/>
                                    <w:r>
                                      <w:rPr>
                                        <w:color w:val="595959" w:themeColor="text1" w:themeTint="A6"/>
                                        <w:sz w:val="20"/>
                                        <w:szCs w:val="20"/>
                                      </w:rPr>
                                      <w:t xml:space="preserve"> 300</w:t>
                                    </w:r>
                                    <w:r>
                                      <w:rPr>
                                        <w:color w:val="595959" w:themeColor="text1" w:themeTint="A6"/>
                                        <w:sz w:val="20"/>
                                        <w:szCs w:val="20"/>
                                      </w:rPr>
                                      <w:br/>
                                      <w:t>PUIS/23210016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042E64B"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4C538B10" w14:textId="49E65299" w:rsidR="00007732" w:rsidRDefault="00007732">
                          <w:pPr>
                            <w:pStyle w:val="NoSpacing"/>
                            <w:jc w:val="right"/>
                            <w:rPr>
                              <w:color w:val="4472C4" w:themeColor="accent1"/>
                              <w:sz w:val="28"/>
                              <w:szCs w:val="28"/>
                            </w:rPr>
                          </w:pPr>
                          <w:r>
                            <w:rPr>
                              <w:color w:val="4472C4" w:themeColor="accent1"/>
                              <w:sz w:val="28"/>
                              <w:szCs w:val="28"/>
                            </w:rPr>
                            <w:t>Industrial software eng</w:t>
                          </w:r>
                          <w:r w:rsidR="00CC303C">
                            <w:rPr>
                              <w:color w:val="4472C4" w:themeColor="accent1"/>
                              <w:sz w:val="28"/>
                              <w:szCs w:val="28"/>
                            </w:rPr>
                            <w:t>ineering</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3C0ACA44" w14:textId="3C900B6F" w:rsidR="00007732" w:rsidRDefault="00CC303C">
                              <w:pPr>
                                <w:pStyle w:val="NoSpacing"/>
                                <w:jc w:val="right"/>
                                <w:rPr>
                                  <w:color w:val="595959" w:themeColor="text1" w:themeTint="A6"/>
                                  <w:sz w:val="20"/>
                                  <w:szCs w:val="20"/>
                                </w:rPr>
                              </w:pPr>
                              <w:proofErr w:type="spellStart"/>
                              <w:r>
                                <w:rPr>
                                  <w:color w:val="595959" w:themeColor="text1" w:themeTint="A6"/>
                                  <w:sz w:val="20"/>
                                  <w:szCs w:val="20"/>
                                </w:rPr>
                                <w:t>Lv</w:t>
                              </w:r>
                              <w:proofErr w:type="spellEnd"/>
                              <w:r>
                                <w:rPr>
                                  <w:color w:val="595959" w:themeColor="text1" w:themeTint="A6"/>
                                  <w:sz w:val="20"/>
                                  <w:szCs w:val="20"/>
                                </w:rPr>
                                <w:t xml:space="preserve"> 300</w:t>
                              </w:r>
                              <w:r>
                                <w:rPr>
                                  <w:color w:val="595959" w:themeColor="text1" w:themeTint="A6"/>
                                  <w:sz w:val="20"/>
                                  <w:szCs w:val="20"/>
                                </w:rPr>
                                <w:br/>
                                <w:t>PUIS/23210016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FAA7518" wp14:editId="395ADE21">
                    <wp:simplePos x="0" y="0"/>
                    <wp:positionH relativeFrom="page">
                      <wp:align>center</wp:align>
                    </wp:positionH>
                    <mc:AlternateContent>
                      <mc:Choice Requires="wp14">
                        <wp:positionV relativeFrom="page">
                          <wp14:pctPosVOffset>30000</wp14:pctPosVOffset>
                        </wp:positionV>
                      </mc:Choice>
                      <mc:Fallback>
                        <wp:positionV relativeFrom="page">
                          <wp:posOffset>2267585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40A60D" w14:textId="64313F8F" w:rsidR="00007732" w:rsidRDefault="00007732">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 xml:space="preserve">Research method </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E2EFC4A" w14:textId="037EF345" w:rsidR="00007732" w:rsidRDefault="00007732">
                                    <w:pPr>
                                      <w:jc w:val="right"/>
                                      <w:rPr>
                                        <w:smallCaps/>
                                        <w:color w:val="404040" w:themeColor="text1" w:themeTint="BF"/>
                                        <w:sz w:val="36"/>
                                        <w:szCs w:val="36"/>
                                      </w:rPr>
                                    </w:pPr>
                                    <w:proofErr w:type="spellStart"/>
                                    <w:r>
                                      <w:rPr>
                                        <w:color w:val="404040" w:themeColor="text1" w:themeTint="BF"/>
                                        <w:sz w:val="36"/>
                                        <w:szCs w:val="36"/>
                                      </w:rPr>
                                      <w:t>assignement</w:t>
                                    </w:r>
                                    <w:proofErr w:type="spellEnd"/>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FAA7518"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F40A60D" w14:textId="64313F8F" w:rsidR="00007732" w:rsidRDefault="00007732">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 xml:space="preserve">Research method </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E2EFC4A" w14:textId="037EF345" w:rsidR="00007732" w:rsidRDefault="00007732">
                              <w:pPr>
                                <w:jc w:val="right"/>
                                <w:rPr>
                                  <w:smallCaps/>
                                  <w:color w:val="404040" w:themeColor="text1" w:themeTint="BF"/>
                                  <w:sz w:val="36"/>
                                  <w:szCs w:val="36"/>
                                </w:rPr>
                              </w:pPr>
                              <w:proofErr w:type="spellStart"/>
                              <w:r>
                                <w:rPr>
                                  <w:color w:val="404040" w:themeColor="text1" w:themeTint="BF"/>
                                  <w:sz w:val="36"/>
                                  <w:szCs w:val="36"/>
                                </w:rPr>
                                <w:t>assignement</w:t>
                              </w:r>
                              <w:proofErr w:type="spellEnd"/>
                            </w:p>
                          </w:sdtContent>
                        </w:sdt>
                      </w:txbxContent>
                    </v:textbox>
                    <w10:wrap type="square" anchorx="page" anchory="page"/>
                  </v:shape>
                </w:pict>
              </mc:Fallback>
            </mc:AlternateContent>
          </w:r>
        </w:p>
        <w:p w14:paraId="644F17A0" w14:textId="27A61F0B" w:rsidR="00007732" w:rsidRDefault="00007732">
          <w:r>
            <w:br w:type="page"/>
          </w:r>
        </w:p>
      </w:sdtContent>
    </w:sdt>
    <w:p w14:paraId="425F58B5" w14:textId="77777777" w:rsidR="00007732" w:rsidRDefault="00007732"/>
    <w:tbl>
      <w:tblPr>
        <w:tblStyle w:val="TableGrid"/>
        <w:tblW w:w="0" w:type="auto"/>
        <w:tblLook w:val="04A0" w:firstRow="1" w:lastRow="0" w:firstColumn="1" w:lastColumn="0" w:noHBand="0" w:noVBand="1"/>
      </w:tblPr>
      <w:tblGrid>
        <w:gridCol w:w="529"/>
        <w:gridCol w:w="1551"/>
        <w:gridCol w:w="1631"/>
        <w:gridCol w:w="1999"/>
        <w:gridCol w:w="1448"/>
        <w:gridCol w:w="1763"/>
        <w:gridCol w:w="1551"/>
        <w:gridCol w:w="1712"/>
        <w:gridCol w:w="1508"/>
        <w:gridCol w:w="1696"/>
      </w:tblGrid>
      <w:tr w:rsidR="00007732" w14:paraId="01FDE7FA" w14:textId="77777777" w:rsidTr="0065490D">
        <w:tc>
          <w:tcPr>
            <w:tcW w:w="901" w:type="dxa"/>
          </w:tcPr>
          <w:p w14:paraId="03B51393" w14:textId="049AC083" w:rsidR="0065490D" w:rsidRDefault="0065490D">
            <w:pPr>
              <w:ind w:left="-14"/>
            </w:pPr>
            <w:r>
              <w:t>No.</w:t>
            </w:r>
          </w:p>
        </w:tc>
        <w:tc>
          <w:tcPr>
            <w:tcW w:w="901" w:type="dxa"/>
          </w:tcPr>
          <w:p w14:paraId="54BC96A3" w14:textId="0A290CAF" w:rsidR="0065490D" w:rsidRDefault="0065490D">
            <w:r>
              <w:t>Author(s)</w:t>
            </w:r>
          </w:p>
        </w:tc>
        <w:tc>
          <w:tcPr>
            <w:tcW w:w="901" w:type="dxa"/>
          </w:tcPr>
          <w:p w14:paraId="61EBD9CF" w14:textId="452B2526" w:rsidR="0065490D" w:rsidRDefault="0065490D">
            <w:r>
              <w:t>Research Purpose</w:t>
            </w:r>
          </w:p>
        </w:tc>
        <w:tc>
          <w:tcPr>
            <w:tcW w:w="901" w:type="dxa"/>
          </w:tcPr>
          <w:p w14:paraId="300FB7F0" w14:textId="02E4EC24" w:rsidR="0065490D" w:rsidRDefault="0065490D">
            <w:r>
              <w:t>Theory/Framework</w:t>
            </w:r>
          </w:p>
        </w:tc>
        <w:tc>
          <w:tcPr>
            <w:tcW w:w="902" w:type="dxa"/>
          </w:tcPr>
          <w:p w14:paraId="66102E94" w14:textId="737E9379" w:rsidR="0065490D" w:rsidRDefault="0065490D">
            <w:r>
              <w:t>Research Method</w:t>
            </w:r>
          </w:p>
        </w:tc>
        <w:tc>
          <w:tcPr>
            <w:tcW w:w="902" w:type="dxa"/>
          </w:tcPr>
          <w:p w14:paraId="15D7CD0B" w14:textId="5C5BD386" w:rsidR="0065490D" w:rsidRDefault="0065490D">
            <w:r>
              <w:t>Country/Context</w:t>
            </w:r>
          </w:p>
        </w:tc>
        <w:tc>
          <w:tcPr>
            <w:tcW w:w="902" w:type="dxa"/>
          </w:tcPr>
          <w:p w14:paraId="12E1DA58" w14:textId="06E7ED24" w:rsidR="0065490D" w:rsidRDefault="0065490D">
            <w:r>
              <w:t>Journal</w:t>
            </w:r>
          </w:p>
        </w:tc>
        <w:tc>
          <w:tcPr>
            <w:tcW w:w="902" w:type="dxa"/>
          </w:tcPr>
          <w:p w14:paraId="7D82100C" w14:textId="4612C3BF" w:rsidR="0065490D" w:rsidRDefault="0065490D">
            <w:r>
              <w:t>Findings</w:t>
            </w:r>
          </w:p>
        </w:tc>
        <w:tc>
          <w:tcPr>
            <w:tcW w:w="902" w:type="dxa"/>
          </w:tcPr>
          <w:p w14:paraId="01AE9167" w14:textId="11776549" w:rsidR="0065490D" w:rsidRDefault="0065490D">
            <w:r>
              <w:t>Conclusion</w:t>
            </w:r>
          </w:p>
        </w:tc>
        <w:tc>
          <w:tcPr>
            <w:tcW w:w="902" w:type="dxa"/>
          </w:tcPr>
          <w:p w14:paraId="210CC568" w14:textId="7F437293" w:rsidR="0065490D" w:rsidRDefault="0065490D">
            <w:r>
              <w:t>Research gaps</w:t>
            </w:r>
          </w:p>
        </w:tc>
      </w:tr>
      <w:tr w:rsidR="00007732" w14:paraId="5DCAD932" w14:textId="77777777" w:rsidTr="0065490D">
        <w:tc>
          <w:tcPr>
            <w:tcW w:w="901" w:type="dxa"/>
          </w:tcPr>
          <w:p w14:paraId="04B906FD" w14:textId="6699FA8D" w:rsidR="0065490D" w:rsidRDefault="0065490D">
            <w:r>
              <w:t>1</w:t>
            </w:r>
          </w:p>
        </w:tc>
        <w:tc>
          <w:tcPr>
            <w:tcW w:w="901" w:type="dxa"/>
          </w:tcPr>
          <w:p w14:paraId="494DCEFC" w14:textId="5EB7DBFF" w:rsidR="0065490D" w:rsidRDefault="00AA1BD1">
            <w:r w:rsidRPr="00AA1BD1">
              <w:t>Daniel Russo</w:t>
            </w:r>
            <w:r w:rsidR="006B035B">
              <w:t xml:space="preserve"> </w:t>
            </w:r>
            <w:r w:rsidR="00984DFF">
              <w:t>(</w:t>
            </w:r>
            <w:r w:rsidR="006B035B" w:rsidRPr="006B035B">
              <w:t>2024</w:t>
            </w:r>
            <w:r w:rsidR="00984DFF">
              <w:t>)</w:t>
            </w:r>
          </w:p>
        </w:tc>
        <w:tc>
          <w:tcPr>
            <w:tcW w:w="901" w:type="dxa"/>
          </w:tcPr>
          <w:p w14:paraId="490A776C" w14:textId="514FAA7F" w:rsidR="0065490D" w:rsidRDefault="00D66AD5">
            <w:r w:rsidRPr="00D66AD5">
              <w:t>Examines factors influencing adoption of Generative AI in software engineering</w:t>
            </w:r>
          </w:p>
        </w:tc>
        <w:tc>
          <w:tcPr>
            <w:tcW w:w="901" w:type="dxa"/>
          </w:tcPr>
          <w:p w14:paraId="31944BA4" w14:textId="6BDDE448" w:rsidR="0065490D" w:rsidRDefault="00D66AD5">
            <w:r w:rsidRPr="00D66AD5">
              <w:t>Technology Acceptance Model (TAM), Diffusion of Innovation (DOI), Social Cognitive Theory; Human-AI Collaboration and Adaptation Framework</w:t>
            </w:r>
          </w:p>
        </w:tc>
        <w:tc>
          <w:tcPr>
            <w:tcW w:w="902" w:type="dxa"/>
          </w:tcPr>
          <w:p w14:paraId="2126B184" w14:textId="4352D6A0" w:rsidR="0065490D" w:rsidRDefault="00D66AD5">
            <w:r w:rsidRPr="00D66AD5">
              <w:t>Convergent mixed-methods (survey + PLS-SEM analysis)</w:t>
            </w:r>
          </w:p>
        </w:tc>
        <w:tc>
          <w:tcPr>
            <w:tcW w:w="902" w:type="dxa"/>
          </w:tcPr>
          <w:p w14:paraId="6474CDBF" w14:textId="1A6E5B9A" w:rsidR="0065490D" w:rsidRDefault="00904515">
            <w:r>
              <w:t>global</w:t>
            </w:r>
            <w:r w:rsidR="006B035B" w:rsidRPr="006B035B">
              <w:t xml:space="preserve"> (</w:t>
            </w:r>
            <w:r w:rsidRPr="006B035B">
              <w:t>Software engineers</w:t>
            </w:r>
            <w:r w:rsidR="006B035B" w:rsidRPr="006B035B">
              <w:t>)</w:t>
            </w:r>
          </w:p>
        </w:tc>
        <w:tc>
          <w:tcPr>
            <w:tcW w:w="902" w:type="dxa"/>
          </w:tcPr>
          <w:p w14:paraId="70060C73" w14:textId="03E58E1A" w:rsidR="0065490D" w:rsidRPr="006B035B" w:rsidRDefault="006B035B">
            <w:pPr>
              <w:rPr>
                <w:i/>
                <w:iCs/>
                <w:u w:val="single"/>
              </w:rPr>
            </w:pPr>
            <w:r w:rsidRPr="006B035B">
              <w:rPr>
                <w:i/>
                <w:iCs/>
                <w:u w:val="single"/>
              </w:rPr>
              <w:t>Navigating the Complexity of Generative AI Adoption in Software Engineering</w:t>
            </w:r>
          </w:p>
        </w:tc>
        <w:tc>
          <w:tcPr>
            <w:tcW w:w="902" w:type="dxa"/>
          </w:tcPr>
          <w:p w14:paraId="33187F7B" w14:textId="610A50B0" w:rsidR="0065490D" w:rsidRDefault="00D66AD5">
            <w:r w:rsidRPr="00D66AD5">
              <w:t>Compatibility with existing workflows is the main driver of AI adoption; perceived usefulness and social factors have less influence</w:t>
            </w:r>
          </w:p>
        </w:tc>
        <w:tc>
          <w:tcPr>
            <w:tcW w:w="902" w:type="dxa"/>
          </w:tcPr>
          <w:p w14:paraId="4DDF5425" w14:textId="798CF87D" w:rsidR="0065490D" w:rsidRDefault="00D66AD5">
            <w:r w:rsidRPr="00D66AD5">
              <w:t>AI adoption depends more on workflow compatibility than traditional acceptance factors</w:t>
            </w:r>
          </w:p>
        </w:tc>
        <w:tc>
          <w:tcPr>
            <w:tcW w:w="902" w:type="dxa"/>
          </w:tcPr>
          <w:p w14:paraId="0BABEDB4" w14:textId="508DE77E" w:rsidR="0065490D" w:rsidRDefault="00D66AD5">
            <w:r w:rsidRPr="00D66AD5">
              <w:t>Early-stage study; limited generalization; lacks long-term analysis of AI adoption</w:t>
            </w:r>
          </w:p>
        </w:tc>
      </w:tr>
      <w:tr w:rsidR="00007732" w14:paraId="146451AA" w14:textId="77777777" w:rsidTr="0065490D">
        <w:tc>
          <w:tcPr>
            <w:tcW w:w="901" w:type="dxa"/>
          </w:tcPr>
          <w:p w14:paraId="49FB45F4" w14:textId="3C2DE15E" w:rsidR="0065490D" w:rsidRDefault="0065490D">
            <w:r>
              <w:t>2</w:t>
            </w:r>
          </w:p>
        </w:tc>
        <w:tc>
          <w:tcPr>
            <w:tcW w:w="901" w:type="dxa"/>
          </w:tcPr>
          <w:p w14:paraId="47B785F8" w14:textId="6B62712C" w:rsidR="0065490D" w:rsidRDefault="006B035B">
            <w:r w:rsidRPr="006B035B">
              <w:t xml:space="preserve">Awa, </w:t>
            </w:r>
            <w:proofErr w:type="spellStart"/>
            <w:r w:rsidRPr="006B035B">
              <w:t>Ojiabo</w:t>
            </w:r>
            <w:proofErr w:type="spellEnd"/>
            <w:r w:rsidRPr="006B035B">
              <w:t xml:space="preserve"> &amp; </w:t>
            </w:r>
            <w:proofErr w:type="spellStart"/>
            <w:r w:rsidRPr="006B035B">
              <w:t>Orokor</w:t>
            </w:r>
            <w:proofErr w:type="spellEnd"/>
            <w:r w:rsidRPr="006B035B">
              <w:t xml:space="preserve"> (2017)</w:t>
            </w:r>
          </w:p>
        </w:tc>
        <w:tc>
          <w:tcPr>
            <w:tcW w:w="901" w:type="dxa"/>
          </w:tcPr>
          <w:p w14:paraId="669B5D3F" w14:textId="3F19E82E" w:rsidR="0065490D" w:rsidRDefault="006B035B">
            <w:r w:rsidRPr="006B035B">
              <w:t>To examine factors influencing technology adoption in SMEs</w:t>
            </w:r>
          </w:p>
        </w:tc>
        <w:tc>
          <w:tcPr>
            <w:tcW w:w="901" w:type="dxa"/>
          </w:tcPr>
          <w:p w14:paraId="660116E4" w14:textId="77777777" w:rsidR="006B035B" w:rsidRDefault="006B035B" w:rsidP="006B035B">
            <w:r>
              <w:t>Technology-Organization-Environment (TOE)</w:t>
            </w:r>
          </w:p>
          <w:p w14:paraId="71553823" w14:textId="4CABE815" w:rsidR="0065490D" w:rsidRDefault="0065490D" w:rsidP="006B035B"/>
        </w:tc>
        <w:tc>
          <w:tcPr>
            <w:tcW w:w="902" w:type="dxa"/>
          </w:tcPr>
          <w:p w14:paraId="6D579963" w14:textId="79F33B1A" w:rsidR="0065490D" w:rsidRDefault="006B035B">
            <w:r>
              <w:t>Survey</w:t>
            </w:r>
          </w:p>
        </w:tc>
        <w:tc>
          <w:tcPr>
            <w:tcW w:w="902" w:type="dxa"/>
          </w:tcPr>
          <w:p w14:paraId="54A462C6" w14:textId="23BC7F70" w:rsidR="0065490D" w:rsidRDefault="00807DE2">
            <w:proofErr w:type="gramStart"/>
            <w:r>
              <w:t>SMEs</w:t>
            </w:r>
            <w:r w:rsidR="00904515">
              <w:t>(</w:t>
            </w:r>
            <w:proofErr w:type="gramEnd"/>
            <w:r w:rsidR="006B035B" w:rsidRPr="006B035B">
              <w:t>Nigeria</w:t>
            </w:r>
            <w:r w:rsidR="00904515">
              <w:t>)</w:t>
            </w:r>
          </w:p>
        </w:tc>
        <w:tc>
          <w:tcPr>
            <w:tcW w:w="902" w:type="dxa"/>
          </w:tcPr>
          <w:p w14:paraId="416E30DA" w14:textId="3DC30F18" w:rsidR="0065490D" w:rsidRPr="006B035B" w:rsidRDefault="006B035B">
            <w:pPr>
              <w:rPr>
                <w:i/>
                <w:iCs/>
                <w:u w:val="single"/>
              </w:rPr>
            </w:pPr>
            <w:r w:rsidRPr="006B035B">
              <w:rPr>
                <w:i/>
                <w:iCs/>
                <w:u w:val="single"/>
              </w:rPr>
              <w:t>Industrial Management &amp; Data Systems</w:t>
            </w:r>
          </w:p>
        </w:tc>
        <w:tc>
          <w:tcPr>
            <w:tcW w:w="902" w:type="dxa"/>
          </w:tcPr>
          <w:p w14:paraId="3B54FCC1" w14:textId="35D8D89B" w:rsidR="0065490D" w:rsidRDefault="006B035B">
            <w:r w:rsidRPr="006B035B">
              <w:t>Organizational readiness and external pressure influence adoption</w:t>
            </w:r>
          </w:p>
        </w:tc>
        <w:tc>
          <w:tcPr>
            <w:tcW w:w="902" w:type="dxa"/>
          </w:tcPr>
          <w:p w14:paraId="46713E9F" w14:textId="702DC78F" w:rsidR="0065490D" w:rsidRDefault="006B035B">
            <w:r w:rsidRPr="006B035B">
              <w:t>SMEs adopt AI when resources and support exist</w:t>
            </w:r>
          </w:p>
        </w:tc>
        <w:tc>
          <w:tcPr>
            <w:tcW w:w="902" w:type="dxa"/>
          </w:tcPr>
          <w:p w14:paraId="017C30AF" w14:textId="50976788" w:rsidR="0065490D" w:rsidRDefault="006B035B">
            <w:r w:rsidRPr="006B035B">
              <w:t>Limited focus on AI-specific tools</w:t>
            </w:r>
          </w:p>
        </w:tc>
      </w:tr>
      <w:tr w:rsidR="00007732" w14:paraId="315F21C6" w14:textId="77777777" w:rsidTr="0065490D">
        <w:tc>
          <w:tcPr>
            <w:tcW w:w="901" w:type="dxa"/>
          </w:tcPr>
          <w:p w14:paraId="679DA10D" w14:textId="472BAD70" w:rsidR="0065490D" w:rsidRDefault="0065490D">
            <w:r>
              <w:t>3</w:t>
            </w:r>
          </w:p>
        </w:tc>
        <w:tc>
          <w:tcPr>
            <w:tcW w:w="901" w:type="dxa"/>
          </w:tcPr>
          <w:p w14:paraId="25386134" w14:textId="179BEEA6" w:rsidR="0065490D" w:rsidRDefault="00984DFF" w:rsidP="00984DFF">
            <w:r w:rsidRPr="00984DFF">
              <w:t>Ibrahim Ali Mohammed</w:t>
            </w:r>
            <w:r>
              <w:t xml:space="preserve"> (2018)</w:t>
            </w:r>
          </w:p>
        </w:tc>
        <w:tc>
          <w:tcPr>
            <w:tcW w:w="901" w:type="dxa"/>
          </w:tcPr>
          <w:p w14:paraId="7EF5D237" w14:textId="4762A002" w:rsidR="0065490D" w:rsidRDefault="00984DFF">
            <w:r w:rsidRPr="00984DFF">
              <w:t>Assesses management challenges in implementing DevOps in SMEs</w:t>
            </w:r>
          </w:p>
        </w:tc>
        <w:tc>
          <w:tcPr>
            <w:tcW w:w="901" w:type="dxa"/>
          </w:tcPr>
          <w:p w14:paraId="378E8F60" w14:textId="489E52B1" w:rsidR="0065490D" w:rsidRDefault="00807DE2">
            <w:r>
              <w:t>Not cited</w:t>
            </w:r>
          </w:p>
        </w:tc>
        <w:tc>
          <w:tcPr>
            <w:tcW w:w="902" w:type="dxa"/>
          </w:tcPr>
          <w:p w14:paraId="731F3867" w14:textId="04E30E58" w:rsidR="0065490D" w:rsidRDefault="00984DFF">
            <w:r w:rsidRPr="00984DFF">
              <w:t>Case study</w:t>
            </w:r>
          </w:p>
        </w:tc>
        <w:tc>
          <w:tcPr>
            <w:tcW w:w="902" w:type="dxa"/>
          </w:tcPr>
          <w:p w14:paraId="0FC3C227" w14:textId="3FD72100" w:rsidR="0065490D" w:rsidRDefault="00984DFF">
            <w:r w:rsidRPr="00984DFF">
              <w:t>SMEs (country not specified)</w:t>
            </w:r>
          </w:p>
        </w:tc>
        <w:tc>
          <w:tcPr>
            <w:tcW w:w="902" w:type="dxa"/>
          </w:tcPr>
          <w:p w14:paraId="63FC1A06" w14:textId="25C5201D" w:rsidR="0065490D" w:rsidRDefault="00807DE2">
            <w:r w:rsidRPr="00807DE2">
              <w:rPr>
                <w:i/>
                <w:iCs/>
                <w:u w:val="single"/>
              </w:rPr>
              <w:t>International Journal of Novel Research and Development</w:t>
            </w:r>
          </w:p>
        </w:tc>
        <w:tc>
          <w:tcPr>
            <w:tcW w:w="902" w:type="dxa"/>
          </w:tcPr>
          <w:p w14:paraId="597F396F" w14:textId="4F8AB34F" w:rsidR="0065490D" w:rsidRDefault="00807DE2">
            <w:r w:rsidRPr="00807DE2">
              <w:t>SMEs face managerial and organizational challenges in DevOps adoption, especially in coordination, communication, and resource management</w:t>
            </w:r>
          </w:p>
        </w:tc>
        <w:tc>
          <w:tcPr>
            <w:tcW w:w="902" w:type="dxa"/>
          </w:tcPr>
          <w:p w14:paraId="00CB4EB0" w14:textId="328EDFEA" w:rsidR="0065490D" w:rsidRDefault="00807DE2">
            <w:r w:rsidRPr="00807DE2">
              <w:t>DevOps improves collaboration and efficiency but is difficult for SMEs to implement due to management constraints</w:t>
            </w:r>
          </w:p>
        </w:tc>
        <w:tc>
          <w:tcPr>
            <w:tcW w:w="902" w:type="dxa"/>
          </w:tcPr>
          <w:p w14:paraId="129676FA" w14:textId="390AB371" w:rsidR="0065490D" w:rsidRDefault="00807DE2">
            <w:r w:rsidRPr="00807DE2">
              <w:t>Lacks empirical data and quantitative analysis; no specific country focus; limited evidence on long-term impac</w:t>
            </w:r>
            <w:r>
              <w:t>t</w:t>
            </w:r>
          </w:p>
        </w:tc>
      </w:tr>
      <w:tr w:rsidR="00007732" w14:paraId="2DDB9026" w14:textId="77777777" w:rsidTr="0065490D">
        <w:tc>
          <w:tcPr>
            <w:tcW w:w="901" w:type="dxa"/>
          </w:tcPr>
          <w:p w14:paraId="299F7CD0" w14:textId="4C9FC8B3" w:rsidR="0065490D" w:rsidRDefault="00AA1BD1">
            <w:r>
              <w:lastRenderedPageBreak/>
              <w:t>4</w:t>
            </w:r>
          </w:p>
        </w:tc>
        <w:tc>
          <w:tcPr>
            <w:tcW w:w="901" w:type="dxa"/>
          </w:tcPr>
          <w:p w14:paraId="66840B85" w14:textId="32B03859" w:rsidR="0065490D" w:rsidRDefault="00807DE2">
            <w:r w:rsidRPr="00807DE2">
              <w:t>Hossain, M. S. (2018</w:t>
            </w:r>
            <w:r>
              <w:t>)</w:t>
            </w:r>
          </w:p>
        </w:tc>
        <w:tc>
          <w:tcPr>
            <w:tcW w:w="901" w:type="dxa"/>
          </w:tcPr>
          <w:p w14:paraId="72BAC83D" w14:textId="409ECC10" w:rsidR="00807DE2" w:rsidRPr="00807DE2" w:rsidRDefault="00807DE2" w:rsidP="00807DE2">
            <w:r w:rsidRPr="00807DE2">
              <w:t>Identifies challenges in software quality assurance and testing in software companies</w:t>
            </w:r>
          </w:p>
        </w:tc>
        <w:tc>
          <w:tcPr>
            <w:tcW w:w="901" w:type="dxa"/>
          </w:tcPr>
          <w:p w14:paraId="02A0C94B" w14:textId="473F8A78" w:rsidR="0065490D" w:rsidRDefault="00904515">
            <w:r w:rsidRPr="00904515">
              <w:t>Software Quality Assurance (SQA</w:t>
            </w:r>
            <w:r>
              <w:t>)</w:t>
            </w:r>
          </w:p>
        </w:tc>
        <w:tc>
          <w:tcPr>
            <w:tcW w:w="902" w:type="dxa"/>
          </w:tcPr>
          <w:p w14:paraId="6D5702E8" w14:textId="7691D91E" w:rsidR="0065490D" w:rsidRDefault="00807DE2">
            <w:r w:rsidRPr="00807DE2">
              <w:t>Qualitative study (exploratory analysis of challenges)</w:t>
            </w:r>
          </w:p>
        </w:tc>
        <w:tc>
          <w:tcPr>
            <w:tcW w:w="902" w:type="dxa"/>
          </w:tcPr>
          <w:p w14:paraId="3E17751F" w14:textId="3A9EF325" w:rsidR="0065490D" w:rsidRDefault="00904515">
            <w:r w:rsidRPr="00904515">
              <w:t>Global (focus on small and medium software companies)</w:t>
            </w:r>
          </w:p>
        </w:tc>
        <w:tc>
          <w:tcPr>
            <w:tcW w:w="902" w:type="dxa"/>
          </w:tcPr>
          <w:p w14:paraId="24F4F3F7" w14:textId="17C6C01B" w:rsidR="0065490D" w:rsidRDefault="00904515">
            <w:r w:rsidRPr="00904515">
              <w:rPr>
                <w:i/>
                <w:iCs/>
                <w:u w:val="single"/>
              </w:rPr>
              <w:t>International Journal of Software Engineering and Computer Systems (IJSECS)</w:t>
            </w:r>
          </w:p>
        </w:tc>
        <w:tc>
          <w:tcPr>
            <w:tcW w:w="902" w:type="dxa"/>
          </w:tcPr>
          <w:p w14:paraId="64400C11" w14:textId="060648FE" w:rsidR="0065490D" w:rsidRDefault="00904515">
            <w:r w:rsidRPr="00904515">
              <w:t>International Journal of Software Engineering and Computer Systems (IJSECS)</w:t>
            </w:r>
          </w:p>
        </w:tc>
        <w:tc>
          <w:tcPr>
            <w:tcW w:w="902" w:type="dxa"/>
          </w:tcPr>
          <w:p w14:paraId="081BD101" w14:textId="16313193" w:rsidR="0065490D" w:rsidRDefault="00904515">
            <w:r w:rsidRPr="00904515">
              <w:t>Software quality issues persist and require a systematic approach to improve testing practices</w:t>
            </w:r>
          </w:p>
        </w:tc>
        <w:tc>
          <w:tcPr>
            <w:tcW w:w="902" w:type="dxa"/>
          </w:tcPr>
          <w:p w14:paraId="2E2DCB43" w14:textId="1B2B42C2" w:rsidR="0065490D" w:rsidRDefault="00904515">
            <w:r w:rsidRPr="00904515">
              <w:t>Lacks empirical data; no specific case studies or country focus; limited quantitative validation</w:t>
            </w:r>
          </w:p>
        </w:tc>
      </w:tr>
      <w:tr w:rsidR="00007732" w14:paraId="5FE164D1" w14:textId="77777777" w:rsidTr="0065490D">
        <w:tc>
          <w:tcPr>
            <w:tcW w:w="901" w:type="dxa"/>
          </w:tcPr>
          <w:p w14:paraId="5B35CE3B" w14:textId="28E34D86" w:rsidR="0065490D" w:rsidRDefault="00AA1BD1">
            <w:r>
              <w:t>5</w:t>
            </w:r>
          </w:p>
        </w:tc>
        <w:tc>
          <w:tcPr>
            <w:tcW w:w="901" w:type="dxa"/>
          </w:tcPr>
          <w:p w14:paraId="3A3591C3" w14:textId="2853F049" w:rsidR="0065490D" w:rsidRDefault="002A5155">
            <w:r w:rsidRPr="002A5155">
              <w:t>Arpita Soni</w:t>
            </w:r>
            <w:r>
              <w:t xml:space="preserve">, </w:t>
            </w:r>
            <w:r w:rsidRPr="002A5155">
              <w:t>Anoop Kumar</w:t>
            </w:r>
            <w:r>
              <w:t xml:space="preserve">, </w:t>
            </w:r>
            <w:r w:rsidRPr="002A5155">
              <w:t>Rajeev Arora</w:t>
            </w:r>
            <w:r>
              <w:t xml:space="preserve">, </w:t>
            </w:r>
            <w:r w:rsidRPr="002A5155">
              <w:t>Ramakrishna Garine</w:t>
            </w:r>
            <w:r>
              <w:t xml:space="preserve"> </w:t>
            </w:r>
            <w:r w:rsidRPr="002A5155">
              <w:t>(2023/2024)</w:t>
            </w:r>
          </w:p>
        </w:tc>
        <w:tc>
          <w:tcPr>
            <w:tcW w:w="901" w:type="dxa"/>
          </w:tcPr>
          <w:p w14:paraId="3425C7FF" w14:textId="0BEAA3FA" w:rsidR="0065490D" w:rsidRDefault="002A5155">
            <w:r w:rsidRPr="002A5155">
              <w:t>Examines the role and impact of AI across different stages of the Software Development Life Cycle (SDLC)</w:t>
            </w:r>
          </w:p>
        </w:tc>
        <w:tc>
          <w:tcPr>
            <w:tcW w:w="901" w:type="dxa"/>
          </w:tcPr>
          <w:p w14:paraId="28765988" w14:textId="769CD975" w:rsidR="0065490D" w:rsidRDefault="002A5155">
            <w:r w:rsidRPr="002A5155">
              <w:t>SDLC models (Waterfall, Agile, DevOps, V-Model)</w:t>
            </w:r>
          </w:p>
        </w:tc>
        <w:tc>
          <w:tcPr>
            <w:tcW w:w="902" w:type="dxa"/>
          </w:tcPr>
          <w:p w14:paraId="5F556C5A" w14:textId="0C23A55C" w:rsidR="0065490D" w:rsidRDefault="002A5155">
            <w:r w:rsidRPr="002A5155">
              <w:t>Literature review / analytical study</w:t>
            </w:r>
          </w:p>
        </w:tc>
        <w:tc>
          <w:tcPr>
            <w:tcW w:w="902" w:type="dxa"/>
          </w:tcPr>
          <w:p w14:paraId="6B2AB081" w14:textId="7B0E5F34" w:rsidR="0065490D" w:rsidRDefault="002A5155">
            <w:r w:rsidRPr="002A5155">
              <w:t>(no specific country; software engineering domain)</w:t>
            </w:r>
          </w:p>
        </w:tc>
        <w:tc>
          <w:tcPr>
            <w:tcW w:w="902" w:type="dxa"/>
          </w:tcPr>
          <w:p w14:paraId="050D591B" w14:textId="77777777" w:rsidR="002A5155" w:rsidRPr="002A5155" w:rsidRDefault="002A5155" w:rsidP="002A5155">
            <w:pPr>
              <w:rPr>
                <w:i/>
                <w:iCs/>
                <w:u w:val="single"/>
              </w:rPr>
            </w:pPr>
            <w:r w:rsidRPr="002A5155">
              <w:rPr>
                <w:i/>
                <w:iCs/>
                <w:u w:val="single"/>
              </w:rPr>
              <w:t>Integrating AI into the Software Development</w:t>
            </w:r>
          </w:p>
          <w:p w14:paraId="6C20175B" w14:textId="77777777" w:rsidR="002A5155" w:rsidRPr="002A5155" w:rsidRDefault="002A5155" w:rsidP="002A5155">
            <w:pPr>
              <w:rPr>
                <w:i/>
                <w:iCs/>
                <w:u w:val="single"/>
              </w:rPr>
            </w:pPr>
            <w:r w:rsidRPr="002A5155">
              <w:rPr>
                <w:i/>
                <w:iCs/>
                <w:u w:val="single"/>
              </w:rPr>
              <w:t>Life Cycle: Best Practices, Tools, and Impact</w:t>
            </w:r>
          </w:p>
          <w:p w14:paraId="5FC22FB6" w14:textId="262CE0E4" w:rsidR="0065490D" w:rsidRPr="002A5155" w:rsidRDefault="002A5155" w:rsidP="002A5155">
            <w:pPr>
              <w:rPr>
                <w:i/>
                <w:iCs/>
                <w:u w:val="single"/>
              </w:rPr>
            </w:pPr>
            <w:r w:rsidRPr="002A5155">
              <w:rPr>
                <w:i/>
                <w:iCs/>
                <w:u w:val="single"/>
              </w:rPr>
              <w:t>Analysis</w:t>
            </w:r>
          </w:p>
        </w:tc>
        <w:tc>
          <w:tcPr>
            <w:tcW w:w="902" w:type="dxa"/>
          </w:tcPr>
          <w:p w14:paraId="37AD33DB" w14:textId="7F4AA2A5" w:rsidR="0065490D" w:rsidRDefault="002A5155">
            <w:r w:rsidRPr="002A5155">
              <w:t>AI improves software quality, automation, and efficiency across SDLC stages; generative AI tools are particularly impactful</w:t>
            </w:r>
          </w:p>
        </w:tc>
        <w:tc>
          <w:tcPr>
            <w:tcW w:w="902" w:type="dxa"/>
          </w:tcPr>
          <w:p w14:paraId="0AAB3121" w14:textId="379DECB6" w:rsidR="0065490D" w:rsidRDefault="002A5155">
            <w:r w:rsidRPr="002A5155">
              <w:t>AI is essential in modern software engineering and should be integrated across all SDLC phases</w:t>
            </w:r>
          </w:p>
        </w:tc>
        <w:tc>
          <w:tcPr>
            <w:tcW w:w="902" w:type="dxa"/>
          </w:tcPr>
          <w:p w14:paraId="648866EC" w14:textId="50699A69" w:rsidR="0065490D" w:rsidRDefault="002A5155">
            <w:r w:rsidRPr="002A5155">
              <w:t>Lacks empirical validation; no real-world case studies or quantitative data; limited evaluation of long-term impact</w:t>
            </w:r>
          </w:p>
        </w:tc>
      </w:tr>
      <w:tr w:rsidR="00007732" w14:paraId="35FD2FC5" w14:textId="77777777" w:rsidTr="0065490D">
        <w:tc>
          <w:tcPr>
            <w:tcW w:w="901" w:type="dxa"/>
          </w:tcPr>
          <w:p w14:paraId="64E59425" w14:textId="3321E6FF" w:rsidR="0065490D" w:rsidRDefault="00AA1BD1">
            <w:r>
              <w:t>6</w:t>
            </w:r>
          </w:p>
        </w:tc>
        <w:tc>
          <w:tcPr>
            <w:tcW w:w="901" w:type="dxa"/>
          </w:tcPr>
          <w:p w14:paraId="567130B3" w14:textId="1C15B55C" w:rsidR="0065490D" w:rsidRDefault="001F5722">
            <w:r w:rsidRPr="001F5722">
              <w:t>Bada, Maria and Nurse, Jason R.C. (2019</w:t>
            </w:r>
          </w:p>
        </w:tc>
        <w:tc>
          <w:tcPr>
            <w:tcW w:w="901" w:type="dxa"/>
          </w:tcPr>
          <w:p w14:paraId="4F661406" w14:textId="017658FA" w:rsidR="0065490D" w:rsidRDefault="001F5722">
            <w:r w:rsidRPr="001F5722">
              <w:t>To propose a high-level cybersecurity education and awareness programme specifically for SMEs/SMBs at a city-level</w:t>
            </w:r>
          </w:p>
        </w:tc>
        <w:tc>
          <w:tcPr>
            <w:tcW w:w="901" w:type="dxa"/>
          </w:tcPr>
          <w:p w14:paraId="1A1B1195" w14:textId="443F61E5" w:rsidR="0065490D" w:rsidRDefault="001F5722">
            <w:r w:rsidRPr="001F5722">
              <w:t>Cybersecurity education and awareness theory</w:t>
            </w:r>
          </w:p>
        </w:tc>
        <w:tc>
          <w:tcPr>
            <w:tcW w:w="902" w:type="dxa"/>
          </w:tcPr>
          <w:p w14:paraId="1B7E4E15" w14:textId="02EBB985" w:rsidR="0065490D" w:rsidRDefault="001F5722">
            <w:r w:rsidRPr="001F5722">
              <w:t>Scoping literature review and case study analysis of an ongoing city-based project.</w:t>
            </w:r>
          </w:p>
        </w:tc>
        <w:tc>
          <w:tcPr>
            <w:tcW w:w="902" w:type="dxa"/>
          </w:tcPr>
          <w:p w14:paraId="57864402" w14:textId="55A91092" w:rsidR="0065490D" w:rsidRDefault="001F5722">
            <w:r>
              <w:t>general</w:t>
            </w:r>
            <w:r w:rsidRPr="001F5722">
              <w:t xml:space="preserve"> (SME focus)</w:t>
            </w:r>
          </w:p>
        </w:tc>
        <w:tc>
          <w:tcPr>
            <w:tcW w:w="902" w:type="dxa"/>
          </w:tcPr>
          <w:p w14:paraId="54EBEC66" w14:textId="22406EEE" w:rsidR="0065490D" w:rsidRDefault="001F5722">
            <w:r w:rsidRPr="001F5722">
              <w:rPr>
                <w:i/>
                <w:iCs/>
                <w:u w:val="single"/>
              </w:rPr>
              <w:t>Information and Computer Security</w:t>
            </w:r>
          </w:p>
        </w:tc>
        <w:tc>
          <w:tcPr>
            <w:tcW w:w="902" w:type="dxa"/>
          </w:tcPr>
          <w:p w14:paraId="79D8DF91" w14:textId="350EC95F" w:rsidR="0065490D" w:rsidRDefault="001F5722">
            <w:r w:rsidRPr="001F5722">
              <w:t>Literature often fails to reach real-world programmes; existing initiatives have potential but require better integration of academic knowledge</w:t>
            </w:r>
          </w:p>
        </w:tc>
        <w:tc>
          <w:tcPr>
            <w:tcW w:w="902" w:type="dxa"/>
          </w:tcPr>
          <w:p w14:paraId="1005A7B4" w14:textId="275BA9FF" w:rsidR="0065490D" w:rsidRDefault="001F5722">
            <w:r w:rsidRPr="001F5722">
              <w:t>A core, high-level programme can significantly improve the security posture, awareness, and training targeting SMEs.</w:t>
            </w:r>
          </w:p>
        </w:tc>
        <w:tc>
          <w:tcPr>
            <w:tcW w:w="902" w:type="dxa"/>
          </w:tcPr>
          <w:p w14:paraId="43FF58C4" w14:textId="56A18AEE" w:rsidR="0065490D" w:rsidRDefault="001F5722">
            <w:r w:rsidRPr="001F5722">
              <w:t>The gap between theoretical academic literature and the practical implementation of cybersecurity programmes in real-world SMEs</w:t>
            </w:r>
          </w:p>
        </w:tc>
      </w:tr>
      <w:tr w:rsidR="00007732" w14:paraId="1595648D" w14:textId="77777777" w:rsidTr="0065490D">
        <w:tc>
          <w:tcPr>
            <w:tcW w:w="901" w:type="dxa"/>
          </w:tcPr>
          <w:p w14:paraId="4D1E66DE" w14:textId="36A78BE5" w:rsidR="0065490D" w:rsidRDefault="00AA1BD1">
            <w:r>
              <w:t>7</w:t>
            </w:r>
          </w:p>
        </w:tc>
        <w:tc>
          <w:tcPr>
            <w:tcW w:w="901" w:type="dxa"/>
          </w:tcPr>
          <w:p w14:paraId="225D255F" w14:textId="5F808F40" w:rsidR="0065490D" w:rsidRDefault="009B56AB">
            <w:r w:rsidRPr="009B56AB">
              <w:t xml:space="preserve">Yazn </w:t>
            </w:r>
            <w:proofErr w:type="spellStart"/>
            <w:r w:rsidRPr="009B56AB">
              <w:t>Alshamaila</w:t>
            </w:r>
            <w:proofErr w:type="spellEnd"/>
            <w:r w:rsidRPr="009B56AB">
              <w:t xml:space="preserve">; Savvas </w:t>
            </w:r>
            <w:proofErr w:type="spellStart"/>
            <w:r w:rsidRPr="009B56AB">
              <w:lastRenderedPageBreak/>
              <w:t>Papagiannidis</w:t>
            </w:r>
            <w:proofErr w:type="spellEnd"/>
            <w:r w:rsidRPr="009B56AB">
              <w:t>; Feng Li</w:t>
            </w:r>
            <w:r w:rsidRPr="009B56AB">
              <w:t xml:space="preserve"> </w:t>
            </w:r>
            <w:r w:rsidRPr="009B56AB">
              <w:t>(2013).</w:t>
            </w:r>
          </w:p>
        </w:tc>
        <w:tc>
          <w:tcPr>
            <w:tcW w:w="901" w:type="dxa"/>
          </w:tcPr>
          <w:p w14:paraId="6A6F755E" w14:textId="34F4CF1C" w:rsidR="0065490D" w:rsidRDefault="009B56AB">
            <w:r w:rsidRPr="009B56AB">
              <w:lastRenderedPageBreak/>
              <w:t xml:space="preserve">the factors influencing cloud </w:t>
            </w:r>
            <w:r w:rsidRPr="009B56AB">
              <w:lastRenderedPageBreak/>
              <w:t>computing adoption among SMEs. It aims to understand how scalable technologies can level the competitive playing field, allowing smaller firms to deliver services previously reserved for large enterprises.</w:t>
            </w:r>
          </w:p>
        </w:tc>
        <w:tc>
          <w:tcPr>
            <w:tcW w:w="901" w:type="dxa"/>
          </w:tcPr>
          <w:p w14:paraId="50F67868" w14:textId="6520C364" w:rsidR="0065490D" w:rsidRDefault="009B56AB">
            <w:r w:rsidRPr="009B56AB">
              <w:lastRenderedPageBreak/>
              <w:t xml:space="preserve">Technological, Organizational, and </w:t>
            </w:r>
            <w:r w:rsidRPr="009B56AB">
              <w:lastRenderedPageBreak/>
              <w:t>Environmental (TOE) framework, linking these three contexts to explain adoption patterns.</w:t>
            </w:r>
          </w:p>
        </w:tc>
        <w:tc>
          <w:tcPr>
            <w:tcW w:w="902" w:type="dxa"/>
          </w:tcPr>
          <w:p w14:paraId="1A75FEC8" w14:textId="46FB2DA1" w:rsidR="0065490D" w:rsidRDefault="009B56AB">
            <w:r w:rsidRPr="009B56AB">
              <w:lastRenderedPageBreak/>
              <w:t xml:space="preserve">qualitative exploratory approach </w:t>
            </w:r>
            <w:r w:rsidRPr="009B56AB">
              <w:lastRenderedPageBreak/>
              <w:t>was used, involving semi-structured interviews with 15 SMEs and service providers.</w:t>
            </w:r>
          </w:p>
        </w:tc>
        <w:tc>
          <w:tcPr>
            <w:tcW w:w="902" w:type="dxa"/>
          </w:tcPr>
          <w:p w14:paraId="3BBBFFB2" w14:textId="79233724" w:rsidR="0065490D" w:rsidRDefault="009B56AB">
            <w:r w:rsidRPr="009B56AB">
              <w:lastRenderedPageBreak/>
              <w:t>North East of England</w:t>
            </w:r>
            <w:r>
              <w:t xml:space="preserve">, </w:t>
            </w:r>
            <w:r w:rsidRPr="009B56AB">
              <w:t>SMEs</w:t>
            </w:r>
          </w:p>
        </w:tc>
        <w:tc>
          <w:tcPr>
            <w:tcW w:w="902" w:type="dxa"/>
          </w:tcPr>
          <w:p w14:paraId="364D1C9E" w14:textId="7C72B725" w:rsidR="0065490D" w:rsidRDefault="009B56AB">
            <w:r w:rsidRPr="009B56AB">
              <w:rPr>
                <w:i/>
                <w:iCs/>
                <w:u w:val="single"/>
              </w:rPr>
              <w:t>j</w:t>
            </w:r>
            <w:r w:rsidRPr="009B56AB">
              <w:rPr>
                <w:i/>
                <w:iCs/>
                <w:u w:val="single"/>
              </w:rPr>
              <w:t xml:space="preserve">ournal of Enterprise </w:t>
            </w:r>
            <w:r w:rsidRPr="009B56AB">
              <w:rPr>
                <w:i/>
                <w:iCs/>
                <w:u w:val="single"/>
              </w:rPr>
              <w:lastRenderedPageBreak/>
              <w:t>Information Management</w:t>
            </w:r>
          </w:p>
        </w:tc>
        <w:tc>
          <w:tcPr>
            <w:tcW w:w="902" w:type="dxa"/>
          </w:tcPr>
          <w:p w14:paraId="474FA1C7" w14:textId="0D53AB75" w:rsidR="0065490D" w:rsidRDefault="009B56AB">
            <w:r w:rsidRPr="009B56AB">
              <w:lastRenderedPageBreak/>
              <w:t xml:space="preserve">Key adoption drivers included </w:t>
            </w:r>
            <w:r w:rsidRPr="009B56AB">
              <w:lastRenderedPageBreak/>
              <w:t>relative advantage, compatibility, trialability, top management support, and innovativeness. Notably, the study found insufficient evidence that competitive pressure significantly determined adoption, contrary to common assumptions.</w:t>
            </w:r>
          </w:p>
        </w:tc>
        <w:tc>
          <w:tcPr>
            <w:tcW w:w="902" w:type="dxa"/>
          </w:tcPr>
          <w:p w14:paraId="54FE3AF7" w14:textId="28793058" w:rsidR="0065490D" w:rsidRDefault="009B56AB">
            <w:r w:rsidRPr="009B56AB">
              <w:lastRenderedPageBreak/>
              <w:t xml:space="preserve">The authors conclude that cloud </w:t>
            </w:r>
            <w:r w:rsidRPr="009B56AB">
              <w:lastRenderedPageBreak/>
              <w:t>adoption is a multi-dimensional process. Providers must improve interaction with SMEs to remove technical vagueness and create a "healthy environment" for integration.</w:t>
            </w:r>
          </w:p>
        </w:tc>
        <w:tc>
          <w:tcPr>
            <w:tcW w:w="902" w:type="dxa"/>
          </w:tcPr>
          <w:p w14:paraId="3828F03F" w14:textId="1F5DA582" w:rsidR="0065490D" w:rsidRDefault="009B56AB">
            <w:r w:rsidRPr="009B56AB">
              <w:lastRenderedPageBreak/>
              <w:t xml:space="preserve">The study identifies a need for better </w:t>
            </w:r>
            <w:r w:rsidRPr="009B56AB">
              <w:lastRenderedPageBreak/>
              <w:t>strategies to address uncertainty and geo-restrictions. It also highlights a gap in understanding why "seemingly similar" SMEs in identical markets make different adoption choices.</w:t>
            </w:r>
          </w:p>
        </w:tc>
      </w:tr>
      <w:tr w:rsidR="00007732" w14:paraId="6FA9B852" w14:textId="77777777" w:rsidTr="0065490D">
        <w:tc>
          <w:tcPr>
            <w:tcW w:w="901" w:type="dxa"/>
          </w:tcPr>
          <w:p w14:paraId="1F3F2986" w14:textId="54AEA010" w:rsidR="0065490D" w:rsidRDefault="00AA1BD1">
            <w:r>
              <w:lastRenderedPageBreak/>
              <w:t>8</w:t>
            </w:r>
          </w:p>
        </w:tc>
        <w:tc>
          <w:tcPr>
            <w:tcW w:w="901" w:type="dxa"/>
          </w:tcPr>
          <w:p w14:paraId="5528CB47" w14:textId="38F18557" w:rsidR="0065490D" w:rsidRDefault="009B56AB">
            <w:r w:rsidRPr="009B56AB">
              <w:t>Narayan Ramasubbu, Chris F. Kemerer</w:t>
            </w:r>
            <w:r w:rsidRPr="009B56AB">
              <w:rPr>
                <w:rFonts w:ascii="Arial" w:hAnsi="Arial" w:cs="Arial"/>
                <w:color w:val="0A0A0A"/>
                <w:shd w:val="clear" w:color="auto" w:fill="FFFFFF"/>
              </w:rPr>
              <w:t xml:space="preserve"> </w:t>
            </w:r>
            <w:r w:rsidRPr="009B56AB">
              <w:t>(2015)</w:t>
            </w:r>
          </w:p>
        </w:tc>
        <w:tc>
          <w:tcPr>
            <w:tcW w:w="901" w:type="dxa"/>
          </w:tcPr>
          <w:p w14:paraId="190B3537" w14:textId="64E58E77" w:rsidR="0065490D" w:rsidRDefault="009B56AB">
            <w:r w:rsidRPr="009B56AB">
              <w:t>the impact of technical debt</w:t>
            </w:r>
            <w:r>
              <w:t xml:space="preserve">, </w:t>
            </w:r>
            <w:r w:rsidRPr="009B56AB">
              <w:t>software maintenance obligations resulting from design shortcuts</w:t>
            </w:r>
            <w:r>
              <w:t xml:space="preserve">, </w:t>
            </w:r>
            <w:r w:rsidRPr="009B56AB">
              <w:t xml:space="preserve">on the reliability of enterprise systems. It aims to quantify how these shortcuts, </w:t>
            </w:r>
            <w:r w:rsidRPr="009B56AB">
              <w:lastRenderedPageBreak/>
              <w:t>taken to meet business pressures, affect long-term system failures.</w:t>
            </w:r>
          </w:p>
        </w:tc>
        <w:tc>
          <w:tcPr>
            <w:tcW w:w="901" w:type="dxa"/>
          </w:tcPr>
          <w:p w14:paraId="5E055153" w14:textId="2E2D2C95" w:rsidR="0065490D" w:rsidRDefault="009B56AB">
            <w:r w:rsidRPr="009B56AB">
              <w:lastRenderedPageBreak/>
              <w:t xml:space="preserve">Competing Risks Analysis approach. This framework allows the authors to discern the interdependencies between client-side modifications and vendor-supplied platform errors, </w:t>
            </w:r>
            <w:proofErr w:type="spellStart"/>
            <w:r w:rsidRPr="009B56AB">
              <w:t>modeling</w:t>
            </w:r>
            <w:proofErr w:type="spellEnd"/>
            <w:r w:rsidRPr="009B56AB">
              <w:t xml:space="preserve"> how different types of maintenance activities compete </w:t>
            </w:r>
            <w:r w:rsidRPr="009B56AB">
              <w:lastRenderedPageBreak/>
              <w:t>to influence system reliability</w:t>
            </w:r>
          </w:p>
        </w:tc>
        <w:tc>
          <w:tcPr>
            <w:tcW w:w="902" w:type="dxa"/>
          </w:tcPr>
          <w:p w14:paraId="0D0DCEE6" w14:textId="4D8C898A" w:rsidR="0065490D" w:rsidRDefault="007F1100">
            <w:r w:rsidRPr="007F1100">
              <w:lastRenderedPageBreak/>
              <w:t xml:space="preserve">an empirical longitudinal analysis using a dataset spanning 10 years. They tracked a commercial enterprise system deployed across 48 different client firms, </w:t>
            </w:r>
            <w:proofErr w:type="spellStart"/>
            <w:r w:rsidRPr="007F1100">
              <w:t>analyzing</w:t>
            </w:r>
            <w:proofErr w:type="spellEnd"/>
            <w:r w:rsidRPr="007F1100">
              <w:t xml:space="preserve"> </w:t>
            </w:r>
            <w:r w:rsidRPr="007F1100">
              <w:lastRenderedPageBreak/>
              <w:t>both modular and architectural maintenance activities.</w:t>
            </w:r>
          </w:p>
        </w:tc>
        <w:tc>
          <w:tcPr>
            <w:tcW w:w="902" w:type="dxa"/>
          </w:tcPr>
          <w:p w14:paraId="65C6F6B0" w14:textId="554FC066" w:rsidR="0065490D" w:rsidRDefault="007F1100">
            <w:r w:rsidRPr="007F1100">
              <w:lastRenderedPageBreak/>
              <w:t>The context involves commercial enterprise systems. While not geographically specific</w:t>
            </w:r>
          </w:p>
        </w:tc>
        <w:tc>
          <w:tcPr>
            <w:tcW w:w="902" w:type="dxa"/>
          </w:tcPr>
          <w:p w14:paraId="1CF2B36D" w14:textId="30F7A2E9" w:rsidR="0065490D" w:rsidRPr="00007732" w:rsidRDefault="007F1100">
            <w:pPr>
              <w:rPr>
                <w:i/>
                <w:iCs/>
                <w:u w:val="single"/>
              </w:rPr>
            </w:pPr>
            <w:r w:rsidRPr="007F1100">
              <w:rPr>
                <w:i/>
                <w:iCs/>
                <w:u w:val="single"/>
              </w:rPr>
              <w:t>Management Science, Published Online Oct 30, 2015</w:t>
            </w:r>
          </w:p>
        </w:tc>
        <w:tc>
          <w:tcPr>
            <w:tcW w:w="902" w:type="dxa"/>
          </w:tcPr>
          <w:p w14:paraId="25DA2F3F" w14:textId="1DB5A5E3" w:rsidR="0065490D" w:rsidRDefault="007F1100">
            <w:r w:rsidRPr="007F1100">
              <w:t xml:space="preserve">Technical debt significantly decreases system reliability. Modular maintenance was 53% more effective than architectural maintenance at reducing failures from client errors. However, it simultaneously </w:t>
            </w:r>
            <w:r w:rsidRPr="007F1100">
              <w:lastRenderedPageBreak/>
              <w:t>increased the risk of failures due to vendor-platform errors by 83%.</w:t>
            </w:r>
          </w:p>
        </w:tc>
        <w:tc>
          <w:tcPr>
            <w:tcW w:w="902" w:type="dxa"/>
          </w:tcPr>
          <w:p w14:paraId="3E5344C6" w14:textId="1C81CC37" w:rsidR="0065490D" w:rsidRDefault="007F1100">
            <w:r w:rsidRPr="007F1100">
              <w:lastRenderedPageBreak/>
              <w:t xml:space="preserve">Firms must carefully balance maintenance types. While modular fixes address immediate debt, they can introduce secondary risks within the vendor's code. Managing </w:t>
            </w:r>
            <w:r w:rsidRPr="007F1100">
              <w:lastRenderedPageBreak/>
              <w:t>technical debt is essential for mitigating business risk exposure.</w:t>
            </w:r>
          </w:p>
        </w:tc>
        <w:tc>
          <w:tcPr>
            <w:tcW w:w="902" w:type="dxa"/>
          </w:tcPr>
          <w:p w14:paraId="1B82454F" w14:textId="5289E539" w:rsidR="0065490D" w:rsidRDefault="007F1100">
            <w:r w:rsidRPr="007F1100">
              <w:lastRenderedPageBreak/>
              <w:t>The study highlights a need for better measurement and management metrics for technical debt in complex, multi-stakeholder enterprise environments.</w:t>
            </w:r>
          </w:p>
        </w:tc>
      </w:tr>
      <w:tr w:rsidR="00007732" w14:paraId="4D3536E4" w14:textId="77777777" w:rsidTr="0065490D">
        <w:tc>
          <w:tcPr>
            <w:tcW w:w="901" w:type="dxa"/>
          </w:tcPr>
          <w:p w14:paraId="5D110CB6" w14:textId="4A3F77C7" w:rsidR="0065490D" w:rsidRDefault="00AA1BD1">
            <w:r>
              <w:lastRenderedPageBreak/>
              <w:t>9</w:t>
            </w:r>
          </w:p>
        </w:tc>
        <w:tc>
          <w:tcPr>
            <w:tcW w:w="901" w:type="dxa"/>
          </w:tcPr>
          <w:p w14:paraId="722183BF" w14:textId="7CBFA315" w:rsidR="0065490D" w:rsidRDefault="007F1100">
            <w:r w:rsidRPr="007F1100">
              <w:t>Mubarak Albarka Umar</w:t>
            </w:r>
            <w:r>
              <w:t>,</w:t>
            </w:r>
            <w:r w:rsidRPr="007F1100">
              <w:t xml:space="preserve"> Chen Zhanfang</w:t>
            </w:r>
            <w:r w:rsidRPr="007F1100">
              <w:t xml:space="preserve"> </w:t>
            </w:r>
            <w:r w:rsidRPr="007F1100">
              <w:t>(2020</w:t>
            </w:r>
            <w:r>
              <w:t>)</w:t>
            </w:r>
          </w:p>
        </w:tc>
        <w:tc>
          <w:tcPr>
            <w:tcW w:w="901" w:type="dxa"/>
          </w:tcPr>
          <w:p w14:paraId="0AC82A3B" w14:textId="61A80DE6" w:rsidR="0065490D" w:rsidRDefault="00D50286">
            <w:r w:rsidRPr="00D50286">
              <w:t>This study aims to provide a comprehensive overview of automated software testing to meet the "Quality at Speed" demand. It focuses on identifying the most effective combinations of testing methods, tools, and frameworks required to ensure software standards in a fast-paced delivery environment.</w:t>
            </w:r>
          </w:p>
        </w:tc>
        <w:tc>
          <w:tcPr>
            <w:tcW w:w="901" w:type="dxa"/>
          </w:tcPr>
          <w:p w14:paraId="3C08C604" w14:textId="1794994C" w:rsidR="0065490D" w:rsidRDefault="00D50286">
            <w:r w:rsidRPr="00D50286">
              <w:t>Test Automation Frameworks, including Linear, Modularity-driven, Data-driven, Keyword-driven, and Hybrid frameworks. It categorizes these based on their structural approach to test script execution and maintenance.</w:t>
            </w:r>
          </w:p>
        </w:tc>
        <w:tc>
          <w:tcPr>
            <w:tcW w:w="902" w:type="dxa"/>
          </w:tcPr>
          <w:p w14:paraId="37A16437" w14:textId="47686B05" w:rsidR="0065490D" w:rsidRDefault="00D50286">
            <w:r w:rsidRPr="00D50286">
              <w:t xml:space="preserve">comparative study and literature review. They </w:t>
            </w:r>
            <w:proofErr w:type="spellStart"/>
            <w:r w:rsidRPr="00D50286">
              <w:t>analyzed</w:t>
            </w:r>
            <w:proofErr w:type="spellEnd"/>
            <w:r w:rsidRPr="00D50286">
              <w:t xml:space="preserve"> the various categories of automated testing and performed a technical comparison of commonly used automation tools to determine their strengths and limitations.</w:t>
            </w:r>
          </w:p>
        </w:tc>
        <w:tc>
          <w:tcPr>
            <w:tcW w:w="902" w:type="dxa"/>
          </w:tcPr>
          <w:p w14:paraId="458E66E0" w14:textId="3177339D" w:rsidR="0065490D" w:rsidRDefault="00D50286">
            <w:r w:rsidRPr="00D50286">
              <w:t>The research was conducted at the Changchun University of Science and Technology in China, focusing on the global software development industry's need for rapid, high-quality testing solutions.</w:t>
            </w:r>
          </w:p>
        </w:tc>
        <w:tc>
          <w:tcPr>
            <w:tcW w:w="902" w:type="dxa"/>
          </w:tcPr>
          <w:p w14:paraId="030D7180" w14:textId="6617693F" w:rsidR="0065490D" w:rsidRPr="00007732" w:rsidRDefault="00D50286">
            <w:pPr>
              <w:rPr>
                <w:i/>
                <w:iCs/>
                <w:u w:val="single"/>
              </w:rPr>
            </w:pPr>
            <w:r w:rsidRPr="00007732">
              <w:rPr>
                <w:i/>
                <w:iCs/>
                <w:u w:val="single"/>
              </w:rPr>
              <w:t>International Journal of Computer Science Engineering (IJCSE), Vol. 9, No. 3.</w:t>
            </w:r>
          </w:p>
        </w:tc>
        <w:tc>
          <w:tcPr>
            <w:tcW w:w="902" w:type="dxa"/>
          </w:tcPr>
          <w:p w14:paraId="35C7F1F9" w14:textId="3A8CCF95" w:rsidR="0065490D" w:rsidRDefault="00D50286">
            <w:r w:rsidRPr="00D50286">
              <w:t>The study found that no single tool or method is sufficient for comprehensive testing. Successful projects require a strategic combination of different automation techniques and frameworks. The choice of tool must align specifically with the project's technical requirements and the selected automation framework.</w:t>
            </w:r>
          </w:p>
        </w:tc>
        <w:tc>
          <w:tcPr>
            <w:tcW w:w="902" w:type="dxa"/>
          </w:tcPr>
          <w:p w14:paraId="529AB952" w14:textId="76CE753B" w:rsidR="0065490D" w:rsidRDefault="00D50286">
            <w:r w:rsidRPr="00D50286">
              <w:t>Automated testing is essential for modern software delivery. To achieve efficiency, teams must first understand the diverse landscape of tools and frameworks to build a customized testing stack that balances speed with reliability.</w:t>
            </w:r>
          </w:p>
        </w:tc>
        <w:tc>
          <w:tcPr>
            <w:tcW w:w="902" w:type="dxa"/>
          </w:tcPr>
          <w:p w14:paraId="14C463CC" w14:textId="17DC329A" w:rsidR="0065490D" w:rsidRDefault="00D50286">
            <w:r w:rsidRPr="00D50286">
              <w:t>The article highlights the difficulty in finding the "right" tool combination, suggesting a gap in standardized selection criteria for integrating multiple automation tools within a single project.</w:t>
            </w:r>
          </w:p>
        </w:tc>
      </w:tr>
      <w:tr w:rsidR="00007732" w14:paraId="18C84347" w14:textId="77777777" w:rsidTr="0065490D">
        <w:tc>
          <w:tcPr>
            <w:tcW w:w="901" w:type="dxa"/>
          </w:tcPr>
          <w:p w14:paraId="0D87A1FF" w14:textId="405F22CA" w:rsidR="0065490D" w:rsidRDefault="00AA1BD1">
            <w:r>
              <w:lastRenderedPageBreak/>
              <w:t>10</w:t>
            </w:r>
          </w:p>
        </w:tc>
        <w:tc>
          <w:tcPr>
            <w:tcW w:w="901" w:type="dxa"/>
          </w:tcPr>
          <w:p w14:paraId="275E6CF5" w14:textId="387DE080" w:rsidR="0065490D" w:rsidRDefault="00007732">
            <w:r w:rsidRPr="00007732">
              <w:t>Michael Gebhart</w:t>
            </w:r>
            <w:r>
              <w:t xml:space="preserve">, </w:t>
            </w:r>
            <w:r w:rsidRPr="00007732">
              <w:t xml:space="preserve">Pascal Giessler, Sebastian </w:t>
            </w:r>
            <w:proofErr w:type="spellStart"/>
            <w:r w:rsidRPr="00007732">
              <w:t>Abeck</w:t>
            </w:r>
            <w:proofErr w:type="spellEnd"/>
            <w:r>
              <w:t xml:space="preserve"> </w:t>
            </w:r>
            <w:r w:rsidRPr="00007732">
              <w:t>(2016)</w:t>
            </w:r>
          </w:p>
        </w:tc>
        <w:tc>
          <w:tcPr>
            <w:tcW w:w="901" w:type="dxa"/>
          </w:tcPr>
          <w:p w14:paraId="6C86CB1E" w14:textId="58176107" w:rsidR="0065490D" w:rsidRDefault="00007732">
            <w:r w:rsidRPr="00007732">
              <w:t>This study identifies the specific challenges digital transformation imposes on software engineering. It explores how companies must adapt their development processes to create new business models that leverage increased digitization, particularly in the realms of mobile applications and the Internet of Things (IoT).</w:t>
            </w:r>
          </w:p>
        </w:tc>
        <w:tc>
          <w:tcPr>
            <w:tcW w:w="901" w:type="dxa"/>
          </w:tcPr>
          <w:p w14:paraId="0A2B2F1E" w14:textId="58257C79" w:rsidR="0065490D" w:rsidRDefault="00007732">
            <w:r w:rsidRPr="00007732">
              <w:t xml:space="preserve">The research is framed around Digital Business Transformation, </w:t>
            </w:r>
            <w:proofErr w:type="spellStart"/>
            <w:r w:rsidRPr="00007732">
              <w:t>analyzing</w:t>
            </w:r>
            <w:proofErr w:type="spellEnd"/>
            <w:r w:rsidRPr="00007732">
              <w:t xml:space="preserve"> the shift from traditional software development to agile, interconnected ecosystems. It emphasizes the integration of technological evolution with organizational change.</w:t>
            </w:r>
          </w:p>
        </w:tc>
        <w:tc>
          <w:tcPr>
            <w:tcW w:w="902" w:type="dxa"/>
          </w:tcPr>
          <w:p w14:paraId="35BB570F" w14:textId="1A56F9D5" w:rsidR="0065490D" w:rsidRDefault="00007732">
            <w:r w:rsidRPr="00007732">
              <w:t>a qualitative analysis and derivation of solution approaches. They identified market trends and extrapolated the resulting engineering challenges, subsequently deriving strategic solutions based on industry best practices.</w:t>
            </w:r>
          </w:p>
        </w:tc>
        <w:tc>
          <w:tcPr>
            <w:tcW w:w="902" w:type="dxa"/>
          </w:tcPr>
          <w:p w14:paraId="6F07A706" w14:textId="168855B1" w:rsidR="0065490D" w:rsidRDefault="00007732">
            <w:r w:rsidRPr="00007732">
              <w:t xml:space="preserve">in Germany, involving experts from </w:t>
            </w:r>
            <w:proofErr w:type="spellStart"/>
            <w:r w:rsidRPr="00007732">
              <w:t>iteratec</w:t>
            </w:r>
            <w:proofErr w:type="spellEnd"/>
            <w:r w:rsidRPr="00007732">
              <w:t xml:space="preserve"> GmbH and the Karlsruhe Institute of Technology (KIT), focusing on the global competitiveness of software firms.</w:t>
            </w:r>
          </w:p>
        </w:tc>
        <w:tc>
          <w:tcPr>
            <w:tcW w:w="902" w:type="dxa"/>
          </w:tcPr>
          <w:p w14:paraId="139F8373" w14:textId="7E3BF34D" w:rsidR="0065490D" w:rsidRPr="00007732" w:rsidRDefault="00007732">
            <w:pPr>
              <w:rPr>
                <w:i/>
                <w:iCs/>
                <w:u w:val="single"/>
              </w:rPr>
            </w:pPr>
            <w:r w:rsidRPr="00007732">
              <w:rPr>
                <w:i/>
                <w:iCs/>
                <w:u w:val="single"/>
              </w:rPr>
              <w:t>International Conference on Trends in Enterprise Architecture Research (TEAR) / ResearchGate.</w:t>
            </w:r>
          </w:p>
        </w:tc>
        <w:tc>
          <w:tcPr>
            <w:tcW w:w="902" w:type="dxa"/>
          </w:tcPr>
          <w:p w14:paraId="69828667" w14:textId="3498BA1D" w:rsidR="0065490D" w:rsidRDefault="00007732">
            <w:r w:rsidRPr="00007732">
              <w:t>The research found that digital transformation necessitates a shift toward API-led strategies and decentralized architectures. It also highlighted that technical shifts are unsuccessful without a corresponding change in team culture, which must become more adaptive to handle the complexities of IoT and mobile platforms.</w:t>
            </w:r>
          </w:p>
        </w:tc>
        <w:tc>
          <w:tcPr>
            <w:tcW w:w="902" w:type="dxa"/>
          </w:tcPr>
          <w:p w14:paraId="4F6AFD07" w14:textId="19570D2A" w:rsidR="0065490D" w:rsidRDefault="00007732">
            <w:r w:rsidRPr="00007732">
              <w:t>Success in a digitized market requires software companies to move beyond technical coding and embrace holistic strategies. Implementing robust API strategies and fostering a collaborative culture are essential for maintaining a competitive edge.</w:t>
            </w:r>
          </w:p>
        </w:tc>
        <w:tc>
          <w:tcPr>
            <w:tcW w:w="902" w:type="dxa"/>
          </w:tcPr>
          <w:p w14:paraId="5679C6B0" w14:textId="074BC590" w:rsidR="0065490D" w:rsidRDefault="00007732">
            <w:r w:rsidRPr="00007732">
              <w:t>The study points to a need for more concrete methodological frameworks that specifically address the intersection of IoT hardware requirements and traditional software engineering life cycles.</w:t>
            </w:r>
          </w:p>
        </w:tc>
      </w:tr>
    </w:tbl>
    <w:p w14:paraId="2DE66EAB" w14:textId="77777777" w:rsidR="0065490D" w:rsidRDefault="0065490D"/>
    <w:sectPr w:rsidR="0065490D" w:rsidSect="00CC303C">
      <w:pgSz w:w="16838" w:h="11906" w:orient="landscape"/>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C8C66" w14:textId="77777777" w:rsidR="00B843F3" w:rsidRDefault="00B843F3" w:rsidP="00007732">
      <w:pPr>
        <w:spacing w:after="0" w:line="240" w:lineRule="auto"/>
      </w:pPr>
      <w:r>
        <w:separator/>
      </w:r>
    </w:p>
  </w:endnote>
  <w:endnote w:type="continuationSeparator" w:id="0">
    <w:p w14:paraId="4ABBA6FF" w14:textId="77777777" w:rsidR="00B843F3" w:rsidRDefault="00B843F3" w:rsidP="00007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A22A7" w14:textId="77777777" w:rsidR="00B843F3" w:rsidRDefault="00B843F3" w:rsidP="00007732">
      <w:pPr>
        <w:spacing w:after="0" w:line="240" w:lineRule="auto"/>
      </w:pPr>
      <w:r>
        <w:separator/>
      </w:r>
    </w:p>
  </w:footnote>
  <w:footnote w:type="continuationSeparator" w:id="0">
    <w:p w14:paraId="5EFE344F" w14:textId="77777777" w:rsidR="00B843F3" w:rsidRDefault="00B843F3" w:rsidP="00007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E05A4"/>
    <w:multiLevelType w:val="multilevel"/>
    <w:tmpl w:val="74D2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217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90D"/>
    <w:rsid w:val="00007732"/>
    <w:rsid w:val="001F5722"/>
    <w:rsid w:val="002A5155"/>
    <w:rsid w:val="003930F1"/>
    <w:rsid w:val="0065490D"/>
    <w:rsid w:val="006B035B"/>
    <w:rsid w:val="007F1100"/>
    <w:rsid w:val="00807DE2"/>
    <w:rsid w:val="00904515"/>
    <w:rsid w:val="00984DFF"/>
    <w:rsid w:val="009B56AB"/>
    <w:rsid w:val="00AA1BD1"/>
    <w:rsid w:val="00B843F3"/>
    <w:rsid w:val="00CC303C"/>
    <w:rsid w:val="00D50286"/>
    <w:rsid w:val="00D66AD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F71C8"/>
  <w15:chartTrackingRefBased/>
  <w15:docId w15:val="{B0B319EA-F41D-4748-A91C-1DAAE54D8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9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49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9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9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9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9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49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9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9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9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90D"/>
    <w:rPr>
      <w:rFonts w:eastAsiaTheme="majorEastAsia" w:cstheme="majorBidi"/>
      <w:color w:val="272727" w:themeColor="text1" w:themeTint="D8"/>
    </w:rPr>
  </w:style>
  <w:style w:type="paragraph" w:styleId="Title">
    <w:name w:val="Title"/>
    <w:basedOn w:val="Normal"/>
    <w:next w:val="Normal"/>
    <w:link w:val="TitleChar"/>
    <w:uiPriority w:val="10"/>
    <w:qFormat/>
    <w:rsid w:val="00654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90D"/>
    <w:pPr>
      <w:spacing w:before="160"/>
      <w:jc w:val="center"/>
    </w:pPr>
    <w:rPr>
      <w:i/>
      <w:iCs/>
      <w:color w:val="404040" w:themeColor="text1" w:themeTint="BF"/>
    </w:rPr>
  </w:style>
  <w:style w:type="character" w:customStyle="1" w:styleId="QuoteChar">
    <w:name w:val="Quote Char"/>
    <w:basedOn w:val="DefaultParagraphFont"/>
    <w:link w:val="Quote"/>
    <w:uiPriority w:val="29"/>
    <w:rsid w:val="0065490D"/>
    <w:rPr>
      <w:i/>
      <w:iCs/>
      <w:color w:val="404040" w:themeColor="text1" w:themeTint="BF"/>
    </w:rPr>
  </w:style>
  <w:style w:type="paragraph" w:styleId="ListParagraph">
    <w:name w:val="List Paragraph"/>
    <w:basedOn w:val="Normal"/>
    <w:uiPriority w:val="34"/>
    <w:qFormat/>
    <w:rsid w:val="0065490D"/>
    <w:pPr>
      <w:ind w:left="720"/>
      <w:contextualSpacing/>
    </w:pPr>
  </w:style>
  <w:style w:type="character" w:styleId="IntenseEmphasis">
    <w:name w:val="Intense Emphasis"/>
    <w:basedOn w:val="DefaultParagraphFont"/>
    <w:uiPriority w:val="21"/>
    <w:qFormat/>
    <w:rsid w:val="0065490D"/>
    <w:rPr>
      <w:i/>
      <w:iCs/>
      <w:color w:val="2F5496" w:themeColor="accent1" w:themeShade="BF"/>
    </w:rPr>
  </w:style>
  <w:style w:type="paragraph" w:styleId="IntenseQuote">
    <w:name w:val="Intense Quote"/>
    <w:basedOn w:val="Normal"/>
    <w:next w:val="Normal"/>
    <w:link w:val="IntenseQuoteChar"/>
    <w:uiPriority w:val="30"/>
    <w:qFormat/>
    <w:rsid w:val="006549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90D"/>
    <w:rPr>
      <w:i/>
      <w:iCs/>
      <w:color w:val="2F5496" w:themeColor="accent1" w:themeShade="BF"/>
    </w:rPr>
  </w:style>
  <w:style w:type="character" w:styleId="IntenseReference">
    <w:name w:val="Intense Reference"/>
    <w:basedOn w:val="DefaultParagraphFont"/>
    <w:uiPriority w:val="32"/>
    <w:qFormat/>
    <w:rsid w:val="0065490D"/>
    <w:rPr>
      <w:b/>
      <w:bCs/>
      <w:smallCaps/>
      <w:color w:val="2F5496" w:themeColor="accent1" w:themeShade="BF"/>
      <w:spacing w:val="5"/>
    </w:rPr>
  </w:style>
  <w:style w:type="table" w:styleId="TableGrid">
    <w:name w:val="Table Grid"/>
    <w:basedOn w:val="TableNormal"/>
    <w:uiPriority w:val="39"/>
    <w:rsid w:val="006549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1BD1"/>
    <w:rPr>
      <w:color w:val="0563C1" w:themeColor="hyperlink"/>
      <w:u w:val="single"/>
    </w:rPr>
  </w:style>
  <w:style w:type="character" w:styleId="UnresolvedMention">
    <w:name w:val="Unresolved Mention"/>
    <w:basedOn w:val="DefaultParagraphFont"/>
    <w:uiPriority w:val="99"/>
    <w:semiHidden/>
    <w:unhideWhenUsed/>
    <w:rsid w:val="00AA1BD1"/>
    <w:rPr>
      <w:color w:val="605E5C"/>
      <w:shd w:val="clear" w:color="auto" w:fill="E1DFDD"/>
    </w:rPr>
  </w:style>
  <w:style w:type="paragraph" w:styleId="Header">
    <w:name w:val="header"/>
    <w:basedOn w:val="Normal"/>
    <w:link w:val="HeaderChar"/>
    <w:uiPriority w:val="99"/>
    <w:unhideWhenUsed/>
    <w:rsid w:val="000077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7732"/>
  </w:style>
  <w:style w:type="paragraph" w:styleId="Footer">
    <w:name w:val="footer"/>
    <w:basedOn w:val="Normal"/>
    <w:link w:val="FooterChar"/>
    <w:uiPriority w:val="99"/>
    <w:unhideWhenUsed/>
    <w:rsid w:val="000077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7732"/>
  </w:style>
  <w:style w:type="paragraph" w:styleId="NoSpacing">
    <w:name w:val="No Spacing"/>
    <w:link w:val="NoSpacingChar"/>
    <w:uiPriority w:val="1"/>
    <w:qFormat/>
    <w:rsid w:val="0000773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07732"/>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Lv 300
PUIS/23210016</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6</Pages>
  <Words>1540</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method</dc:title>
  <dc:subject>assignement</dc:subject>
  <dc:creator>OUEDRAOGO Regis</dc:creator>
  <cp:keywords/>
  <dc:description/>
  <cp:lastModifiedBy>regisouedraogo03@gmail.com</cp:lastModifiedBy>
  <cp:revision>1</cp:revision>
  <dcterms:created xsi:type="dcterms:W3CDTF">2026-03-31T21:03:00Z</dcterms:created>
  <dcterms:modified xsi:type="dcterms:W3CDTF">2026-03-31T23:29:00Z</dcterms:modified>
</cp:coreProperties>
</file>