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11AF" w14:textId="77777777" w:rsidR="007B1AA5" w:rsidRDefault="007B1AA5">
      <w:pPr>
        <w:spacing w:after="1200"/>
      </w:pPr>
    </w:p>
    <w:p w14:paraId="3EA02CC8" w14:textId="77777777" w:rsidR="007B1AA5" w:rsidRDefault="00000000">
      <w:pPr>
        <w:jc w:val="center"/>
      </w:pPr>
      <w:r>
        <w:rPr>
          <w:b/>
          <w:bCs/>
          <w:color w:val="162447"/>
          <w:sz w:val="48"/>
          <w:szCs w:val="48"/>
        </w:rPr>
        <w:t>TELCO CUSTOMER CHURN ANALYSIS</w:t>
      </w:r>
    </w:p>
    <w:p w14:paraId="21E2D611" w14:textId="77777777" w:rsidR="007B1AA5" w:rsidRDefault="007B1AA5">
      <w:pPr>
        <w:spacing w:after="120"/>
      </w:pPr>
    </w:p>
    <w:p w14:paraId="163B02C0" w14:textId="77777777" w:rsidR="007B1AA5" w:rsidRDefault="00000000">
      <w:pPr>
        <w:jc w:val="center"/>
      </w:pPr>
      <w:r>
        <w:rPr>
          <w:color w:val="2E6E86"/>
          <w:sz w:val="26"/>
          <w:szCs w:val="26"/>
        </w:rPr>
        <w:t>Service Analysis, Financial Impact &amp; Retention Strategy</w:t>
      </w:r>
    </w:p>
    <w:p w14:paraId="70E5388B" w14:textId="77777777" w:rsidR="007B1AA5" w:rsidRDefault="007B1AA5">
      <w:pPr>
        <w:spacing w:after="600"/>
      </w:pPr>
    </w:p>
    <w:p w14:paraId="24B72090" w14:textId="77777777" w:rsidR="007B1AA5" w:rsidRDefault="00000000">
      <w:pPr>
        <w:jc w:val="center"/>
      </w:pPr>
      <w:r>
        <w:rPr>
          <w:b/>
          <w:bCs/>
          <w:color w:val="E15554"/>
          <w:sz w:val="21"/>
          <w:szCs w:val="21"/>
        </w:rPr>
        <w:t>7,043 Customers Analyzed   |   26.5% Churn Rate   |   $139.1K/</w:t>
      </w:r>
      <w:proofErr w:type="spellStart"/>
      <w:r>
        <w:rPr>
          <w:b/>
          <w:bCs/>
          <w:color w:val="E15554"/>
          <w:sz w:val="21"/>
          <w:szCs w:val="21"/>
        </w:rPr>
        <w:t>mo</w:t>
      </w:r>
      <w:proofErr w:type="spellEnd"/>
      <w:r>
        <w:rPr>
          <w:b/>
          <w:bCs/>
          <w:color w:val="E15554"/>
          <w:sz w:val="21"/>
          <w:szCs w:val="21"/>
        </w:rPr>
        <w:t xml:space="preserve"> Revenue Lost</w:t>
      </w:r>
    </w:p>
    <w:p w14:paraId="563FD855" w14:textId="56043A32" w:rsidR="007B1AA5" w:rsidRDefault="00000000">
      <w:r>
        <w:br w:type="page"/>
      </w:r>
    </w:p>
    <w:p w14:paraId="6A5B2B1D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Table of Contents</w:t>
      </w:r>
    </w:p>
    <w:p w14:paraId="4691E980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1. Project Overview</w:t>
      </w:r>
    </w:p>
    <w:p w14:paraId="66B7B7E7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2. The Brief: What Stakeholders Asked</w:t>
      </w:r>
    </w:p>
    <w:p w14:paraId="3117020B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3. Data &amp; Tools</w:t>
      </w:r>
    </w:p>
    <w:p w14:paraId="5AB633C4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4. Executive Summary</w:t>
      </w:r>
    </w:p>
    <w:p w14:paraId="1AECC2E4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5. Customer Behaviour — Who's Leaving, and Why It's Predictable</w:t>
      </w:r>
    </w:p>
    <w:p w14:paraId="07FD72C2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6. Service Analysis — What Keeps Customers Loyal</w:t>
      </w:r>
    </w:p>
    <w:p w14:paraId="21282C5C" w14:textId="77777777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7. Financial Impact — What Churn Is Actually Costing Us</w:t>
      </w:r>
    </w:p>
    <w:p w14:paraId="67A17CB3" w14:textId="6A738375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8. Business Insight — Is It Price, or Is It Us?</w:t>
      </w:r>
    </w:p>
    <w:p w14:paraId="3939C1A2" w14:textId="0C1BB9CD" w:rsidR="007B1AA5" w:rsidRPr="008142DC" w:rsidRDefault="008142DC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9.  Recommendations</w:t>
      </w:r>
    </w:p>
    <w:p w14:paraId="77C63F30" w14:textId="6F34B94A" w:rsidR="007B1AA5" w:rsidRPr="008142DC" w:rsidRDefault="00000000" w:rsidP="008142DC">
      <w:pPr>
        <w:spacing w:after="160" w:line="480" w:lineRule="auto"/>
        <w:rPr>
          <w:sz w:val="28"/>
          <w:szCs w:val="28"/>
        </w:rPr>
      </w:pPr>
      <w:r w:rsidRPr="008142DC">
        <w:rPr>
          <w:color w:val="1B2430"/>
          <w:sz w:val="28"/>
          <w:szCs w:val="28"/>
        </w:rPr>
        <w:t>1</w:t>
      </w:r>
      <w:r w:rsidR="008142DC" w:rsidRPr="008142DC">
        <w:rPr>
          <w:color w:val="1B2430"/>
          <w:sz w:val="28"/>
          <w:szCs w:val="28"/>
        </w:rPr>
        <w:t>0</w:t>
      </w:r>
      <w:r w:rsidRPr="008142DC">
        <w:rPr>
          <w:color w:val="1B2430"/>
          <w:sz w:val="28"/>
          <w:szCs w:val="28"/>
        </w:rPr>
        <w:t>. Limitations &amp; Notes</w:t>
      </w:r>
    </w:p>
    <w:p w14:paraId="0B72FE64" w14:textId="77777777" w:rsidR="007B1AA5" w:rsidRDefault="00000000">
      <w:r>
        <w:br w:type="page"/>
      </w:r>
    </w:p>
    <w:p w14:paraId="5595EFCF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1. Project Overview</w:t>
      </w:r>
    </w:p>
    <w:p w14:paraId="741DBBDA" w14:textId="2E74EF53" w:rsidR="007B1AA5" w:rsidRPr="00DE3082" w:rsidRDefault="00000000">
      <w:pPr>
        <w:spacing w:after="160" w:line="30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>Customer churn is the single biggest threat to recurring revenue in a subscription business. This project analyzes 7,043 customers of a telecom provider to answer a concrete question: where is churn concentrated, what is it costing the business, and what should be done about it</w:t>
      </w:r>
      <w:r w:rsidR="008142DC" w:rsidRPr="00DE3082">
        <w:rPr>
          <w:color w:val="1B2430"/>
          <w:sz w:val="24"/>
          <w:szCs w:val="24"/>
        </w:rPr>
        <w:t>,</w:t>
      </w:r>
      <w:r w:rsidRPr="00DE3082">
        <w:rPr>
          <w:color w:val="1B2430"/>
          <w:sz w:val="24"/>
          <w:szCs w:val="24"/>
        </w:rPr>
        <w:t xml:space="preserve"> in that order.</w:t>
      </w:r>
    </w:p>
    <w:p w14:paraId="33BC8A5D" w14:textId="61A28833" w:rsidR="007B1AA5" w:rsidRPr="00DE3082" w:rsidRDefault="00000000">
      <w:pPr>
        <w:spacing w:after="160" w:line="30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>Rather than exploring every possible cut of the data, this analysis was scoped the way a real analytics engagement would be: around specific questions from specific stakeholders. That scoping decision</w:t>
      </w:r>
      <w:r w:rsidR="008142DC" w:rsidRPr="00DE3082">
        <w:rPr>
          <w:color w:val="1B2430"/>
          <w:sz w:val="24"/>
          <w:szCs w:val="24"/>
        </w:rPr>
        <w:t>,</w:t>
      </w:r>
      <w:r w:rsidRPr="00DE3082">
        <w:rPr>
          <w:color w:val="1B2430"/>
          <w:sz w:val="24"/>
          <w:szCs w:val="24"/>
        </w:rPr>
        <w:t xml:space="preserve"> what to include and, just as importantly, what to leave </w:t>
      </w:r>
      <w:r w:rsidR="00DE3082" w:rsidRPr="00DE3082">
        <w:rPr>
          <w:color w:val="1B2430"/>
          <w:sz w:val="24"/>
          <w:szCs w:val="24"/>
        </w:rPr>
        <w:t>out is</w:t>
      </w:r>
      <w:r w:rsidRPr="00DE3082">
        <w:rPr>
          <w:color w:val="1B2430"/>
          <w:sz w:val="24"/>
          <w:szCs w:val="24"/>
        </w:rPr>
        <w:t xml:space="preserve"> part of the deliverable, not an afterthought.</w:t>
      </w:r>
    </w:p>
    <w:p w14:paraId="6314E87A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t>2. The Brief: What Stakeholders Asked</w:t>
      </w:r>
    </w:p>
    <w:p w14:paraId="3427703B" w14:textId="77777777" w:rsidR="007B1AA5" w:rsidRDefault="007B1AA5">
      <w:pPr>
        <w:spacing w:after="100"/>
      </w:pPr>
    </w:p>
    <w:tbl>
      <w:tblPr>
        <w:tblW w:w="49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3720"/>
        <w:gridCol w:w="4750"/>
      </w:tblGrid>
      <w:tr w:rsidR="007B1AA5" w14:paraId="5ABC9E0F" w14:textId="77777777" w:rsidTr="008142DC">
        <w:trPr>
          <w:tblHeader/>
        </w:trPr>
        <w:tc>
          <w:tcPr>
            <w:tcW w:w="727" w:type="pct"/>
            <w:shd w:val="clear" w:color="auto" w:fill="1624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94E17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shd w:val="clear" w:color="auto" w:fill="1624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5AD35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0" w:type="auto"/>
            <w:shd w:val="clear" w:color="auto" w:fill="1624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2B6D4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b/>
                <w:bCs/>
                <w:color w:val="FFFFFF"/>
                <w:sz w:val="24"/>
                <w:szCs w:val="24"/>
              </w:rPr>
              <w:t>What It Maps To</w:t>
            </w:r>
          </w:p>
        </w:tc>
      </w:tr>
      <w:tr w:rsidR="007B1AA5" w14:paraId="110CD5D6" w14:textId="77777777" w:rsidTr="008142DC">
        <w:tc>
          <w:tcPr>
            <w:tcW w:w="727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88463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CFO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B82C4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“Where is the money actually going?”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64408B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Quantify revenue and lifetime value lost to churn</w:t>
            </w:r>
          </w:p>
        </w:tc>
      </w:tr>
      <w:tr w:rsidR="007B1AA5" w14:paraId="4E14633F" w14:textId="77777777" w:rsidTr="008142DC">
        <w:tc>
          <w:tcPr>
            <w:tcW w:w="727" w:type="pct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43534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VP, Retention</w:t>
            </w:r>
          </w:p>
        </w:tc>
        <w:tc>
          <w:tcPr>
            <w:tcW w:w="0" w:type="auto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9EA26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“Who's leaving, and who's next?”</w:t>
            </w:r>
          </w:p>
        </w:tc>
        <w:tc>
          <w:tcPr>
            <w:tcW w:w="0" w:type="auto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8A0FB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Profile churn by contract and payment behaviour</w:t>
            </w:r>
          </w:p>
        </w:tc>
      </w:tr>
      <w:tr w:rsidR="007B1AA5" w14:paraId="37877070" w14:textId="77777777" w:rsidTr="008142DC">
        <w:tc>
          <w:tcPr>
            <w:tcW w:w="727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04C36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Head of Product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8BC22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“Which services should we push harder?”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662C1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Prove which add-ons reduce churn risk</w:t>
            </w:r>
          </w:p>
        </w:tc>
      </w:tr>
      <w:tr w:rsidR="007B1AA5" w14:paraId="782DE614" w14:textId="77777777" w:rsidTr="008142DC">
        <w:tc>
          <w:tcPr>
            <w:tcW w:w="727" w:type="pct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148DC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CX Lead</w:t>
            </w:r>
          </w:p>
        </w:tc>
        <w:tc>
          <w:tcPr>
            <w:tcW w:w="0" w:type="auto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50767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“Is it price, or is it us?”</w:t>
            </w:r>
          </w:p>
        </w:tc>
        <w:tc>
          <w:tcPr>
            <w:tcW w:w="0" w:type="auto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9A7FA" w14:textId="77777777" w:rsidR="007B1AA5" w:rsidRPr="00DE3082" w:rsidRDefault="00000000">
            <w:pPr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Separate price-driven churn from service-driven churn</w:t>
            </w:r>
          </w:p>
        </w:tc>
      </w:tr>
    </w:tbl>
    <w:p w14:paraId="13E084D1" w14:textId="77777777" w:rsidR="007B1AA5" w:rsidRDefault="007B1AA5">
      <w:pPr>
        <w:spacing w:after="200"/>
      </w:pPr>
    </w:p>
    <w:p w14:paraId="2754053E" w14:textId="70A292B5" w:rsidR="007B1AA5" w:rsidRPr="00DE3082" w:rsidRDefault="00000000">
      <w:pPr>
        <w:spacing w:after="160" w:line="30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 xml:space="preserve">Demographic segmentation (gender, partner/dependents status) was deliberately not built out as a standalone section </w:t>
      </w:r>
      <w:r w:rsidR="008142DC" w:rsidRPr="00DE3082">
        <w:rPr>
          <w:color w:val="1B2430"/>
          <w:sz w:val="24"/>
          <w:szCs w:val="24"/>
        </w:rPr>
        <w:t xml:space="preserve">as </w:t>
      </w:r>
      <w:r w:rsidRPr="00DE3082">
        <w:rPr>
          <w:color w:val="1B2430"/>
          <w:sz w:val="24"/>
          <w:szCs w:val="24"/>
        </w:rPr>
        <w:t xml:space="preserve">none of the above stakeholders asked for it, and the signal there is weak. The one exception worth noting: senior citizens churn at 41.7% vs. 23.6% for everyone </w:t>
      </w:r>
      <w:r w:rsidR="008142DC" w:rsidRPr="00DE3082">
        <w:rPr>
          <w:color w:val="1B2430"/>
          <w:sz w:val="24"/>
          <w:szCs w:val="24"/>
        </w:rPr>
        <w:t>else was flagged</w:t>
      </w:r>
      <w:r w:rsidRPr="00DE3082">
        <w:rPr>
          <w:color w:val="1B2430"/>
          <w:sz w:val="24"/>
          <w:szCs w:val="24"/>
        </w:rPr>
        <w:t xml:space="preserve"> here, but not treated as a full section, since no stakeholder persona required it.</w:t>
      </w:r>
    </w:p>
    <w:p w14:paraId="5D59E1A8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t>3. Data &amp; Tools</w:t>
      </w:r>
    </w:p>
    <w:p w14:paraId="5C32C478" w14:textId="77777777" w:rsidR="007B1AA5" w:rsidRPr="00DE3082" w:rsidRDefault="00000000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>Dataset: IBM Telco Customer Churn dataset (7,043 customers, 21+ attributes) — telecom_churn_data.csv</w:t>
      </w:r>
    </w:p>
    <w:p w14:paraId="22A812A7" w14:textId="77777777" w:rsidR="007B1AA5" w:rsidRPr="00DE3082" w:rsidRDefault="00000000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>Dashboard: Power BI (.pbix) — 5-table star schema (</w:t>
      </w:r>
      <w:proofErr w:type="spellStart"/>
      <w:r w:rsidRPr="00DE3082">
        <w:rPr>
          <w:color w:val="1B2430"/>
          <w:sz w:val="24"/>
          <w:szCs w:val="24"/>
        </w:rPr>
        <w:t>Telco_Fact</w:t>
      </w:r>
      <w:proofErr w:type="spellEnd"/>
      <w:r w:rsidRPr="00DE3082">
        <w:rPr>
          <w:color w:val="1B2430"/>
          <w:sz w:val="24"/>
          <w:szCs w:val="24"/>
        </w:rPr>
        <w:t xml:space="preserve">, </w:t>
      </w:r>
      <w:proofErr w:type="spellStart"/>
      <w:r w:rsidRPr="00DE3082">
        <w:rPr>
          <w:color w:val="1B2430"/>
          <w:sz w:val="24"/>
          <w:szCs w:val="24"/>
        </w:rPr>
        <w:t>Telco_customer_dim</w:t>
      </w:r>
      <w:proofErr w:type="spellEnd"/>
      <w:r w:rsidRPr="00DE3082">
        <w:rPr>
          <w:color w:val="1B2430"/>
          <w:sz w:val="24"/>
          <w:szCs w:val="24"/>
        </w:rPr>
        <w:t xml:space="preserve">, </w:t>
      </w:r>
      <w:proofErr w:type="spellStart"/>
      <w:r w:rsidRPr="00DE3082">
        <w:rPr>
          <w:color w:val="1B2430"/>
          <w:sz w:val="24"/>
          <w:szCs w:val="24"/>
        </w:rPr>
        <w:t>Telco_Service_dim</w:t>
      </w:r>
      <w:proofErr w:type="spellEnd"/>
      <w:r w:rsidRPr="00DE3082">
        <w:rPr>
          <w:color w:val="1B2430"/>
          <w:sz w:val="24"/>
          <w:szCs w:val="24"/>
        </w:rPr>
        <w:t xml:space="preserve">, </w:t>
      </w:r>
      <w:proofErr w:type="spellStart"/>
      <w:r w:rsidRPr="00DE3082">
        <w:rPr>
          <w:color w:val="1B2430"/>
          <w:sz w:val="24"/>
          <w:szCs w:val="24"/>
        </w:rPr>
        <w:t>Telco_Contract_dim</w:t>
      </w:r>
      <w:proofErr w:type="spellEnd"/>
      <w:r w:rsidRPr="00DE3082">
        <w:rPr>
          <w:color w:val="1B2430"/>
          <w:sz w:val="24"/>
          <w:szCs w:val="24"/>
        </w:rPr>
        <w:t xml:space="preserve">, </w:t>
      </w:r>
      <w:proofErr w:type="spellStart"/>
      <w:r w:rsidRPr="00DE3082">
        <w:rPr>
          <w:color w:val="1B2430"/>
          <w:sz w:val="24"/>
          <w:szCs w:val="24"/>
        </w:rPr>
        <w:t>Telco_churn_reason_dim</w:t>
      </w:r>
      <w:proofErr w:type="spellEnd"/>
      <w:r w:rsidRPr="00DE3082">
        <w:rPr>
          <w:color w:val="1B2430"/>
          <w:sz w:val="24"/>
          <w:szCs w:val="24"/>
        </w:rPr>
        <w:t>)</w:t>
      </w:r>
    </w:p>
    <w:p w14:paraId="24E04917" w14:textId="77777777" w:rsidR="007B1AA5" w:rsidRPr="00DE3082" w:rsidRDefault="00000000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>Presentation: 11-slide stakeholder deck (Customer_Churn_Analysis.pptx), built for a 10-minute delivery window</w:t>
      </w:r>
    </w:p>
    <w:p w14:paraId="52F12732" w14:textId="10D73546" w:rsidR="004563B1" w:rsidRPr="00DE3082" w:rsidRDefault="004563B1" w:rsidP="004563B1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lastRenderedPageBreak/>
        <w:t>Data Modeling: The source data arrived as a single flat table; Python (pandas) was used to normalize it into a 5-table relational structure (star schema) to support proper data modeling and relationships in Power BI.</w:t>
      </w:r>
    </w:p>
    <w:p w14:paraId="5AFBABB5" w14:textId="77777777" w:rsidR="007B1AA5" w:rsidRPr="00DE3082" w:rsidRDefault="007B1AA5">
      <w:pPr>
        <w:spacing w:after="100"/>
        <w:rPr>
          <w:sz w:val="24"/>
          <w:szCs w:val="24"/>
        </w:rPr>
      </w:pPr>
    </w:p>
    <w:p w14:paraId="03F725B6" w14:textId="77777777" w:rsidR="007B1AA5" w:rsidRDefault="00000000">
      <w:pPr>
        <w:spacing w:after="160" w:line="300" w:lineRule="auto"/>
        <w:rPr>
          <w:color w:val="1B2430"/>
          <w:sz w:val="24"/>
          <w:szCs w:val="24"/>
        </w:rPr>
      </w:pPr>
      <w:r w:rsidRPr="00DE3082">
        <w:rPr>
          <w:color w:val="1B2430"/>
          <w:sz w:val="24"/>
          <w:szCs w:val="24"/>
        </w:rPr>
        <w:t>Key fields used: Contract, Payment Method, Internet Service, Online Security, Tech Support, Online Backup, Device Protection, Tenure Group, Monthly Charges, Total Charges, CLTV (Customer Lifetime Value), Churn Value, Grouped Churn Reason.</w:t>
      </w:r>
    </w:p>
    <w:p w14:paraId="06DE0B97" w14:textId="77777777" w:rsidR="00FA0F58" w:rsidRDefault="00FA0F58">
      <w:pPr>
        <w:spacing w:after="160" w:line="300" w:lineRule="auto"/>
        <w:rPr>
          <w:color w:val="1B2430"/>
          <w:sz w:val="24"/>
          <w:szCs w:val="24"/>
        </w:rPr>
      </w:pPr>
    </w:p>
    <w:p w14:paraId="7C22A218" w14:textId="06829D64" w:rsidR="00FA0F58" w:rsidRPr="00DE3082" w:rsidRDefault="00794D2E">
      <w:pPr>
        <w:spacing w:after="160" w:line="30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DCB6EE" wp14:editId="36F4D244">
            <wp:simplePos x="685800" y="2809875"/>
            <wp:positionH relativeFrom="margin">
              <wp:align>center</wp:align>
            </wp:positionH>
            <wp:positionV relativeFrom="margin">
              <wp:align>bottom</wp:align>
            </wp:positionV>
            <wp:extent cx="6841490" cy="4781550"/>
            <wp:effectExtent l="0" t="0" r="0" b="0"/>
            <wp:wrapSquare wrapText="bothSides"/>
            <wp:docPr id="79031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113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E5A42" w14:textId="5A6598E7" w:rsidR="007B1AA5" w:rsidRDefault="00794D2E">
      <w:r>
        <w:rPr>
          <w:noProof/>
        </w:rPr>
        <w:lastRenderedPageBreak/>
        <w:drawing>
          <wp:inline distT="0" distB="0" distL="0" distR="0" wp14:anchorId="1AC9CCF5" wp14:editId="0122B06D">
            <wp:extent cx="6400800" cy="4169410"/>
            <wp:effectExtent l="0" t="0" r="0" b="2540"/>
            <wp:docPr id="97832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F58">
        <w:br w:type="page"/>
      </w:r>
    </w:p>
    <w:p w14:paraId="13897716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4. Executive Summary</w:t>
      </w:r>
    </w:p>
    <w:p w14:paraId="61862F49" w14:textId="2AAD9B10" w:rsidR="007B1AA5" w:rsidRDefault="0018702F">
      <w:pPr>
        <w:spacing w:after="200"/>
      </w:pPr>
      <w:r w:rsidRPr="0018702F">
        <w:rPr>
          <w:noProof/>
        </w:rPr>
        <w:drawing>
          <wp:inline distT="0" distB="0" distL="0" distR="0" wp14:anchorId="61226D28" wp14:editId="1D192385">
            <wp:extent cx="6400800" cy="3945255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0491906-5514-D07B-CAA2-2703AD76EC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0491906-5514-D07B-CAA2-2703AD76EC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637F" w14:textId="77777777" w:rsidR="007B1AA5" w:rsidRDefault="007B1AA5">
      <w:pPr>
        <w:spacing w:after="200"/>
      </w:pPr>
    </w:p>
    <w:tbl>
      <w:tblPr>
        <w:tblW w:w="5000" w:type="pct"/>
        <w:tblBorders>
          <w:top w:val="single" w:sz="4" w:space="0" w:color="D7DEE7"/>
          <w:left w:val="single" w:sz="24" w:space="0" w:color="162447"/>
          <w:bottom w:val="single" w:sz="4" w:space="0" w:color="D7DEE7"/>
          <w:right w:val="single" w:sz="4" w:space="0" w:color="D7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7B1AA5" w14:paraId="6AE0D82C" w14:textId="77777777">
        <w:tc>
          <w:tcPr>
            <w:tcW w:w="5000" w:type="pct"/>
            <w:shd w:val="clear" w:color="auto" w:fill="F5F7F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EFF0F3" w14:textId="77777777" w:rsidR="007B1AA5" w:rsidRPr="00DE3082" w:rsidRDefault="00000000">
            <w:pPr>
              <w:spacing w:after="80"/>
              <w:rPr>
                <w:sz w:val="24"/>
                <w:szCs w:val="24"/>
              </w:rPr>
            </w:pPr>
            <w:r w:rsidRPr="00DE3082">
              <w:rPr>
                <w:b/>
                <w:bCs/>
                <w:color w:val="162447"/>
                <w:sz w:val="24"/>
                <w:szCs w:val="24"/>
              </w:rPr>
              <w:t>THE STORY IN ONE LINE</w:t>
            </w:r>
          </w:p>
          <w:p w14:paraId="4CFB971B" w14:textId="7A216027" w:rsidR="007B1AA5" w:rsidRDefault="00000000">
            <w:pPr>
              <w:spacing w:line="290" w:lineRule="auto"/>
            </w:pPr>
            <w:r w:rsidRPr="00DE3082">
              <w:rPr>
                <w:color w:val="1B2430"/>
                <w:sz w:val="24"/>
                <w:szCs w:val="24"/>
              </w:rPr>
              <w:t xml:space="preserve">1 in 4 customers has churned, concentrated almost entirely in month-to-month, fiber-optic, electronic-check customers. This segment alone drives roughly half of monthly revenue </w:t>
            </w:r>
            <w:r w:rsidR="004563B1" w:rsidRPr="00DE3082">
              <w:rPr>
                <w:color w:val="1B2430"/>
                <w:sz w:val="24"/>
                <w:szCs w:val="24"/>
              </w:rPr>
              <w:t>lost,</w:t>
            </w:r>
            <w:r w:rsidRPr="00DE3082">
              <w:rPr>
                <w:color w:val="1B2430"/>
                <w:sz w:val="24"/>
                <w:szCs w:val="24"/>
              </w:rPr>
              <w:t xml:space="preserve"> making it the single highest</w:t>
            </w:r>
            <w:r w:rsidR="004563B1" w:rsidRPr="00DE3082">
              <w:rPr>
                <w:color w:val="1B2430"/>
                <w:sz w:val="24"/>
                <w:szCs w:val="24"/>
              </w:rPr>
              <w:t xml:space="preserve"> </w:t>
            </w:r>
            <w:r w:rsidRPr="00DE3082">
              <w:rPr>
                <w:color w:val="1B2430"/>
                <w:sz w:val="24"/>
                <w:szCs w:val="24"/>
              </w:rPr>
              <w:t>leverage target for retention investment.</w:t>
            </w:r>
          </w:p>
        </w:tc>
      </w:tr>
    </w:tbl>
    <w:p w14:paraId="4ED2095E" w14:textId="77777777" w:rsidR="007B1AA5" w:rsidRDefault="00000000">
      <w:r>
        <w:br w:type="page"/>
      </w:r>
    </w:p>
    <w:p w14:paraId="6ABE3EE0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5. Customer Behaviour — Who's Leaving, and Why It's Predictable</w:t>
      </w:r>
    </w:p>
    <w:tbl>
      <w:tblPr>
        <w:tblW w:w="5000" w:type="pct"/>
        <w:tblBorders>
          <w:top w:val="dashed" w:sz="6" w:space="0" w:color="9AA5B1"/>
          <w:left w:val="dashed" w:sz="6" w:space="0" w:color="9AA5B1"/>
          <w:bottom w:val="dashed" w:sz="6" w:space="0" w:color="9AA5B1"/>
          <w:right w:val="dashed" w:sz="6" w:space="0" w:color="9AA5B1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7B1AA5" w14:paraId="0DFE68F6" w14:textId="77777777" w:rsidTr="00745F32">
        <w:tc>
          <w:tcPr>
            <w:tcW w:w="5000" w:type="pct"/>
            <w:shd w:val="clear" w:color="auto" w:fill="FFFFFF" w:themeFill="background1"/>
            <w:tcMar>
              <w:top w:w="700" w:type="dxa"/>
              <w:left w:w="300" w:type="dxa"/>
              <w:bottom w:w="700" w:type="dxa"/>
              <w:right w:w="300" w:type="dxa"/>
            </w:tcMar>
          </w:tcPr>
          <w:p w14:paraId="1F7F0E83" w14:textId="680EC6C9" w:rsidR="0018702F" w:rsidRDefault="0018702F" w:rsidP="0018702F">
            <w:pPr>
              <w:spacing w:after="60"/>
              <w:jc w:val="center"/>
            </w:pPr>
            <w:r w:rsidRPr="0018702F">
              <w:rPr>
                <w:noProof/>
              </w:rPr>
              <w:drawing>
                <wp:inline distT="0" distB="0" distL="0" distR="0" wp14:anchorId="19ECF0C0" wp14:editId="31DCC686">
                  <wp:extent cx="5669280" cy="1965960"/>
                  <wp:effectExtent l="0" t="0" r="0" b="0"/>
                  <wp:docPr id="120279853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 w14:paraId="412A474F" w14:textId="643FA19D" w:rsidR="007B1AA5" w:rsidRDefault="007B1AA5">
            <w:pPr>
              <w:jc w:val="center"/>
            </w:pPr>
          </w:p>
        </w:tc>
      </w:tr>
    </w:tbl>
    <w:p w14:paraId="740D4EE0" w14:textId="532A1BF6" w:rsidR="007B1AA5" w:rsidRDefault="007B1AA5">
      <w:pPr>
        <w:spacing w:after="150"/>
      </w:pPr>
    </w:p>
    <w:p w14:paraId="3D97D957" w14:textId="77B3BE9A" w:rsidR="007B1AA5" w:rsidRPr="00DE3082" w:rsidRDefault="00000000">
      <w:pPr>
        <w:spacing w:after="160" w:line="30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>Contract type is the strongest churn signal in the data. Month-to-month customers churn at 42.7</w:t>
      </w:r>
      <w:r w:rsidR="004563B1" w:rsidRPr="00DE3082">
        <w:rPr>
          <w:color w:val="1B2430"/>
          <w:sz w:val="24"/>
          <w:szCs w:val="24"/>
        </w:rPr>
        <w:t>% over</w:t>
      </w:r>
      <w:r w:rsidRPr="00DE3082">
        <w:rPr>
          <w:color w:val="1B2430"/>
          <w:sz w:val="24"/>
          <w:szCs w:val="24"/>
        </w:rPr>
        <w:t xml:space="preserve"> 15x the rate of two-year contract customers (2.8</w:t>
      </w:r>
      <w:r w:rsidR="004563B1" w:rsidRPr="00DE3082">
        <w:rPr>
          <w:color w:val="1B2430"/>
          <w:sz w:val="24"/>
          <w:szCs w:val="24"/>
        </w:rPr>
        <w:t>%) and</w:t>
      </w:r>
      <w:r w:rsidRPr="00DE3082">
        <w:rPr>
          <w:color w:val="1B2430"/>
          <w:sz w:val="24"/>
          <w:szCs w:val="24"/>
        </w:rPr>
        <w:t xml:space="preserve"> account for 88.55% of every customer who has left.</w:t>
      </w:r>
    </w:p>
    <w:p w14:paraId="0579C317" w14:textId="77777777" w:rsidR="007B1AA5" w:rsidRDefault="007B1AA5">
      <w:pPr>
        <w:spacing w:after="150"/>
      </w:pPr>
    </w:p>
    <w:tbl>
      <w:tblPr>
        <w:tblW w:w="5000" w:type="pct"/>
        <w:tblBorders>
          <w:top w:val="dashed" w:sz="6" w:space="0" w:color="9AA5B1"/>
          <w:left w:val="dashed" w:sz="6" w:space="0" w:color="9AA5B1"/>
          <w:bottom w:val="dashed" w:sz="6" w:space="0" w:color="9AA5B1"/>
          <w:right w:val="dashed" w:sz="6" w:space="0" w:color="9AA5B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7B1AA5" w14:paraId="3661382B" w14:textId="77777777">
        <w:tc>
          <w:tcPr>
            <w:tcW w:w="5000" w:type="pct"/>
            <w:shd w:val="clear" w:color="auto" w:fill="F5F7FA"/>
            <w:tcMar>
              <w:top w:w="700" w:type="dxa"/>
              <w:left w:w="300" w:type="dxa"/>
              <w:bottom w:w="700" w:type="dxa"/>
              <w:right w:w="300" w:type="dxa"/>
            </w:tcMar>
          </w:tcPr>
          <w:p w14:paraId="3BF1629F" w14:textId="71911259" w:rsidR="007B1AA5" w:rsidRDefault="00745F32">
            <w:pPr>
              <w:jc w:val="center"/>
            </w:pPr>
            <w:r w:rsidRPr="00745F32">
              <w:rPr>
                <w:noProof/>
              </w:rPr>
              <w:drawing>
                <wp:inline distT="0" distB="0" distL="0" distR="0" wp14:anchorId="6579E3D4" wp14:editId="102633D4">
                  <wp:extent cx="5669280" cy="1965960"/>
                  <wp:effectExtent l="0" t="0" r="0" b="0"/>
                  <wp:docPr id="134682912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4AB4A243" w14:textId="77777777" w:rsidR="007B1AA5" w:rsidRDefault="007B1AA5">
      <w:pPr>
        <w:spacing w:after="150"/>
      </w:pPr>
    </w:p>
    <w:p w14:paraId="0EC1B99D" w14:textId="3E5B916B" w:rsidR="007B1AA5" w:rsidRPr="00DE3082" w:rsidRDefault="00000000">
      <w:pPr>
        <w:spacing w:after="160" w:line="300" w:lineRule="auto"/>
        <w:rPr>
          <w:sz w:val="24"/>
          <w:szCs w:val="24"/>
        </w:rPr>
      </w:pPr>
      <w:r w:rsidRPr="00DE3082">
        <w:rPr>
          <w:color w:val="1B2430"/>
          <w:sz w:val="24"/>
          <w:szCs w:val="24"/>
        </w:rPr>
        <w:t xml:space="preserve">Payment method tells a similar story. Electronic Check users churn at 45.3%, roughly 3x the rate of automatic payment methods (Bank Transfer: 16.7%, Credit Card: 15.2%). Electronic Check alone accounts for 57.3% of all churned </w:t>
      </w:r>
      <w:r w:rsidR="004563B1" w:rsidRPr="00DE3082">
        <w:rPr>
          <w:color w:val="1B2430"/>
          <w:sz w:val="24"/>
          <w:szCs w:val="24"/>
        </w:rPr>
        <w:t>customers, more</w:t>
      </w:r>
      <w:r w:rsidRPr="00DE3082">
        <w:rPr>
          <w:color w:val="1B2430"/>
          <w:sz w:val="24"/>
          <w:szCs w:val="24"/>
        </w:rPr>
        <w:t xml:space="preserve"> than the other three payment methods combined.</w:t>
      </w:r>
    </w:p>
    <w:p w14:paraId="38FA6446" w14:textId="77777777" w:rsidR="007B1AA5" w:rsidRPr="00DE3082" w:rsidRDefault="007B1AA5">
      <w:pPr>
        <w:spacing w:after="150"/>
        <w:rPr>
          <w:sz w:val="24"/>
          <w:szCs w:val="24"/>
        </w:rPr>
      </w:pPr>
    </w:p>
    <w:tbl>
      <w:tblPr>
        <w:tblW w:w="5000" w:type="pct"/>
        <w:tblBorders>
          <w:top w:val="single" w:sz="4" w:space="0" w:color="D7DEE7"/>
          <w:left w:val="single" w:sz="24" w:space="0" w:color="2E6E86"/>
          <w:bottom w:val="single" w:sz="4" w:space="0" w:color="D7DEE7"/>
          <w:right w:val="single" w:sz="4" w:space="0" w:color="D7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7B1AA5" w:rsidRPr="00DE3082" w14:paraId="3871C2D2" w14:textId="77777777">
        <w:tc>
          <w:tcPr>
            <w:tcW w:w="5000" w:type="pct"/>
            <w:shd w:val="clear" w:color="auto" w:fill="F5F7F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E599A8" w14:textId="77777777" w:rsidR="007B1AA5" w:rsidRPr="00DE3082" w:rsidRDefault="00000000">
            <w:pPr>
              <w:spacing w:after="80"/>
              <w:rPr>
                <w:sz w:val="24"/>
                <w:szCs w:val="24"/>
              </w:rPr>
            </w:pPr>
            <w:r w:rsidRPr="00DE3082">
              <w:rPr>
                <w:b/>
                <w:bCs/>
                <w:color w:val="2E6E86"/>
                <w:sz w:val="24"/>
                <w:szCs w:val="24"/>
              </w:rPr>
              <w:t>INSIGHT</w:t>
            </w:r>
          </w:p>
          <w:p w14:paraId="1B44C622" w14:textId="210D00AA" w:rsidR="007B1AA5" w:rsidRPr="00DE3082" w:rsidRDefault="00000000">
            <w:pPr>
              <w:spacing w:line="290" w:lineRule="auto"/>
              <w:rPr>
                <w:sz w:val="24"/>
                <w:szCs w:val="24"/>
              </w:rPr>
            </w:pPr>
            <w:r w:rsidRPr="00DE3082">
              <w:rPr>
                <w:color w:val="1B2430"/>
                <w:sz w:val="24"/>
                <w:szCs w:val="24"/>
              </w:rPr>
              <w:t>Both signals are visible before a customer leaves, not just explained after the fact</w:t>
            </w:r>
            <w:r w:rsidR="004563B1" w:rsidRPr="00DE3082">
              <w:rPr>
                <w:color w:val="1B2430"/>
                <w:sz w:val="24"/>
                <w:szCs w:val="24"/>
              </w:rPr>
              <w:t>,</w:t>
            </w:r>
            <w:r w:rsidRPr="00DE3082">
              <w:rPr>
                <w:color w:val="1B2430"/>
                <w:sz w:val="24"/>
                <w:szCs w:val="24"/>
              </w:rPr>
              <w:t xml:space="preserve"> meaning</w:t>
            </w:r>
            <w:r w:rsidR="004563B1" w:rsidRPr="00DE3082">
              <w:rPr>
                <w:color w:val="1B2430"/>
                <w:sz w:val="24"/>
                <w:szCs w:val="24"/>
              </w:rPr>
              <w:t>,</w:t>
            </w:r>
            <w:r w:rsidRPr="00DE3082">
              <w:rPr>
                <w:color w:val="1B2430"/>
                <w:sz w:val="24"/>
                <w:szCs w:val="24"/>
              </w:rPr>
              <w:t xml:space="preserve"> at-risk customers can be flagged and engaged proactively rather than analyzed retrospectively.</w:t>
            </w:r>
          </w:p>
        </w:tc>
      </w:tr>
    </w:tbl>
    <w:p w14:paraId="7F4BBC2A" w14:textId="77777777" w:rsidR="007B1AA5" w:rsidRDefault="007B1AA5">
      <w:pPr>
        <w:spacing w:after="150"/>
      </w:pPr>
    </w:p>
    <w:tbl>
      <w:tblPr>
        <w:tblW w:w="5000" w:type="pct"/>
        <w:tblBorders>
          <w:top w:val="single" w:sz="4" w:space="0" w:color="D7DEE7"/>
          <w:left w:val="single" w:sz="24" w:space="0" w:color="E15554"/>
          <w:bottom w:val="single" w:sz="4" w:space="0" w:color="D7DEE7"/>
          <w:right w:val="single" w:sz="4" w:space="0" w:color="D7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7B1AA5" w14:paraId="16D924EE" w14:textId="77777777">
        <w:tc>
          <w:tcPr>
            <w:tcW w:w="5000" w:type="pct"/>
            <w:shd w:val="clear" w:color="auto" w:fill="F5F7F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7E9B36" w14:textId="77777777" w:rsidR="007B1AA5" w:rsidRPr="00DE3082" w:rsidRDefault="00000000">
            <w:pPr>
              <w:spacing w:after="80"/>
              <w:rPr>
                <w:sz w:val="24"/>
                <w:szCs w:val="24"/>
              </w:rPr>
            </w:pPr>
            <w:r w:rsidRPr="00DE3082">
              <w:rPr>
                <w:b/>
                <w:bCs/>
                <w:color w:val="E15554"/>
                <w:sz w:val="24"/>
                <w:szCs w:val="24"/>
              </w:rPr>
              <w:t>RECOMMENDATION</w:t>
            </w:r>
          </w:p>
          <w:p w14:paraId="6F151525" w14:textId="789426BD" w:rsidR="007B1AA5" w:rsidRDefault="00000000">
            <w:pPr>
              <w:spacing w:line="290" w:lineRule="auto"/>
            </w:pPr>
            <w:r w:rsidRPr="00DE3082">
              <w:rPr>
                <w:color w:val="1B2430"/>
                <w:sz w:val="24"/>
                <w:szCs w:val="24"/>
              </w:rPr>
              <w:t>Build a simple risk flag for month-to-month + manual</w:t>
            </w:r>
            <w:r w:rsidR="004563B1" w:rsidRPr="00DE3082">
              <w:rPr>
                <w:color w:val="1B2430"/>
                <w:sz w:val="24"/>
                <w:szCs w:val="24"/>
              </w:rPr>
              <w:t xml:space="preserve"> </w:t>
            </w:r>
            <w:r w:rsidRPr="00DE3082">
              <w:rPr>
                <w:color w:val="1B2430"/>
                <w:sz w:val="24"/>
                <w:szCs w:val="24"/>
              </w:rPr>
              <w:t xml:space="preserve">payment customers and route them into proactive retention outreach </w:t>
            </w:r>
            <w:r w:rsidR="004563B1" w:rsidRPr="00DE3082">
              <w:rPr>
                <w:color w:val="1B2430"/>
                <w:sz w:val="24"/>
                <w:szCs w:val="24"/>
              </w:rPr>
              <w:t>(contract</w:t>
            </w:r>
            <w:r w:rsidRPr="00DE3082">
              <w:rPr>
                <w:color w:val="1B2430"/>
                <w:sz w:val="24"/>
                <w:szCs w:val="24"/>
              </w:rPr>
              <w:t xml:space="preserve">-upgrade offers and autopay </w:t>
            </w:r>
            <w:r w:rsidR="004563B1" w:rsidRPr="00DE3082">
              <w:rPr>
                <w:color w:val="1B2430"/>
                <w:sz w:val="24"/>
                <w:szCs w:val="24"/>
              </w:rPr>
              <w:t>incentives) before</w:t>
            </w:r>
            <w:r w:rsidRPr="00DE3082">
              <w:rPr>
                <w:color w:val="1B2430"/>
                <w:sz w:val="24"/>
                <w:szCs w:val="24"/>
              </w:rPr>
              <w:t xml:space="preserve"> they reach cancellation.</w:t>
            </w:r>
          </w:p>
        </w:tc>
      </w:tr>
    </w:tbl>
    <w:p w14:paraId="236A74F0" w14:textId="77777777" w:rsidR="007B1AA5" w:rsidRDefault="00000000">
      <w:r>
        <w:br w:type="page"/>
      </w:r>
    </w:p>
    <w:p w14:paraId="4614D0B0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6. Service Analysis — What Keeps Customers Loyal</w:t>
      </w:r>
    </w:p>
    <w:tbl>
      <w:tblPr>
        <w:tblW w:w="4955" w:type="pct"/>
        <w:tblBorders>
          <w:top w:val="dashed" w:sz="6" w:space="0" w:color="9AA5B1"/>
          <w:left w:val="dashed" w:sz="6" w:space="0" w:color="9AA5B1"/>
          <w:bottom w:val="dashed" w:sz="6" w:space="0" w:color="9AA5B1"/>
          <w:right w:val="dashed" w:sz="6" w:space="0" w:color="9AA5B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7B1AA5" w14:paraId="03AE2474" w14:textId="77777777" w:rsidTr="004563B1">
        <w:trPr>
          <w:trHeight w:val="6138"/>
        </w:trPr>
        <w:tc>
          <w:tcPr>
            <w:tcW w:w="5000" w:type="pct"/>
            <w:shd w:val="clear" w:color="auto" w:fill="F5F7FA"/>
            <w:tcMar>
              <w:top w:w="700" w:type="dxa"/>
              <w:left w:w="300" w:type="dxa"/>
              <w:bottom w:w="700" w:type="dxa"/>
              <w:right w:w="300" w:type="dxa"/>
            </w:tcMar>
          </w:tcPr>
          <w:p w14:paraId="1D348A66" w14:textId="5272EBFD" w:rsidR="007B1AA5" w:rsidRDefault="0018702F">
            <w:pPr>
              <w:jc w:val="center"/>
            </w:pPr>
            <w:r w:rsidRPr="0018702F">
              <w:rPr>
                <w:noProof/>
              </w:rPr>
              <w:drawing>
                <wp:inline distT="0" distB="0" distL="0" distR="0" wp14:anchorId="1DD41F02" wp14:editId="117F85E0">
                  <wp:extent cx="6126044" cy="3822700"/>
                  <wp:effectExtent l="0" t="0" r="8255" b="635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EB8AA6D-FADE-D0E8-A424-3105F7E30B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EB8AA6D-FADE-D0E8-A424-3105F7E30B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804" cy="382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92EDC" w14:textId="77777777" w:rsidR="007B1AA5" w:rsidRDefault="007B1AA5">
      <w:pPr>
        <w:spacing w:after="200"/>
      </w:pPr>
    </w:p>
    <w:p w14:paraId="6B1F15EB" w14:textId="77777777" w:rsidR="007B1AA5" w:rsidRDefault="007B1AA5">
      <w:pPr>
        <w:spacing w:after="200"/>
      </w:pPr>
    </w:p>
    <w:p w14:paraId="2298DB59" w14:textId="2AD8909F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Internet Service type is also a major factor: Fiber optic customers churn at 41.9</w:t>
      </w:r>
      <w:r w:rsidR="004563B1" w:rsidRPr="003E578F">
        <w:rPr>
          <w:color w:val="1B2430"/>
          <w:sz w:val="24"/>
          <w:szCs w:val="24"/>
        </w:rPr>
        <w:t>% more</w:t>
      </w:r>
      <w:r w:rsidRPr="003E578F">
        <w:rPr>
          <w:color w:val="1B2430"/>
          <w:sz w:val="24"/>
          <w:szCs w:val="24"/>
        </w:rPr>
        <w:t xml:space="preserve"> than double DSL customers (19.0</w:t>
      </w:r>
      <w:r w:rsidR="004563B1" w:rsidRPr="003E578F">
        <w:rPr>
          <w:color w:val="1B2430"/>
          <w:sz w:val="24"/>
          <w:szCs w:val="24"/>
        </w:rPr>
        <w:t>%) despite</w:t>
      </w:r>
      <w:r w:rsidRPr="003E578F">
        <w:rPr>
          <w:color w:val="1B2430"/>
          <w:sz w:val="24"/>
          <w:szCs w:val="24"/>
        </w:rPr>
        <w:t xml:space="preserve"> fiber being the company's premium offering. Fiber customers make up 69.4% of all churned customers.</w:t>
      </w:r>
    </w:p>
    <w:p w14:paraId="5D23AC4A" w14:textId="77777777" w:rsidR="007B1AA5" w:rsidRDefault="007B1AA5">
      <w:pPr>
        <w:spacing w:after="100"/>
      </w:pPr>
    </w:p>
    <w:p w14:paraId="5C47B39A" w14:textId="77777777" w:rsidR="004563B1" w:rsidRDefault="004563B1">
      <w:pPr>
        <w:spacing w:after="100"/>
      </w:pPr>
    </w:p>
    <w:tbl>
      <w:tblPr>
        <w:tblW w:w="5000" w:type="pct"/>
        <w:tblBorders>
          <w:top w:val="single" w:sz="4" w:space="0" w:color="D7DEE7"/>
          <w:left w:val="single" w:sz="24" w:space="0" w:color="E15554"/>
          <w:bottom w:val="single" w:sz="4" w:space="0" w:color="D7DEE7"/>
          <w:right w:val="single" w:sz="4" w:space="0" w:color="D7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7B1AA5" w14:paraId="775F645C" w14:textId="77777777">
        <w:tc>
          <w:tcPr>
            <w:tcW w:w="5000" w:type="pct"/>
            <w:shd w:val="clear" w:color="auto" w:fill="F5F7F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956D3F" w14:textId="77777777" w:rsidR="007B1AA5" w:rsidRPr="003E578F" w:rsidRDefault="00000000">
            <w:pPr>
              <w:spacing w:after="80"/>
              <w:rPr>
                <w:sz w:val="24"/>
                <w:szCs w:val="24"/>
              </w:rPr>
            </w:pPr>
            <w:r w:rsidRPr="003E578F">
              <w:rPr>
                <w:b/>
                <w:bCs/>
                <w:color w:val="E15554"/>
                <w:sz w:val="24"/>
                <w:szCs w:val="24"/>
              </w:rPr>
              <w:t>RECOMMENDATION</w:t>
            </w:r>
          </w:p>
          <w:p w14:paraId="4B8CE5F9" w14:textId="512E9891" w:rsidR="007B1AA5" w:rsidRDefault="00000000">
            <w:pPr>
              <w:spacing w:line="290" w:lineRule="auto"/>
            </w:pPr>
            <w:r w:rsidRPr="003E578F">
              <w:rPr>
                <w:color w:val="1B2430"/>
                <w:sz w:val="24"/>
                <w:szCs w:val="24"/>
              </w:rPr>
              <w:t xml:space="preserve">Bundle Online Security, Tech Support, and Backup as a default “Protection Package” for fiber customers rather than </w:t>
            </w:r>
            <w:r w:rsidR="004563B1" w:rsidRPr="003E578F">
              <w:rPr>
                <w:color w:val="1B2430"/>
                <w:sz w:val="24"/>
                <w:szCs w:val="24"/>
              </w:rPr>
              <w:t>an ad on service.</w:t>
            </w:r>
          </w:p>
        </w:tc>
      </w:tr>
    </w:tbl>
    <w:p w14:paraId="219A14A3" w14:textId="77777777" w:rsidR="007B1AA5" w:rsidRDefault="00000000">
      <w:r>
        <w:br w:type="page"/>
      </w:r>
    </w:p>
    <w:p w14:paraId="2F166464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7. Financial Impact — What Churn Is Actually Costing Us</w:t>
      </w:r>
    </w:p>
    <w:tbl>
      <w:tblPr>
        <w:tblW w:w="5000" w:type="pct"/>
        <w:tblBorders>
          <w:top w:val="dashed" w:sz="6" w:space="0" w:color="9AA5B1"/>
          <w:left w:val="dashed" w:sz="6" w:space="0" w:color="9AA5B1"/>
          <w:bottom w:val="dashed" w:sz="6" w:space="0" w:color="9AA5B1"/>
          <w:right w:val="dashed" w:sz="6" w:space="0" w:color="9AA5B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7B1AA5" w14:paraId="003C5CBB" w14:textId="77777777">
        <w:tc>
          <w:tcPr>
            <w:tcW w:w="5000" w:type="pct"/>
            <w:shd w:val="clear" w:color="auto" w:fill="F5F7FA"/>
            <w:tcMar>
              <w:top w:w="700" w:type="dxa"/>
              <w:left w:w="300" w:type="dxa"/>
              <w:bottom w:w="700" w:type="dxa"/>
              <w:right w:w="300" w:type="dxa"/>
            </w:tcMar>
          </w:tcPr>
          <w:p w14:paraId="7CF93A3E" w14:textId="11F78267" w:rsidR="007B1AA5" w:rsidRDefault="008142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527552" wp14:editId="796BA4B3">
                  <wp:extent cx="6400800" cy="4995545"/>
                  <wp:effectExtent l="0" t="0" r="0" b="0"/>
                  <wp:docPr id="1952588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888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99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E1D52" w14:textId="77777777" w:rsidR="007B1AA5" w:rsidRDefault="007B1AA5">
      <w:pPr>
        <w:spacing w:after="200"/>
      </w:pPr>
    </w:p>
    <w:p w14:paraId="66778CC8" w14:textId="77777777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Across all four cuts, financial exposure concentrates in the same places:</w:t>
      </w:r>
    </w:p>
    <w:p w14:paraId="1360D383" w14:textId="77777777" w:rsidR="007B1AA5" w:rsidRPr="003E578F" w:rsidRDefault="00000000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 xml:space="preserve">Month-to-month contracts drive 87% of both monthly </w:t>
      </w:r>
      <w:proofErr w:type="gramStart"/>
      <w:r w:rsidRPr="003E578F">
        <w:rPr>
          <w:color w:val="1B2430"/>
          <w:sz w:val="24"/>
          <w:szCs w:val="24"/>
        </w:rPr>
        <w:t>revenue</w:t>
      </w:r>
      <w:proofErr w:type="gramEnd"/>
      <w:r w:rsidRPr="003E578F">
        <w:rPr>
          <w:color w:val="1B2430"/>
          <w:sz w:val="24"/>
          <w:szCs w:val="24"/>
        </w:rPr>
        <w:t xml:space="preserve"> lost ($120.8K) and CLTV lost ($6.76M)</w:t>
      </w:r>
    </w:p>
    <w:p w14:paraId="049F0FED" w14:textId="77777777" w:rsidR="007B1AA5" w:rsidRPr="003E578F" w:rsidRDefault="00000000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Electronic Check accounts for 61% of monthly revenue lost ($84.3K)</w:t>
      </w:r>
    </w:p>
    <w:p w14:paraId="6532A793" w14:textId="3FE57607" w:rsidR="007B1AA5" w:rsidRPr="003E578F" w:rsidRDefault="00000000">
      <w:pPr>
        <w:pStyle w:val="ListParagraph"/>
        <w:numPr>
          <w:ilvl w:val="0"/>
          <w:numId w:val="1"/>
        </w:numPr>
        <w:spacing w:after="100" w:line="29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New Customers alone represent $4.19</w:t>
      </w:r>
      <w:r w:rsidR="003E578F" w:rsidRPr="003E578F">
        <w:rPr>
          <w:color w:val="1B2430"/>
          <w:sz w:val="24"/>
          <w:szCs w:val="24"/>
        </w:rPr>
        <w:t xml:space="preserve">M which accounts for </w:t>
      </w:r>
      <w:r w:rsidRPr="003E578F">
        <w:rPr>
          <w:color w:val="1B2430"/>
          <w:sz w:val="24"/>
          <w:szCs w:val="24"/>
        </w:rPr>
        <w:t xml:space="preserve">over half of all CLTV </w:t>
      </w:r>
      <w:r w:rsidR="003E578F" w:rsidRPr="003E578F">
        <w:rPr>
          <w:color w:val="1B2430"/>
          <w:sz w:val="24"/>
          <w:szCs w:val="24"/>
        </w:rPr>
        <w:t>lost despite</w:t>
      </w:r>
      <w:r w:rsidRPr="003E578F">
        <w:rPr>
          <w:color w:val="1B2430"/>
          <w:sz w:val="24"/>
          <w:szCs w:val="24"/>
        </w:rPr>
        <w:t xml:space="preserve"> being one of four tenure groups</w:t>
      </w:r>
    </w:p>
    <w:p w14:paraId="6353A03F" w14:textId="77777777" w:rsidR="007B1AA5" w:rsidRDefault="007B1AA5">
      <w:pPr>
        <w:spacing w:after="100"/>
      </w:pPr>
    </w:p>
    <w:p w14:paraId="1A3775AB" w14:textId="6DEA3ED0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lastRenderedPageBreak/>
        <w:t>Churn isn't spread evenly</w:t>
      </w:r>
      <w:r w:rsidR="003E578F" w:rsidRPr="003E578F">
        <w:rPr>
          <w:color w:val="1B2430"/>
          <w:sz w:val="24"/>
          <w:szCs w:val="24"/>
        </w:rPr>
        <w:t xml:space="preserve">. </w:t>
      </w:r>
      <w:r w:rsidRPr="003E578F">
        <w:rPr>
          <w:color w:val="1B2430"/>
          <w:sz w:val="24"/>
          <w:szCs w:val="24"/>
        </w:rPr>
        <w:t xml:space="preserve"> </w:t>
      </w:r>
      <w:r w:rsidR="003E578F" w:rsidRPr="003E578F">
        <w:rPr>
          <w:color w:val="1B2430"/>
          <w:sz w:val="24"/>
          <w:szCs w:val="24"/>
        </w:rPr>
        <w:t>I</w:t>
      </w:r>
      <w:r w:rsidRPr="003E578F">
        <w:rPr>
          <w:color w:val="1B2430"/>
          <w:sz w:val="24"/>
          <w:szCs w:val="24"/>
        </w:rPr>
        <w:t>t's concentrated in short-tenure, low-commitment customers, and importantly, churned customers were not low</w:t>
      </w:r>
      <w:r w:rsidR="003E578F" w:rsidRPr="003E578F">
        <w:rPr>
          <w:color w:val="1B2430"/>
          <w:sz w:val="24"/>
          <w:szCs w:val="24"/>
        </w:rPr>
        <w:t xml:space="preserve"> </w:t>
      </w:r>
      <w:r w:rsidRPr="003E578F">
        <w:rPr>
          <w:color w:val="1B2430"/>
          <w:sz w:val="24"/>
          <w:szCs w:val="24"/>
        </w:rPr>
        <w:t>value: their average CLTV ($4,149) sits close to retained customers' ($4,491). This is a loss of volume and commitment, not a loss of low-worth customers.</w:t>
      </w:r>
    </w:p>
    <w:p w14:paraId="5CA9E05C" w14:textId="77777777" w:rsidR="007B1AA5" w:rsidRDefault="007B1AA5">
      <w:pPr>
        <w:spacing w:after="100"/>
      </w:pPr>
    </w:p>
    <w:tbl>
      <w:tblPr>
        <w:tblW w:w="5000" w:type="pct"/>
        <w:tblBorders>
          <w:top w:val="single" w:sz="4" w:space="0" w:color="D7DEE7"/>
          <w:left w:val="single" w:sz="24" w:space="0" w:color="E15554"/>
          <w:bottom w:val="single" w:sz="4" w:space="0" w:color="D7DEE7"/>
          <w:right w:val="single" w:sz="4" w:space="0" w:color="D7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7B1AA5" w14:paraId="3F7E1A93" w14:textId="77777777">
        <w:tc>
          <w:tcPr>
            <w:tcW w:w="5000" w:type="pct"/>
            <w:shd w:val="clear" w:color="auto" w:fill="F5F7F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110EF2" w14:textId="77777777" w:rsidR="007B1AA5" w:rsidRPr="003E578F" w:rsidRDefault="00000000">
            <w:pPr>
              <w:spacing w:after="80"/>
              <w:rPr>
                <w:sz w:val="24"/>
                <w:szCs w:val="24"/>
              </w:rPr>
            </w:pPr>
            <w:r w:rsidRPr="003E578F">
              <w:rPr>
                <w:b/>
                <w:bCs/>
                <w:color w:val="E15554"/>
                <w:sz w:val="24"/>
                <w:szCs w:val="24"/>
              </w:rPr>
              <w:t>RECOMMENDATION</w:t>
            </w:r>
          </w:p>
          <w:p w14:paraId="35775ED6" w14:textId="5AF9D4C6" w:rsidR="007B1AA5" w:rsidRDefault="00000000">
            <w:pPr>
              <w:spacing w:line="290" w:lineRule="auto"/>
            </w:pPr>
            <w:r w:rsidRPr="003E578F">
              <w:rPr>
                <w:color w:val="1B2430"/>
                <w:sz w:val="24"/>
                <w:szCs w:val="24"/>
              </w:rPr>
              <w:t xml:space="preserve">Prioritize retention spend on new, month-to-month, Electronic Check customers </w:t>
            </w:r>
            <w:r w:rsidR="003E578F" w:rsidRPr="003E578F">
              <w:rPr>
                <w:color w:val="1B2430"/>
                <w:sz w:val="24"/>
                <w:szCs w:val="24"/>
              </w:rPr>
              <w:t xml:space="preserve">as </w:t>
            </w:r>
            <w:r w:rsidRPr="003E578F">
              <w:rPr>
                <w:color w:val="1B2430"/>
                <w:sz w:val="24"/>
                <w:szCs w:val="24"/>
              </w:rPr>
              <w:t>this single overlapping group carries the majority of both the ongoing monthly bleed and the long-term value at stake.</w:t>
            </w:r>
          </w:p>
        </w:tc>
      </w:tr>
    </w:tbl>
    <w:p w14:paraId="63CE4348" w14:textId="77777777" w:rsidR="007B1AA5" w:rsidRDefault="00000000">
      <w:r>
        <w:br w:type="page"/>
      </w:r>
    </w:p>
    <w:p w14:paraId="7AF7FEBD" w14:textId="77777777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8. Business Insight — Is It Price, or Is It Us?</w:t>
      </w:r>
    </w:p>
    <w:tbl>
      <w:tblPr>
        <w:tblW w:w="5000" w:type="pct"/>
        <w:tblBorders>
          <w:top w:val="dashed" w:sz="6" w:space="0" w:color="9AA5B1"/>
          <w:left w:val="dashed" w:sz="6" w:space="0" w:color="9AA5B1"/>
          <w:bottom w:val="dashed" w:sz="6" w:space="0" w:color="9AA5B1"/>
          <w:right w:val="dashed" w:sz="6" w:space="0" w:color="9AA5B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7B1AA5" w14:paraId="5D8EE254" w14:textId="77777777">
        <w:tc>
          <w:tcPr>
            <w:tcW w:w="5000" w:type="pct"/>
            <w:shd w:val="clear" w:color="auto" w:fill="F5F7FA"/>
            <w:tcMar>
              <w:top w:w="700" w:type="dxa"/>
              <w:left w:w="300" w:type="dxa"/>
              <w:bottom w:w="700" w:type="dxa"/>
              <w:right w:w="300" w:type="dxa"/>
            </w:tcMar>
          </w:tcPr>
          <w:p w14:paraId="723104B7" w14:textId="578F5EF2" w:rsidR="007B1AA5" w:rsidRDefault="00745F32">
            <w:pPr>
              <w:jc w:val="center"/>
            </w:pPr>
            <w:r w:rsidRPr="00745F32">
              <w:rPr>
                <w:noProof/>
              </w:rPr>
              <w:drawing>
                <wp:inline distT="0" distB="0" distL="0" distR="0" wp14:anchorId="323A4C85" wp14:editId="019665A8">
                  <wp:extent cx="5966942" cy="4639235"/>
                  <wp:effectExtent l="0" t="0" r="0" b="0"/>
                  <wp:docPr id="126400305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</w:tbl>
    <w:p w14:paraId="474469C8" w14:textId="77777777" w:rsidR="007B1AA5" w:rsidRDefault="007B1AA5">
      <w:pPr>
        <w:spacing w:after="200"/>
      </w:pPr>
    </w:p>
    <w:p w14:paraId="269AE943" w14:textId="3C581CA9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Pricing is the smallest stated driver of chur</w:t>
      </w:r>
      <w:r w:rsidR="003E578F" w:rsidRPr="003E578F">
        <w:rPr>
          <w:color w:val="1B2430"/>
          <w:sz w:val="24"/>
          <w:szCs w:val="24"/>
        </w:rPr>
        <w:t>n.</w:t>
      </w:r>
      <w:r w:rsidRPr="003E578F">
        <w:rPr>
          <w:color w:val="1B2430"/>
          <w:sz w:val="24"/>
          <w:szCs w:val="24"/>
        </w:rPr>
        <w:t xml:space="preserve"> Competitive pressure and service/support experience combined account for over half of all stated churn reasons. This reframes the retention conversation: this is more of a service and competitive</w:t>
      </w:r>
      <w:r w:rsidR="003E578F" w:rsidRPr="003E578F">
        <w:rPr>
          <w:color w:val="1B2430"/>
          <w:sz w:val="24"/>
          <w:szCs w:val="24"/>
        </w:rPr>
        <w:t xml:space="preserve"> </w:t>
      </w:r>
      <w:r w:rsidRPr="003E578F">
        <w:rPr>
          <w:color w:val="1B2430"/>
          <w:sz w:val="24"/>
          <w:szCs w:val="24"/>
        </w:rPr>
        <w:t>positioning problem than a pricing problem.</w:t>
      </w:r>
    </w:p>
    <w:p w14:paraId="1FF36D62" w14:textId="77777777" w:rsidR="007B1AA5" w:rsidRDefault="007B1AA5">
      <w:pPr>
        <w:spacing w:after="100"/>
      </w:pPr>
    </w:p>
    <w:tbl>
      <w:tblPr>
        <w:tblW w:w="5000" w:type="pct"/>
        <w:tblBorders>
          <w:top w:val="single" w:sz="4" w:space="0" w:color="D7DEE7"/>
          <w:left w:val="single" w:sz="24" w:space="0" w:color="E15554"/>
          <w:bottom w:val="single" w:sz="4" w:space="0" w:color="D7DEE7"/>
          <w:right w:val="single" w:sz="4" w:space="0" w:color="D7DE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7B1AA5" w14:paraId="2A6C9E46" w14:textId="77777777">
        <w:tc>
          <w:tcPr>
            <w:tcW w:w="5000" w:type="pct"/>
            <w:shd w:val="clear" w:color="auto" w:fill="F5F7F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8B80B5D" w14:textId="77777777" w:rsidR="007B1AA5" w:rsidRPr="003E578F" w:rsidRDefault="00000000">
            <w:pPr>
              <w:spacing w:after="80"/>
              <w:rPr>
                <w:sz w:val="24"/>
                <w:szCs w:val="24"/>
              </w:rPr>
            </w:pPr>
            <w:r w:rsidRPr="003E578F">
              <w:rPr>
                <w:b/>
                <w:bCs/>
                <w:color w:val="E15554"/>
                <w:sz w:val="24"/>
                <w:szCs w:val="24"/>
              </w:rPr>
              <w:t>RECOMMENDATION</w:t>
            </w:r>
          </w:p>
          <w:p w14:paraId="2798C28F" w14:textId="553E56A4" w:rsidR="007B1AA5" w:rsidRDefault="00000000">
            <w:pPr>
              <w:spacing w:line="290" w:lineRule="auto"/>
            </w:pPr>
            <w:r w:rsidRPr="003E578F">
              <w:rPr>
                <w:color w:val="1B2430"/>
                <w:sz w:val="24"/>
                <w:szCs w:val="24"/>
              </w:rPr>
              <w:t>Don't default to discounting as the primary retention lever</w:t>
            </w:r>
            <w:r w:rsidR="003E578F" w:rsidRPr="003E578F">
              <w:rPr>
                <w:color w:val="1B2430"/>
                <w:sz w:val="24"/>
                <w:szCs w:val="24"/>
              </w:rPr>
              <w:t xml:space="preserve">. </w:t>
            </w:r>
            <w:r w:rsidRPr="003E578F">
              <w:rPr>
                <w:color w:val="1B2430"/>
                <w:sz w:val="24"/>
                <w:szCs w:val="24"/>
              </w:rPr>
              <w:t xml:space="preserve"> invest in service/support quality and competitive differentiation (speed, reliability, features) alongside any pricing response.</w:t>
            </w:r>
          </w:p>
        </w:tc>
      </w:tr>
    </w:tbl>
    <w:p w14:paraId="2400B15B" w14:textId="77777777" w:rsidR="007B1AA5" w:rsidRDefault="00000000">
      <w:r>
        <w:br w:type="page"/>
      </w:r>
    </w:p>
    <w:p w14:paraId="09D87AA5" w14:textId="07ECAF06" w:rsidR="007B1AA5" w:rsidRDefault="00745F32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9. Recommendations</w:t>
      </w:r>
    </w:p>
    <w:p w14:paraId="50E5B873" w14:textId="77777777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Three moves, prioritized by leverage:</w:t>
      </w:r>
    </w:p>
    <w:p w14:paraId="17E1E993" w14:textId="77777777" w:rsidR="007B1AA5" w:rsidRPr="003E578F" w:rsidRDefault="007B1AA5">
      <w:pPr>
        <w:spacing w:after="100"/>
        <w:rPr>
          <w:sz w:val="24"/>
          <w:szCs w:val="24"/>
        </w:rPr>
      </w:pPr>
    </w:p>
    <w:p w14:paraId="50CA5F0E" w14:textId="77777777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b/>
          <w:bCs/>
          <w:color w:val="162447"/>
          <w:sz w:val="24"/>
          <w:szCs w:val="24"/>
        </w:rPr>
        <w:t xml:space="preserve">1. Convert month-to-month customers. </w:t>
      </w:r>
      <w:r w:rsidRPr="003E578F">
        <w:rPr>
          <w:sz w:val="24"/>
          <w:szCs w:val="24"/>
        </w:rPr>
        <w:t>Discounted annual/2-year plans and loyalty perks to reduce the segment driving 88% of churn.</w:t>
      </w:r>
    </w:p>
    <w:p w14:paraId="7EAD6DD4" w14:textId="77777777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b/>
          <w:bCs/>
          <w:color w:val="162447"/>
          <w:sz w:val="24"/>
          <w:szCs w:val="24"/>
        </w:rPr>
        <w:t xml:space="preserve">2. Migrate customers to autopay. </w:t>
      </w:r>
      <w:r w:rsidRPr="003E578F">
        <w:rPr>
          <w:sz w:val="24"/>
          <w:szCs w:val="24"/>
        </w:rPr>
        <w:t>Incentivize bank transfer / credit card autopay to cut churn risk by ~3x vs. Electronic Check.</w:t>
      </w:r>
    </w:p>
    <w:p w14:paraId="5E5B64BC" w14:textId="77777777" w:rsidR="007B1AA5" w:rsidRPr="003E578F" w:rsidRDefault="00000000">
      <w:pPr>
        <w:spacing w:after="160" w:line="300" w:lineRule="auto"/>
        <w:rPr>
          <w:sz w:val="24"/>
          <w:szCs w:val="24"/>
        </w:rPr>
      </w:pPr>
      <w:r w:rsidRPr="003E578F">
        <w:rPr>
          <w:b/>
          <w:bCs/>
          <w:color w:val="162447"/>
          <w:sz w:val="24"/>
          <w:szCs w:val="24"/>
        </w:rPr>
        <w:t xml:space="preserve">3. Bundle protection services. </w:t>
      </w:r>
      <w:r w:rsidRPr="003E578F">
        <w:rPr>
          <w:sz w:val="24"/>
          <w:szCs w:val="24"/>
        </w:rPr>
        <w:t>Default Online Security, Tech Support, and Backup into fiber plans to roughly halve churn risk.</w:t>
      </w:r>
    </w:p>
    <w:p w14:paraId="733470E9" w14:textId="77777777" w:rsidR="007B1AA5" w:rsidRDefault="007B1AA5">
      <w:pPr>
        <w:spacing w:after="150"/>
      </w:pPr>
    </w:p>
    <w:p w14:paraId="5335E844" w14:textId="77777777" w:rsidR="007B1AA5" w:rsidRDefault="00000000">
      <w:r>
        <w:br w:type="page"/>
      </w:r>
    </w:p>
    <w:p w14:paraId="561C53AA" w14:textId="0C5F9846" w:rsidR="007B1AA5" w:rsidRDefault="00000000">
      <w:pPr>
        <w:pStyle w:val="Heading1"/>
        <w:pBdr>
          <w:bottom w:val="single" w:sz="6" w:space="4" w:color="162447"/>
        </w:pBdr>
        <w:spacing w:before="400" w:after="200"/>
      </w:pPr>
      <w:r>
        <w:rPr>
          <w:b/>
          <w:bCs/>
          <w:color w:val="162447"/>
          <w:sz w:val="30"/>
          <w:szCs w:val="30"/>
        </w:rPr>
        <w:lastRenderedPageBreak/>
        <w:t>1</w:t>
      </w:r>
      <w:r w:rsidR="003E578F">
        <w:rPr>
          <w:b/>
          <w:bCs/>
          <w:color w:val="162447"/>
          <w:sz w:val="30"/>
          <w:szCs w:val="30"/>
        </w:rPr>
        <w:t>0</w:t>
      </w:r>
      <w:r>
        <w:rPr>
          <w:b/>
          <w:bCs/>
          <w:color w:val="162447"/>
          <w:sz w:val="30"/>
          <w:szCs w:val="30"/>
        </w:rPr>
        <w:t>. Limitations &amp; Notes</w:t>
      </w:r>
    </w:p>
    <w:p w14:paraId="0914DFE3" w14:textId="77777777" w:rsidR="003E578F" w:rsidRPr="003E578F" w:rsidRDefault="003E578F" w:rsidP="003E578F">
      <w:pPr>
        <w:pStyle w:val="ListParagraph"/>
        <w:spacing w:after="100" w:line="480" w:lineRule="auto"/>
        <w:ind w:left="720"/>
        <w:rPr>
          <w:sz w:val="24"/>
          <w:szCs w:val="24"/>
        </w:rPr>
      </w:pPr>
    </w:p>
    <w:p w14:paraId="17C28E3B" w14:textId="2F451A76" w:rsidR="007B1AA5" w:rsidRPr="003E578F" w:rsidRDefault="00000000" w:rsidP="003E578F">
      <w:pPr>
        <w:pStyle w:val="ListParagraph"/>
        <w:numPr>
          <w:ilvl w:val="0"/>
          <w:numId w:val="1"/>
        </w:numPr>
        <w:spacing w:after="100" w:line="48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 xml:space="preserve">CLTV is a modeled/predicted value, not a historical sum of amounts </w:t>
      </w:r>
      <w:r w:rsidR="003E578F" w:rsidRPr="003E578F">
        <w:rPr>
          <w:color w:val="1B2430"/>
          <w:sz w:val="24"/>
          <w:szCs w:val="24"/>
        </w:rPr>
        <w:t>paid.</w:t>
      </w:r>
      <w:r w:rsidRPr="003E578F">
        <w:rPr>
          <w:color w:val="1B2430"/>
          <w:sz w:val="24"/>
          <w:szCs w:val="24"/>
        </w:rPr>
        <w:t xml:space="preserve"> it should be read as a directional, relative comparison between segments rather than a number to bank on with full precision.</w:t>
      </w:r>
    </w:p>
    <w:p w14:paraId="1DD72F5F" w14:textId="77777777" w:rsidR="007B1AA5" w:rsidRPr="003E578F" w:rsidRDefault="00000000" w:rsidP="003E578F">
      <w:pPr>
        <w:pStyle w:val="ListParagraph"/>
        <w:numPr>
          <w:ilvl w:val="0"/>
          <w:numId w:val="1"/>
        </w:numPr>
        <w:spacing w:after="100" w:line="48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All customers in this dataset are based in a single state (California), so no state-level geographic segmentation was possible; city-level variation was not analyzed as it fell outside the stakeholder brief.</w:t>
      </w:r>
    </w:p>
    <w:p w14:paraId="6341235B" w14:textId="77777777" w:rsidR="007B1AA5" w:rsidRPr="003E578F" w:rsidRDefault="00000000" w:rsidP="003E578F">
      <w:pPr>
        <w:pStyle w:val="ListParagraph"/>
        <w:numPr>
          <w:ilvl w:val="0"/>
          <w:numId w:val="1"/>
        </w:numPr>
        <w:spacing w:after="100" w:line="48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Demographic segmentation (gender, partner/dependents) was scoped out deliberately, as no stakeholder question required it and the signal was weak, with the exception of Senior Citizen status noted above.</w:t>
      </w:r>
    </w:p>
    <w:p w14:paraId="54F63DB6" w14:textId="3E76E451" w:rsidR="007B1AA5" w:rsidRPr="003E578F" w:rsidRDefault="00000000" w:rsidP="003E578F">
      <w:pPr>
        <w:pStyle w:val="ListParagraph"/>
        <w:numPr>
          <w:ilvl w:val="0"/>
          <w:numId w:val="1"/>
        </w:numPr>
        <w:spacing w:after="100" w:line="480" w:lineRule="auto"/>
        <w:rPr>
          <w:sz w:val="24"/>
          <w:szCs w:val="24"/>
        </w:rPr>
      </w:pPr>
      <w:r w:rsidRPr="003E578F">
        <w:rPr>
          <w:color w:val="1B2430"/>
          <w:sz w:val="24"/>
          <w:szCs w:val="24"/>
        </w:rPr>
        <w:t>This is a capstone/practice project built on a public, well-known dataset (commonly used for churn-modeling exercises)</w:t>
      </w:r>
      <w:r w:rsidR="003E578F" w:rsidRPr="003E578F">
        <w:rPr>
          <w:color w:val="1B2430"/>
          <w:sz w:val="24"/>
          <w:szCs w:val="24"/>
        </w:rPr>
        <w:t>.</w:t>
      </w:r>
      <w:r w:rsidRPr="003E578F">
        <w:rPr>
          <w:color w:val="1B2430"/>
          <w:sz w:val="24"/>
          <w:szCs w:val="24"/>
        </w:rPr>
        <w:t xml:space="preserve"> </w:t>
      </w:r>
      <w:r w:rsidR="003E578F" w:rsidRPr="003E578F">
        <w:rPr>
          <w:color w:val="1B2430"/>
          <w:sz w:val="24"/>
          <w:szCs w:val="24"/>
        </w:rPr>
        <w:t>F</w:t>
      </w:r>
      <w:r w:rsidRPr="003E578F">
        <w:rPr>
          <w:color w:val="1B2430"/>
          <w:sz w:val="24"/>
          <w:szCs w:val="24"/>
        </w:rPr>
        <w:t>indings are illustrative of the analytical approach, not a live business engagement.</w:t>
      </w:r>
    </w:p>
    <w:p w14:paraId="05AA5F4A" w14:textId="77777777" w:rsidR="007B1AA5" w:rsidRDefault="007B1AA5">
      <w:pPr>
        <w:spacing w:after="300"/>
      </w:pPr>
    </w:p>
    <w:p w14:paraId="74164A22" w14:textId="52E86EFE" w:rsidR="007B1AA5" w:rsidRDefault="007B1AA5" w:rsidP="00DE3082"/>
    <w:sectPr w:rsidR="007B1AA5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1960F" w14:textId="77777777" w:rsidR="009A2EDC" w:rsidRDefault="009A2EDC">
      <w:r>
        <w:separator/>
      </w:r>
    </w:p>
  </w:endnote>
  <w:endnote w:type="continuationSeparator" w:id="0">
    <w:p w14:paraId="7A23674D" w14:textId="77777777" w:rsidR="009A2EDC" w:rsidRDefault="009A2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C01F" w14:textId="77777777" w:rsidR="007B1AA5" w:rsidRDefault="00000000">
    <w:pPr>
      <w:jc w:val="center"/>
    </w:pPr>
    <w:r>
      <w:rPr>
        <w:color w:val="5C6B7A"/>
        <w:sz w:val="16"/>
        <w:szCs w:val="16"/>
      </w:rPr>
      <w:t xml:space="preserve">Page </w:t>
    </w:r>
    <w:r>
      <w:rPr>
        <w:color w:val="5C6B7A"/>
        <w:sz w:val="16"/>
        <w:szCs w:val="16"/>
      </w:rPr>
      <w:fldChar w:fldCharType="begin"/>
    </w:r>
    <w:r>
      <w:rPr>
        <w:color w:val="5C6B7A"/>
        <w:sz w:val="16"/>
        <w:szCs w:val="16"/>
      </w:rPr>
      <w:instrText>PAGE</w:instrText>
    </w:r>
    <w:r>
      <w:rPr>
        <w:color w:val="5C6B7A"/>
        <w:sz w:val="16"/>
        <w:szCs w:val="16"/>
      </w:rPr>
      <w:fldChar w:fldCharType="separate"/>
    </w:r>
    <w:r w:rsidR="0018702F">
      <w:rPr>
        <w:noProof/>
        <w:color w:val="5C6B7A"/>
        <w:sz w:val="16"/>
        <w:szCs w:val="16"/>
      </w:rPr>
      <w:t>1</w:t>
    </w:r>
    <w:r>
      <w:rPr>
        <w:color w:val="5C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C758" w14:textId="77777777" w:rsidR="009A2EDC" w:rsidRDefault="009A2EDC">
      <w:r>
        <w:separator/>
      </w:r>
    </w:p>
  </w:footnote>
  <w:footnote w:type="continuationSeparator" w:id="0">
    <w:p w14:paraId="7BB64B68" w14:textId="77777777" w:rsidR="009A2EDC" w:rsidRDefault="009A2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15B0" w14:textId="77777777" w:rsidR="007B1AA5" w:rsidRDefault="00000000">
    <w:pPr>
      <w:jc w:val="right"/>
    </w:pPr>
    <w:r>
      <w:rPr>
        <w:color w:val="5C6B7A"/>
        <w:sz w:val="16"/>
        <w:szCs w:val="16"/>
      </w:rPr>
      <w:t>Telco Customer Churn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245B"/>
    <w:multiLevelType w:val="hybridMultilevel"/>
    <w:tmpl w:val="CF70A414"/>
    <w:lvl w:ilvl="0" w:tplc="097C2042">
      <w:start w:val="1"/>
      <w:numFmt w:val="bullet"/>
      <w:lvlText w:val="●"/>
      <w:lvlJc w:val="left"/>
      <w:pPr>
        <w:ind w:left="720" w:hanging="360"/>
      </w:pPr>
    </w:lvl>
    <w:lvl w:ilvl="1" w:tplc="F422734A">
      <w:start w:val="1"/>
      <w:numFmt w:val="bullet"/>
      <w:lvlText w:val="○"/>
      <w:lvlJc w:val="left"/>
      <w:pPr>
        <w:ind w:left="1440" w:hanging="360"/>
      </w:pPr>
    </w:lvl>
    <w:lvl w:ilvl="2" w:tplc="7B0AB3DA">
      <w:start w:val="1"/>
      <w:numFmt w:val="bullet"/>
      <w:lvlText w:val="■"/>
      <w:lvlJc w:val="left"/>
      <w:pPr>
        <w:ind w:left="2160" w:hanging="360"/>
      </w:pPr>
    </w:lvl>
    <w:lvl w:ilvl="3" w:tplc="46908244">
      <w:start w:val="1"/>
      <w:numFmt w:val="bullet"/>
      <w:lvlText w:val="●"/>
      <w:lvlJc w:val="left"/>
      <w:pPr>
        <w:ind w:left="2880" w:hanging="360"/>
      </w:pPr>
    </w:lvl>
    <w:lvl w:ilvl="4" w:tplc="E16471EE">
      <w:start w:val="1"/>
      <w:numFmt w:val="bullet"/>
      <w:lvlText w:val="○"/>
      <w:lvlJc w:val="left"/>
      <w:pPr>
        <w:ind w:left="3600" w:hanging="360"/>
      </w:pPr>
    </w:lvl>
    <w:lvl w:ilvl="5" w:tplc="56F66BAE">
      <w:start w:val="1"/>
      <w:numFmt w:val="bullet"/>
      <w:lvlText w:val="■"/>
      <w:lvlJc w:val="left"/>
      <w:pPr>
        <w:ind w:left="4320" w:hanging="360"/>
      </w:pPr>
    </w:lvl>
    <w:lvl w:ilvl="6" w:tplc="57E8B820">
      <w:start w:val="1"/>
      <w:numFmt w:val="bullet"/>
      <w:lvlText w:val="●"/>
      <w:lvlJc w:val="left"/>
      <w:pPr>
        <w:ind w:left="5040" w:hanging="360"/>
      </w:pPr>
    </w:lvl>
    <w:lvl w:ilvl="7" w:tplc="1876EF76">
      <w:start w:val="1"/>
      <w:numFmt w:val="bullet"/>
      <w:lvlText w:val="●"/>
      <w:lvlJc w:val="left"/>
      <w:pPr>
        <w:ind w:left="5760" w:hanging="360"/>
      </w:pPr>
    </w:lvl>
    <w:lvl w:ilvl="8" w:tplc="2C2CE4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A023B"/>
    <w:multiLevelType w:val="hybridMultilevel"/>
    <w:tmpl w:val="890C31A2"/>
    <w:lvl w:ilvl="0" w:tplc="92C63216">
      <w:start w:val="1"/>
      <w:numFmt w:val="bullet"/>
      <w:lvlText w:val="●"/>
      <w:lvlJc w:val="left"/>
      <w:pPr>
        <w:ind w:left="720" w:hanging="360"/>
      </w:pPr>
    </w:lvl>
    <w:lvl w:ilvl="1" w:tplc="F1DE57C8">
      <w:start w:val="1"/>
      <w:numFmt w:val="bullet"/>
      <w:lvlText w:val="○"/>
      <w:lvlJc w:val="left"/>
      <w:pPr>
        <w:ind w:left="1440" w:hanging="360"/>
      </w:pPr>
    </w:lvl>
    <w:lvl w:ilvl="2" w:tplc="F5BCC56C">
      <w:start w:val="1"/>
      <w:numFmt w:val="bullet"/>
      <w:lvlText w:val="■"/>
      <w:lvlJc w:val="left"/>
      <w:pPr>
        <w:ind w:left="2160" w:hanging="360"/>
      </w:pPr>
    </w:lvl>
    <w:lvl w:ilvl="3" w:tplc="455C4226">
      <w:start w:val="1"/>
      <w:numFmt w:val="bullet"/>
      <w:lvlText w:val="●"/>
      <w:lvlJc w:val="left"/>
      <w:pPr>
        <w:ind w:left="2880" w:hanging="360"/>
      </w:pPr>
    </w:lvl>
    <w:lvl w:ilvl="4" w:tplc="32C06AA8">
      <w:start w:val="1"/>
      <w:numFmt w:val="bullet"/>
      <w:lvlText w:val="○"/>
      <w:lvlJc w:val="left"/>
      <w:pPr>
        <w:ind w:left="3600" w:hanging="360"/>
      </w:pPr>
    </w:lvl>
    <w:lvl w:ilvl="5" w:tplc="4260E37C">
      <w:start w:val="1"/>
      <w:numFmt w:val="bullet"/>
      <w:lvlText w:val="■"/>
      <w:lvlJc w:val="left"/>
      <w:pPr>
        <w:ind w:left="4320" w:hanging="360"/>
      </w:pPr>
    </w:lvl>
    <w:lvl w:ilvl="6" w:tplc="B8DED40A">
      <w:start w:val="1"/>
      <w:numFmt w:val="bullet"/>
      <w:lvlText w:val="●"/>
      <w:lvlJc w:val="left"/>
      <w:pPr>
        <w:ind w:left="5040" w:hanging="360"/>
      </w:pPr>
    </w:lvl>
    <w:lvl w:ilvl="7" w:tplc="3E70C860">
      <w:start w:val="1"/>
      <w:numFmt w:val="bullet"/>
      <w:lvlText w:val="●"/>
      <w:lvlJc w:val="left"/>
      <w:pPr>
        <w:ind w:left="5760" w:hanging="360"/>
      </w:pPr>
    </w:lvl>
    <w:lvl w:ilvl="8" w:tplc="C43A93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D95C6A"/>
    <w:multiLevelType w:val="hybridMultilevel"/>
    <w:tmpl w:val="128E41FA"/>
    <w:lvl w:ilvl="0" w:tplc="81201F8C">
      <w:start w:val="1"/>
      <w:numFmt w:val="bullet"/>
      <w:lvlText w:val="•"/>
      <w:lvlJc w:val="left"/>
    </w:lvl>
    <w:lvl w:ilvl="1" w:tplc="9BFC95B2">
      <w:numFmt w:val="decimal"/>
      <w:lvlText w:val=""/>
      <w:lvlJc w:val="left"/>
    </w:lvl>
    <w:lvl w:ilvl="2" w:tplc="323A31EA">
      <w:numFmt w:val="decimal"/>
      <w:lvlText w:val=""/>
      <w:lvlJc w:val="left"/>
    </w:lvl>
    <w:lvl w:ilvl="3" w:tplc="6AF4B334">
      <w:numFmt w:val="decimal"/>
      <w:lvlText w:val=""/>
      <w:lvlJc w:val="left"/>
    </w:lvl>
    <w:lvl w:ilvl="4" w:tplc="7F346A68">
      <w:numFmt w:val="decimal"/>
      <w:lvlText w:val=""/>
      <w:lvlJc w:val="left"/>
    </w:lvl>
    <w:lvl w:ilvl="5" w:tplc="B2DC16F8">
      <w:numFmt w:val="decimal"/>
      <w:lvlText w:val=""/>
      <w:lvlJc w:val="left"/>
    </w:lvl>
    <w:lvl w:ilvl="6" w:tplc="9476DC94">
      <w:numFmt w:val="decimal"/>
      <w:lvlText w:val=""/>
      <w:lvlJc w:val="left"/>
    </w:lvl>
    <w:lvl w:ilvl="7" w:tplc="BE348040">
      <w:numFmt w:val="decimal"/>
      <w:lvlText w:val=""/>
      <w:lvlJc w:val="left"/>
    </w:lvl>
    <w:lvl w:ilvl="8" w:tplc="A5D6A800">
      <w:numFmt w:val="decimal"/>
      <w:lvlText w:val=""/>
      <w:lvlJc w:val="left"/>
    </w:lvl>
  </w:abstractNum>
  <w:num w:numId="1" w16cid:durableId="271017980">
    <w:abstractNumId w:val="0"/>
    <w:lvlOverride w:ilvl="0">
      <w:startOverride w:val="1"/>
    </w:lvlOverride>
  </w:num>
  <w:num w:numId="2" w16cid:durableId="1265764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AA5"/>
    <w:rsid w:val="0018702F"/>
    <w:rsid w:val="003E578F"/>
    <w:rsid w:val="004563B1"/>
    <w:rsid w:val="004D51A3"/>
    <w:rsid w:val="005179AF"/>
    <w:rsid w:val="0069297B"/>
    <w:rsid w:val="00745F32"/>
    <w:rsid w:val="00794D2E"/>
    <w:rsid w:val="007B1AA5"/>
    <w:rsid w:val="008142DC"/>
    <w:rsid w:val="009A2EDC"/>
    <w:rsid w:val="00DE3082"/>
    <w:rsid w:val="00EE4784"/>
    <w:rsid w:val="00F11DBC"/>
    <w:rsid w:val="00FA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7B3C"/>
  <w15:docId w15:val="{4E80DB3F-A6D3-4213-A6A3-10A55512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50" b="0" i="0" u="none" strike="noStrike">
                <a:solidFill>
                  <a:srgbClr val="162447"/>
                </a:solidFill>
                <a:latin typeface="Calibri"/>
              </a:defRPr>
            </a:pPr>
            <a:r>
              <a:rPr lang="en-GB" sz="1250" b="0" i="0" u="none" strike="noStrike">
                <a:solidFill>
                  <a:srgbClr val="162447"/>
                </a:solidFill>
                <a:latin typeface="Calibri"/>
              </a:rPr>
              <a:t>Contract Type Churn Breakdown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Churned Customers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 sz="1200"/>
                      <a:t>4</a:t>
                    </a:r>
                    <a:r>
                      <a:rPr lang="en-US"/>
                      <a:t>8</a:t>
                    </a:r>
                    <a:endParaRPr lang="en-US" dirty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C1D9-4EF7-8152-661AE3A889DF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sz="1200"/>
                      <a:t>166</a:t>
                    </a:r>
                    <a:endParaRPr lang="en-US" sz="1200" dirty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C1D9-4EF7-8152-661AE3A889DF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 sz="1200"/>
                      <a:t>1655</a:t>
                    </a:r>
                    <a:endParaRPr lang="en-US" sz="1200" dirty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C1D9-4EF7-8152-661AE3A889DF}"/>
                </c:ext>
              </c:extLst>
            </c:dLbl>
            <c:numFmt formatCode="0.0&quot;%&quot;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000" b="0" i="0" u="none" strike="noStrike">
                    <a:solidFill>
                      <a:srgbClr val="1B2430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Two Year</c:v>
                </c:pt>
                <c:pt idx="1">
                  <c:v>One Year</c:v>
                </c:pt>
                <c:pt idx="2">
                  <c:v>Month-to-Month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2.57</c:v>
                </c:pt>
                <c:pt idx="1">
                  <c:v>8.8800000000000008</c:v>
                </c:pt>
                <c:pt idx="2">
                  <c:v>88.55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1D9-4EF7-8152-661AE3A889D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000" b="0" i="0" u="none" strike="noStrike">
                <a:solidFill>
                  <a:srgbClr val="1B2430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1"/>
        <c:axPos val="b"/>
        <c:majorGridlines>
          <c:spPr>
            <a:ln w="12700" cap="flat">
              <a:solidFill>
                <a:srgbClr val="E3E8EE"/>
              </a:solidFill>
              <a:prstDash val="solid"/>
              <a:round/>
            </a:ln>
          </c:spPr>
        </c:majorGridlines>
        <c:numFmt formatCode="0&quot;%&quot;" sourceLinked="0"/>
        <c:majorTickMark val="out"/>
        <c:minorTickMark val="none"/>
        <c:tickLblPos val="low"/>
        <c:crossAx val="2094734554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span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50" b="0" i="0" u="none" strike="noStrike">
                <a:solidFill>
                  <a:srgbClr val="162447"/>
                </a:solidFill>
                <a:latin typeface="Calibri"/>
              </a:defRPr>
            </a:pPr>
            <a:r>
              <a:rPr lang="en-GB" sz="1250" b="0" i="0" u="none" strike="noStrike">
                <a:solidFill>
                  <a:srgbClr val="162447"/>
                </a:solidFill>
                <a:latin typeface="Calibri"/>
              </a:rPr>
              <a:t>Payment Method Churn Breakdown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Churned Customers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effectLst/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000" b="0" i="0" u="none" strike="noStrike">
                    <a:solidFill>
                      <a:srgbClr val="1B2430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Credit Card</c:v>
                </c:pt>
                <c:pt idx="1">
                  <c:v>Bank Transfer</c:v>
                </c:pt>
                <c:pt idx="2">
                  <c:v>Mailed Check</c:v>
                </c:pt>
                <c:pt idx="3">
                  <c:v>Electronic Check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12.41</c:v>
                </c:pt>
                <c:pt idx="1">
                  <c:v>13.8</c:v>
                </c:pt>
                <c:pt idx="2">
                  <c:v>16.48</c:v>
                </c:pt>
                <c:pt idx="3">
                  <c:v>57.3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2F-4F2B-8B1A-A4F72121F51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000" b="0" i="0" u="none" strike="noStrike">
                <a:solidFill>
                  <a:srgbClr val="1B2430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1"/>
        <c:axPos val="b"/>
        <c:majorGridlines>
          <c:spPr>
            <a:ln w="12700" cap="flat">
              <a:solidFill>
                <a:srgbClr val="E3E8EE"/>
              </a:solidFill>
              <a:prstDash val="solid"/>
              <a:round/>
            </a:ln>
          </c:spPr>
        </c:majorGridlines>
        <c:numFmt formatCode="0&quot;%&quot;" sourceLinked="0"/>
        <c:majorTickMark val="out"/>
        <c:minorTickMark val="none"/>
        <c:tickLblPos val="low"/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  <c:showDLblsOverMax val="1"/>
  </c:chart>
  <c:spPr>
    <a:noFill/>
    <a:ln>
      <a:noFill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300" b="0" i="0" u="none" strike="noStrike">
                <a:solidFill>
                  <a:srgbClr val="162447"/>
                </a:solidFill>
                <a:latin typeface="Calibri"/>
              </a:defRPr>
            </a:pPr>
            <a:r>
              <a:rPr lang="en-GB" sz="1300" b="0" i="0" u="none" strike="noStrike">
                <a:solidFill>
                  <a:srgbClr val="162447"/>
                </a:solidFill>
                <a:latin typeface="Calibri"/>
              </a:rPr>
              <a:t>Churn Reasons by Category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Share of Churned Customers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effectLst/>
          </c:spPr>
          <c:invertIfNegative val="0"/>
          <c:dLbls>
            <c:dLbl>
              <c:idx val="0"/>
              <c:layout>
                <c:manualLayout>
                  <c:x val="-9.1520916409108755E-2"/>
                  <c:y val="-2.7375203023774393E-3"/>
                </c:manualLayout>
              </c:layout>
              <c:tx>
                <c:rich>
                  <a:bodyPr/>
                  <a:lstStyle/>
                  <a:p>
                    <a:fld id="{DDCA3E77-F2E3-4BAD-8204-19BFF7DBD64B}" type="VALUE">
                      <a:rPr lang="en-US" sz="1300">
                        <a:solidFill>
                          <a:schemeClr val="bg1"/>
                        </a:solidFill>
                      </a:rPr>
                      <a:pPr/>
                      <a:t>[VALUE]</a:t>
                    </a:fld>
                    <a:endParaRPr lang="en-GB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85F9-4378-97D5-14685C903E02}"/>
                </c:ext>
              </c:extLst>
            </c:dLbl>
            <c:dLbl>
              <c:idx val="1"/>
              <c:layout>
                <c:manualLayout>
                  <c:x val="-0.10680563008656696"/>
                  <c:y val="9.6500823950500456E-3"/>
                </c:manualLayout>
              </c:layout>
              <c:tx>
                <c:rich>
                  <a:bodyPr/>
                  <a:lstStyle/>
                  <a:p>
                    <a:fld id="{9F6E20B7-2FC6-43C7-A711-FD9F33245372}" type="VALUE">
                      <a:rPr lang="en-US" sz="1300">
                        <a:solidFill>
                          <a:srgbClr val="FFFFFF"/>
                        </a:solidFill>
                      </a:rPr>
                      <a:pPr/>
                      <a:t>[VALUE]</a:t>
                    </a:fld>
                    <a:endParaRPr lang="en-GB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5F9-4378-97D5-14685C903E02}"/>
                </c:ext>
              </c:extLst>
            </c:dLbl>
            <c:dLbl>
              <c:idx val="2"/>
              <c:layout>
                <c:manualLayout>
                  <c:x val="-0.10429127683828668"/>
                  <c:y val="-5.0187292442368111E-17"/>
                </c:manualLayout>
              </c:layout>
              <c:tx>
                <c:rich>
                  <a:bodyPr/>
                  <a:lstStyle/>
                  <a:p>
                    <a:fld id="{761033CC-DAC8-4F76-9F9D-DB68B559879B}" type="VALUE">
                      <a:rPr lang="en-US" sz="1300" smtClean="0">
                        <a:solidFill>
                          <a:schemeClr val="bg1"/>
                        </a:solidFill>
                      </a:rPr>
                      <a:pPr/>
                      <a:t>[VALUE]</a:t>
                    </a:fld>
                    <a:endParaRPr lang="en-GB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85F9-4378-97D5-14685C903E02}"/>
                </c:ext>
              </c:extLst>
            </c:dLbl>
            <c:dLbl>
              <c:idx val="3"/>
              <c:layout>
                <c:manualLayout>
                  <c:x val="-8.7264129599382886E-2"/>
                  <c:y val="5.4750406047548534E-3"/>
                </c:manualLayout>
              </c:layout>
              <c:tx>
                <c:rich>
                  <a:bodyPr/>
                  <a:lstStyle/>
                  <a:p>
                    <a:fld id="{C5E7E9BE-182D-4D16-BF8F-2DF6DF7EC4B6}" type="VALUE">
                      <a:rPr lang="en-US" sz="1400">
                        <a:solidFill>
                          <a:schemeClr val="bg1"/>
                        </a:solidFill>
                      </a:rPr>
                      <a:pPr/>
                      <a:t>[VALUE]</a:t>
                    </a:fld>
                    <a:endParaRPr lang="en-GB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85F9-4378-97D5-14685C903E02}"/>
                </c:ext>
              </c:extLst>
            </c:dLbl>
            <c:numFmt formatCode="0.0&quot;%&quot;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100" b="0" i="0" u="none" strike="noStrike">
                    <a:solidFill>
                      <a:srgbClr val="1B2430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Price/Value</c:v>
                </c:pt>
                <c:pt idx="1">
                  <c:v>Other</c:v>
                </c:pt>
                <c:pt idx="2">
                  <c:v>Competitor-driven</c:v>
                </c:pt>
                <c:pt idx="3">
                  <c:v>Service/Support quality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8.3000000000000007</c:v>
                </c:pt>
                <c:pt idx="1">
                  <c:v>13.4</c:v>
                </c:pt>
                <c:pt idx="2">
                  <c:v>33.200000000000003</c:v>
                </c:pt>
                <c:pt idx="3">
                  <c:v>37.9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5F9-4378-97D5-14685C903E0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100" b="0" i="0" u="none" strike="noStrike">
                <a:solidFill>
                  <a:srgbClr val="1B2430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1"/>
        <c:axPos val="b"/>
        <c:majorGridlines>
          <c:spPr>
            <a:ln w="12700" cap="flat">
              <a:solidFill>
                <a:srgbClr val="E3E8EE"/>
              </a:solidFill>
              <a:prstDash val="solid"/>
              <a:round/>
            </a:ln>
          </c:spPr>
        </c:majorGridlines>
        <c:numFmt formatCode="0&quot;%&quot;" sourceLinked="0"/>
        <c:majorTickMark val="out"/>
        <c:minorTickMark val="none"/>
        <c:tickLblPos val="nextTo"/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  <c:showDLblsOverMax val="1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4</cp:revision>
  <dcterms:created xsi:type="dcterms:W3CDTF">2026-08-03T19:28:00Z</dcterms:created>
  <dcterms:modified xsi:type="dcterms:W3CDTF">2026-08-03T22:16:00Z</dcterms:modified>
</cp:coreProperties>
</file>