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745DA29" w14:textId="4F48922F" w:rsidR="00D2476E" w:rsidRPr="006145CB" w:rsidRDefault="008B31D8" w:rsidP="002B438A">
      <w:pPr>
        <w:jc w:val="center"/>
        <w:rPr>
          <w:rFonts w:cs="Times New Roman"/>
          <w:b/>
          <w:szCs w:val="24"/>
          <w:lang w:val="en-GB"/>
        </w:rPr>
      </w:pPr>
      <w:r>
        <w:rPr>
          <w:rFonts w:cs="Times New Roman"/>
          <w:b/>
          <w:szCs w:val="24"/>
          <w:lang w:val="en-GB"/>
        </w:rPr>
        <w:t>Predicting</w:t>
      </w:r>
      <w:r w:rsidR="00FE0036">
        <w:rPr>
          <w:rFonts w:cs="Times New Roman"/>
          <w:b/>
          <w:szCs w:val="24"/>
          <w:lang w:val="en-GB"/>
        </w:rPr>
        <w:t xml:space="preserve"> Inpatient Treatment Outcome in Depression</w:t>
      </w:r>
      <w:r w:rsidR="00CB0B9E">
        <w:rPr>
          <w:rFonts w:cs="Times New Roman"/>
          <w:b/>
          <w:szCs w:val="24"/>
          <w:lang w:val="en-GB"/>
        </w:rPr>
        <w:t xml:space="preserve"> Using</w:t>
      </w:r>
      <w:r w:rsidR="005674F0">
        <w:rPr>
          <w:rFonts w:cs="Times New Roman"/>
          <w:b/>
          <w:szCs w:val="24"/>
          <w:lang w:val="en-GB"/>
        </w:rPr>
        <w:t xml:space="preserve"> </w:t>
      </w:r>
      <w:r w:rsidR="00DD56F9">
        <w:rPr>
          <w:rFonts w:cs="Times New Roman"/>
          <w:b/>
          <w:szCs w:val="24"/>
          <w:lang w:val="en-GB"/>
        </w:rPr>
        <w:t>In-Depth Immunophenotyping</w:t>
      </w:r>
      <w:r w:rsidR="00952598">
        <w:rPr>
          <w:rFonts w:cs="Times New Roman"/>
          <w:b/>
          <w:szCs w:val="24"/>
          <w:lang w:val="en-GB"/>
        </w:rPr>
        <w:t>: A Machine Learning Approach</w:t>
      </w:r>
    </w:p>
    <w:p w14:paraId="5031721B" w14:textId="77777777" w:rsidR="002B438A" w:rsidRPr="006145CB" w:rsidRDefault="002B438A" w:rsidP="002B438A">
      <w:pPr>
        <w:rPr>
          <w:rFonts w:cs="Times New Roman"/>
          <w:szCs w:val="24"/>
          <w:lang w:val="en-GB"/>
        </w:rPr>
      </w:pPr>
    </w:p>
    <w:p w14:paraId="13F35FFC" w14:textId="0FA2FA1E" w:rsidR="002B438A" w:rsidRPr="00F90172" w:rsidRDefault="002B438A" w:rsidP="002B438A">
      <w:pPr>
        <w:rPr>
          <w:rFonts w:cs="Times New Roman"/>
          <w:szCs w:val="24"/>
          <w:lang w:val="en-GB"/>
        </w:rPr>
      </w:pPr>
      <w:r w:rsidRPr="00F90172">
        <w:rPr>
          <w:rFonts w:cs="Times New Roman"/>
          <w:szCs w:val="24"/>
          <w:lang w:val="en-GB"/>
        </w:rPr>
        <w:t>Nils Kappelmann</w:t>
      </w:r>
      <w:r w:rsidR="00A93430" w:rsidRPr="00F90172">
        <w:rPr>
          <w:rFonts w:cs="Times New Roman"/>
          <w:szCs w:val="24"/>
          <w:vertAlign w:val="superscript"/>
          <w:lang w:val="en-GB"/>
        </w:rPr>
        <w:t>1</w:t>
      </w:r>
      <w:r w:rsidR="003B4485" w:rsidRPr="00F90172">
        <w:rPr>
          <w:rFonts w:cs="Times New Roman"/>
          <w:szCs w:val="24"/>
          <w:vertAlign w:val="superscript"/>
          <w:lang w:val="en-GB"/>
        </w:rPr>
        <w:t>, 2</w:t>
      </w:r>
      <w:r w:rsidRPr="00F90172">
        <w:rPr>
          <w:rFonts w:cs="Times New Roman"/>
          <w:szCs w:val="24"/>
          <w:lang w:val="en-GB"/>
        </w:rPr>
        <w:t xml:space="preserve">, </w:t>
      </w:r>
      <w:r w:rsidR="0012654F">
        <w:rPr>
          <w:rFonts w:cs="Times New Roman"/>
          <w:szCs w:val="24"/>
          <w:lang w:val="en-GB"/>
        </w:rPr>
        <w:t>Lee Jollans</w:t>
      </w:r>
      <w:r w:rsidR="0012654F" w:rsidRPr="0012654F">
        <w:rPr>
          <w:rFonts w:cs="Times New Roman"/>
          <w:szCs w:val="24"/>
          <w:vertAlign w:val="superscript"/>
          <w:lang w:val="en-GB"/>
        </w:rPr>
        <w:t>1</w:t>
      </w:r>
      <w:r w:rsidR="0012654F">
        <w:rPr>
          <w:rFonts w:cs="Times New Roman"/>
          <w:szCs w:val="24"/>
          <w:lang w:val="en-GB"/>
        </w:rPr>
        <w:t>, Nicolas Rost</w:t>
      </w:r>
      <w:r w:rsidR="0012654F" w:rsidRPr="0012654F">
        <w:rPr>
          <w:rFonts w:cs="Times New Roman"/>
          <w:szCs w:val="24"/>
          <w:vertAlign w:val="superscript"/>
          <w:lang w:val="en-GB"/>
        </w:rPr>
        <w:t>1, 2</w:t>
      </w:r>
      <w:r w:rsidR="0012654F">
        <w:rPr>
          <w:rFonts w:cs="Times New Roman"/>
          <w:szCs w:val="24"/>
          <w:lang w:val="en-GB"/>
        </w:rPr>
        <w:t xml:space="preserve">, </w:t>
      </w:r>
      <w:r w:rsidR="000F7932" w:rsidRPr="00F90172">
        <w:rPr>
          <w:rFonts w:cs="Times New Roman"/>
          <w:szCs w:val="24"/>
          <w:lang w:val="en-GB"/>
        </w:rPr>
        <w:t>OPTIMA study team</w:t>
      </w:r>
      <w:r w:rsidR="002C2F04" w:rsidRPr="00F90172">
        <w:rPr>
          <w:rFonts w:cs="Times New Roman"/>
          <w:szCs w:val="24"/>
          <w:vertAlign w:val="superscript"/>
          <w:lang w:val="en-GB"/>
        </w:rPr>
        <w:t>*</w:t>
      </w:r>
      <w:r w:rsidR="000F7932" w:rsidRPr="00F90172">
        <w:rPr>
          <w:rFonts w:cs="Times New Roman"/>
          <w:szCs w:val="24"/>
          <w:lang w:val="en-GB"/>
        </w:rPr>
        <w:t xml:space="preserve">, </w:t>
      </w:r>
      <w:r w:rsidR="00EA5A8F" w:rsidRPr="00F90172">
        <w:rPr>
          <w:rFonts w:cs="Times New Roman"/>
          <w:szCs w:val="24"/>
          <w:lang w:val="en-GB"/>
        </w:rPr>
        <w:t>Janine Arloth</w:t>
      </w:r>
      <w:r w:rsidR="00E96A8D" w:rsidRPr="00F90172">
        <w:rPr>
          <w:rFonts w:cs="Times New Roman"/>
          <w:szCs w:val="24"/>
          <w:vertAlign w:val="superscript"/>
          <w:lang w:val="en-GB"/>
        </w:rPr>
        <w:t>1</w:t>
      </w:r>
      <w:r w:rsidR="006E07FD" w:rsidRPr="00F90172">
        <w:rPr>
          <w:rFonts w:cs="Times New Roman"/>
          <w:szCs w:val="24"/>
          <w:vertAlign w:val="superscript"/>
          <w:lang w:val="en-GB"/>
        </w:rPr>
        <w:t>, 6</w:t>
      </w:r>
    </w:p>
    <w:p w14:paraId="7AB608C8" w14:textId="735D138D" w:rsidR="00693D5C" w:rsidRDefault="00281F0A" w:rsidP="00673405">
      <w:pPr>
        <w:spacing w:after="0" w:line="240" w:lineRule="auto"/>
        <w:rPr>
          <w:rFonts w:cs="Times New Roman"/>
          <w:szCs w:val="24"/>
          <w:lang w:val="en-GB"/>
        </w:rPr>
      </w:pPr>
      <w:r w:rsidRPr="00281F0A">
        <w:rPr>
          <w:rFonts w:cs="Times New Roman"/>
          <w:szCs w:val="24"/>
          <w:vertAlign w:val="superscript"/>
          <w:lang w:val="en-GB"/>
        </w:rPr>
        <w:t>1</w:t>
      </w:r>
      <w:r w:rsidR="00A64CE5" w:rsidRPr="006145CB">
        <w:rPr>
          <w:rFonts w:cs="Times New Roman"/>
          <w:szCs w:val="24"/>
          <w:lang w:val="en-GB"/>
        </w:rPr>
        <w:t xml:space="preserve">Department of </w:t>
      </w:r>
      <w:r w:rsidR="00E96A8D">
        <w:rPr>
          <w:rFonts w:cs="Times New Roman"/>
          <w:szCs w:val="24"/>
          <w:lang w:val="en-GB"/>
        </w:rPr>
        <w:t>Translational Research in Psychiatry</w:t>
      </w:r>
      <w:r w:rsidR="00A64CE5" w:rsidRPr="006145CB">
        <w:rPr>
          <w:rFonts w:cs="Times New Roman"/>
          <w:szCs w:val="24"/>
          <w:lang w:val="en-GB"/>
        </w:rPr>
        <w:t>, Max-Planck-Institute of Psychiatry, Munich, Germany</w:t>
      </w:r>
    </w:p>
    <w:p w14:paraId="4AC0479B" w14:textId="26AEB5F3" w:rsidR="003B4485" w:rsidRDefault="003B4485" w:rsidP="00673405">
      <w:pPr>
        <w:spacing w:after="0" w:line="240" w:lineRule="auto"/>
        <w:rPr>
          <w:szCs w:val="24"/>
          <w:lang w:val="en-US"/>
        </w:rPr>
      </w:pPr>
      <w:r>
        <w:rPr>
          <w:rFonts w:cs="Times New Roman"/>
          <w:szCs w:val="24"/>
          <w:vertAlign w:val="superscript"/>
          <w:lang w:val="en-GB"/>
        </w:rPr>
        <w:t>2</w:t>
      </w:r>
      <w:r>
        <w:rPr>
          <w:szCs w:val="24"/>
          <w:lang w:val="en-US"/>
        </w:rPr>
        <w:t>International Max Planck Research School for Translational Psychiatry (IMPRS-TP), Munich, Germany</w:t>
      </w:r>
    </w:p>
    <w:p w14:paraId="2C9CE8C6" w14:textId="003F7857" w:rsidR="006E07FD" w:rsidRDefault="004C6A35" w:rsidP="006E07FD">
      <w:pPr>
        <w:spacing w:after="0" w:line="240" w:lineRule="auto"/>
        <w:rPr>
          <w:rFonts w:cs="Times New Roman"/>
          <w:szCs w:val="24"/>
          <w:lang w:val="en-GB"/>
        </w:rPr>
      </w:pPr>
      <w:r>
        <w:rPr>
          <w:rFonts w:cs="Times New Roman"/>
          <w:szCs w:val="24"/>
          <w:vertAlign w:val="superscript"/>
          <w:lang w:val="en-GB"/>
        </w:rPr>
        <w:t>3</w:t>
      </w:r>
      <w:r w:rsidR="000421BC" w:rsidRPr="006145CB">
        <w:rPr>
          <w:rFonts w:cs="Times New Roman"/>
          <w:szCs w:val="24"/>
          <w:lang w:val="en-GB"/>
        </w:rPr>
        <w:t>Max-Planck-Institute of Psychiatry, Munich, Germany</w:t>
      </w:r>
    </w:p>
    <w:p w14:paraId="64D346D1" w14:textId="69A75EEA" w:rsidR="004C6A35" w:rsidRPr="00B3335B" w:rsidRDefault="004C6A35" w:rsidP="004C6A35">
      <w:pPr>
        <w:spacing w:after="0" w:line="240" w:lineRule="auto"/>
        <w:rPr>
          <w:rFonts w:cs="Times New Roman"/>
          <w:szCs w:val="24"/>
          <w:lang w:val="en-GB"/>
        </w:rPr>
      </w:pPr>
      <w:r>
        <w:rPr>
          <w:rFonts w:cs="Times New Roman"/>
          <w:szCs w:val="24"/>
          <w:vertAlign w:val="superscript"/>
          <w:lang w:val="en-GB"/>
        </w:rPr>
        <w:t>4</w:t>
      </w:r>
      <w:r w:rsidRPr="00B3335B">
        <w:rPr>
          <w:rFonts w:cs="Times New Roman"/>
          <w:szCs w:val="24"/>
          <w:lang w:val="en-GB"/>
        </w:rPr>
        <w:t>Department of Psychiatry, University of Cambridge, Cambridge, United Kingdom</w:t>
      </w:r>
    </w:p>
    <w:p w14:paraId="695B0B74" w14:textId="43955329" w:rsidR="004C6A35" w:rsidRPr="004C6A35" w:rsidRDefault="004C6A35" w:rsidP="006E07FD">
      <w:pPr>
        <w:spacing w:after="0" w:line="240" w:lineRule="auto"/>
        <w:rPr>
          <w:szCs w:val="24"/>
          <w:lang w:val="en-GB"/>
        </w:rPr>
      </w:pPr>
      <w:r>
        <w:rPr>
          <w:rFonts w:cs="Times New Roman"/>
          <w:szCs w:val="24"/>
          <w:vertAlign w:val="superscript"/>
          <w:lang w:val="en-GB"/>
        </w:rPr>
        <w:t>5</w:t>
      </w:r>
      <w:r w:rsidRPr="00B3335B">
        <w:rPr>
          <w:rFonts w:cs="Times New Roman"/>
          <w:szCs w:val="24"/>
          <w:lang w:val="en-GB"/>
        </w:rPr>
        <w:t>Cambridgeshire and Peterborough NHS Foundation Trust, Cambridge, UK</w:t>
      </w:r>
    </w:p>
    <w:p w14:paraId="2E2716A8" w14:textId="5B13398A" w:rsidR="006E07FD" w:rsidRPr="00F90172" w:rsidRDefault="006E07FD" w:rsidP="000421BC">
      <w:pPr>
        <w:spacing w:after="0" w:line="240" w:lineRule="auto"/>
        <w:rPr>
          <w:rFonts w:cs="Times New Roman"/>
          <w:szCs w:val="24"/>
          <w:lang w:val="en-GB"/>
        </w:rPr>
      </w:pPr>
      <w:r w:rsidRPr="00F90172">
        <w:rPr>
          <w:rFonts w:cs="Times New Roman"/>
          <w:szCs w:val="24"/>
          <w:vertAlign w:val="superscript"/>
          <w:lang w:val="en-GB"/>
        </w:rPr>
        <w:t>6</w:t>
      </w:r>
      <w:r w:rsidRPr="00F90172">
        <w:rPr>
          <w:rFonts w:cs="Times New Roman"/>
          <w:szCs w:val="24"/>
          <w:lang w:val="en-GB"/>
        </w:rPr>
        <w:t xml:space="preserve">Institute of Computational Biology, Helmholtz </w:t>
      </w:r>
      <w:proofErr w:type="spellStart"/>
      <w:r w:rsidRPr="00F90172">
        <w:rPr>
          <w:rFonts w:cs="Times New Roman"/>
          <w:szCs w:val="24"/>
          <w:lang w:val="en-GB"/>
        </w:rPr>
        <w:t>Zentrum</w:t>
      </w:r>
      <w:proofErr w:type="spellEnd"/>
      <w:r w:rsidRPr="00F90172">
        <w:rPr>
          <w:rFonts w:cs="Times New Roman"/>
          <w:szCs w:val="24"/>
          <w:lang w:val="en-GB"/>
        </w:rPr>
        <w:t xml:space="preserve"> Munich, </w:t>
      </w:r>
      <w:proofErr w:type="spellStart"/>
      <w:r w:rsidRPr="00F90172">
        <w:rPr>
          <w:rFonts w:cs="Times New Roman"/>
          <w:szCs w:val="24"/>
          <w:lang w:val="en-GB"/>
        </w:rPr>
        <w:t>Neuherberg</w:t>
      </w:r>
      <w:proofErr w:type="spellEnd"/>
      <w:r w:rsidRPr="00F90172">
        <w:rPr>
          <w:rFonts w:cs="Times New Roman"/>
          <w:szCs w:val="24"/>
          <w:lang w:val="en-GB"/>
        </w:rPr>
        <w:t>, Germany</w:t>
      </w:r>
    </w:p>
    <w:p w14:paraId="3F79B2CF" w14:textId="29267F55" w:rsidR="00B851A1" w:rsidRDefault="00B851A1" w:rsidP="000421BC">
      <w:pPr>
        <w:spacing w:after="0" w:line="240" w:lineRule="auto"/>
        <w:rPr>
          <w:rFonts w:cs="Times New Roman"/>
          <w:szCs w:val="24"/>
          <w:lang w:val="en-GB"/>
        </w:rPr>
      </w:pPr>
      <w:r w:rsidRPr="00B851A1">
        <w:rPr>
          <w:rFonts w:cs="Times New Roman"/>
          <w:szCs w:val="24"/>
          <w:vertAlign w:val="superscript"/>
          <w:lang w:val="en-GB"/>
        </w:rPr>
        <w:t>*</w:t>
      </w:r>
      <w:r>
        <w:rPr>
          <w:rFonts w:cs="Times New Roman"/>
          <w:szCs w:val="24"/>
          <w:lang w:val="en-GB"/>
        </w:rPr>
        <w:t>The OPTIMA study team includes X.</w:t>
      </w:r>
    </w:p>
    <w:p w14:paraId="562200B5" w14:textId="77777777" w:rsidR="00FF06DB" w:rsidRPr="006145CB" w:rsidRDefault="00FF06DB" w:rsidP="002B438A">
      <w:pPr>
        <w:rPr>
          <w:rFonts w:cs="Times New Roman"/>
          <w:szCs w:val="24"/>
          <w:lang w:val="en-GB"/>
        </w:rPr>
      </w:pPr>
    </w:p>
    <w:p w14:paraId="0CF5C620" w14:textId="190C99AA" w:rsidR="00A64CE5" w:rsidRDefault="00A64CE5" w:rsidP="00B46AE0">
      <w:pPr>
        <w:spacing w:after="0"/>
        <w:rPr>
          <w:rFonts w:cs="Times New Roman"/>
          <w:szCs w:val="24"/>
          <w:lang w:val="en-GB"/>
        </w:rPr>
      </w:pPr>
      <w:r w:rsidRPr="006145CB">
        <w:rPr>
          <w:rFonts w:cs="Times New Roman"/>
          <w:b/>
          <w:szCs w:val="24"/>
          <w:lang w:val="en-GB"/>
        </w:rPr>
        <w:t>Corresponding author:</w:t>
      </w:r>
      <w:r w:rsidRPr="006145CB">
        <w:rPr>
          <w:rFonts w:cs="Times New Roman"/>
          <w:szCs w:val="24"/>
          <w:lang w:val="en-GB"/>
        </w:rPr>
        <w:t xml:space="preserve"> </w:t>
      </w:r>
    </w:p>
    <w:p w14:paraId="6E4D1252" w14:textId="77777777" w:rsidR="00B850DF" w:rsidRPr="002C53DD" w:rsidRDefault="00B850DF" w:rsidP="00B46AE0">
      <w:pPr>
        <w:spacing w:after="0" w:line="240" w:lineRule="auto"/>
        <w:rPr>
          <w:rFonts w:cs="Times New Roman"/>
          <w:szCs w:val="24"/>
          <w:lang w:val="en-GB"/>
        </w:rPr>
      </w:pPr>
      <w:r w:rsidRPr="002C53DD">
        <w:rPr>
          <w:rFonts w:cs="Times New Roman"/>
          <w:szCs w:val="24"/>
          <w:lang w:val="en-GB"/>
        </w:rPr>
        <w:t xml:space="preserve">Nils Kappelmann </w:t>
      </w:r>
    </w:p>
    <w:p w14:paraId="4BBE6588" w14:textId="2F7C2A7A" w:rsidR="005D2C02" w:rsidRPr="002C53DD" w:rsidRDefault="00B850DF" w:rsidP="003743D2">
      <w:pPr>
        <w:spacing w:after="0" w:line="240" w:lineRule="auto"/>
        <w:rPr>
          <w:rFonts w:cs="Times New Roman"/>
          <w:szCs w:val="24"/>
          <w:lang w:val="en-GB"/>
        </w:rPr>
      </w:pPr>
      <w:r w:rsidRPr="002C53DD">
        <w:rPr>
          <w:rFonts w:cs="Times New Roman"/>
          <w:szCs w:val="24"/>
          <w:lang w:val="en-GB"/>
        </w:rPr>
        <w:t>Max-Planck-Institute of Psychiatry</w:t>
      </w:r>
    </w:p>
    <w:p w14:paraId="2AB57A94" w14:textId="3F1CCC5A" w:rsidR="00B850DF" w:rsidRPr="00B237A2" w:rsidRDefault="00E9278D" w:rsidP="003743D2">
      <w:pPr>
        <w:spacing w:after="0" w:line="240" w:lineRule="auto"/>
        <w:rPr>
          <w:rFonts w:cs="Times New Roman"/>
          <w:szCs w:val="24"/>
        </w:rPr>
      </w:pPr>
      <w:proofErr w:type="spellStart"/>
      <w:r w:rsidRPr="00B237A2">
        <w:rPr>
          <w:rFonts w:cs="Times New Roman"/>
          <w:szCs w:val="24"/>
        </w:rPr>
        <w:t>Kraepelinstraße</w:t>
      </w:r>
      <w:proofErr w:type="spellEnd"/>
      <w:r w:rsidR="00B850DF" w:rsidRPr="00B237A2">
        <w:rPr>
          <w:rFonts w:cs="Times New Roman"/>
          <w:szCs w:val="24"/>
        </w:rPr>
        <w:t xml:space="preserve"> 2-10</w:t>
      </w:r>
    </w:p>
    <w:p w14:paraId="6D7408A0" w14:textId="2CFBC355" w:rsidR="005D2C02" w:rsidRPr="002C53DD" w:rsidRDefault="00B850DF" w:rsidP="003743D2">
      <w:pPr>
        <w:spacing w:after="0" w:line="240" w:lineRule="auto"/>
        <w:rPr>
          <w:rFonts w:cs="Times New Roman"/>
          <w:szCs w:val="24"/>
        </w:rPr>
      </w:pPr>
      <w:r w:rsidRPr="002C53DD">
        <w:rPr>
          <w:rFonts w:cs="Times New Roman"/>
          <w:szCs w:val="24"/>
        </w:rPr>
        <w:t>80804 Munich, Germany</w:t>
      </w:r>
    </w:p>
    <w:p w14:paraId="5181639A" w14:textId="6BD6EEF9" w:rsidR="006568B1" w:rsidRPr="002C53DD" w:rsidRDefault="006568B1" w:rsidP="003743D2">
      <w:pPr>
        <w:spacing w:after="0" w:line="240" w:lineRule="auto"/>
        <w:rPr>
          <w:rFonts w:cs="Times New Roman"/>
          <w:szCs w:val="24"/>
        </w:rPr>
      </w:pPr>
    </w:p>
    <w:p w14:paraId="2F9AB31B" w14:textId="615DE89D" w:rsidR="006568B1" w:rsidRPr="002C53DD" w:rsidRDefault="006568B1" w:rsidP="003743D2">
      <w:pPr>
        <w:spacing w:after="0" w:line="240" w:lineRule="auto"/>
        <w:rPr>
          <w:rFonts w:cs="Times New Roman"/>
          <w:szCs w:val="24"/>
        </w:rPr>
      </w:pPr>
      <w:r w:rsidRPr="002C53DD">
        <w:rPr>
          <w:rFonts w:cs="Times New Roman"/>
          <w:szCs w:val="24"/>
        </w:rPr>
        <w:t xml:space="preserve">Email: nils_kappelmann@psych.mpg.de; n.kappelmann@gmail.com </w:t>
      </w:r>
    </w:p>
    <w:p w14:paraId="27C89C54" w14:textId="77777777" w:rsidR="00FF06DB" w:rsidRPr="002C53DD" w:rsidRDefault="00FF06DB" w:rsidP="002B438A">
      <w:pPr>
        <w:rPr>
          <w:rFonts w:cs="Times New Roman"/>
          <w:szCs w:val="24"/>
        </w:rPr>
      </w:pPr>
    </w:p>
    <w:p w14:paraId="4A97C116" w14:textId="445CDEAC" w:rsidR="005D2C02" w:rsidRPr="006145CB" w:rsidRDefault="00A87553" w:rsidP="005D2C02">
      <w:pPr>
        <w:spacing w:after="0"/>
        <w:rPr>
          <w:rFonts w:cs="Times New Roman"/>
          <w:b/>
          <w:szCs w:val="24"/>
          <w:lang w:val="en-GB"/>
        </w:rPr>
      </w:pPr>
      <w:r w:rsidRPr="006145CB">
        <w:rPr>
          <w:rFonts w:cs="Times New Roman"/>
          <w:b/>
          <w:szCs w:val="24"/>
          <w:lang w:val="en-GB"/>
        </w:rPr>
        <w:t xml:space="preserve">Abstract word </w:t>
      </w:r>
      <w:r w:rsidR="00B05887">
        <w:rPr>
          <w:rFonts w:cs="Times New Roman"/>
          <w:b/>
          <w:szCs w:val="24"/>
          <w:lang w:val="en-GB"/>
        </w:rPr>
        <w:t xml:space="preserve">count: </w:t>
      </w:r>
      <w:r w:rsidR="00FA3643">
        <w:rPr>
          <w:rFonts w:cs="Times New Roman"/>
          <w:b/>
          <w:szCs w:val="24"/>
          <w:lang w:val="en-GB"/>
        </w:rPr>
        <w:t>X</w:t>
      </w:r>
    </w:p>
    <w:p w14:paraId="3AD7489A" w14:textId="77777777" w:rsidR="005D2C02" w:rsidRPr="006145CB" w:rsidRDefault="005D2C02" w:rsidP="005D2C02">
      <w:pPr>
        <w:spacing w:after="0"/>
        <w:rPr>
          <w:rFonts w:cs="Times New Roman"/>
          <w:b/>
          <w:szCs w:val="24"/>
          <w:lang w:val="en-GB"/>
        </w:rPr>
      </w:pPr>
      <w:r w:rsidRPr="006145CB">
        <w:rPr>
          <w:rFonts w:cs="Times New Roman"/>
          <w:b/>
          <w:szCs w:val="24"/>
          <w:lang w:val="en-GB"/>
        </w:rPr>
        <w:t>Manuscript w</w:t>
      </w:r>
      <w:r w:rsidR="00A87553" w:rsidRPr="006145CB">
        <w:rPr>
          <w:rFonts w:cs="Times New Roman"/>
          <w:b/>
          <w:szCs w:val="24"/>
          <w:lang w:val="en-GB"/>
        </w:rPr>
        <w:t>ord count: X</w:t>
      </w:r>
    </w:p>
    <w:p w14:paraId="70090D17" w14:textId="77777777" w:rsidR="005D2C02" w:rsidRPr="006145CB" w:rsidRDefault="00A87553" w:rsidP="005D2C02">
      <w:pPr>
        <w:spacing w:after="0"/>
        <w:rPr>
          <w:rFonts w:cs="Times New Roman"/>
          <w:b/>
          <w:szCs w:val="24"/>
          <w:lang w:val="en-GB"/>
        </w:rPr>
      </w:pPr>
      <w:r w:rsidRPr="006145CB">
        <w:rPr>
          <w:rFonts w:cs="Times New Roman"/>
          <w:b/>
          <w:szCs w:val="24"/>
          <w:lang w:val="en-GB"/>
        </w:rPr>
        <w:t>Tables and Figures: X</w:t>
      </w:r>
    </w:p>
    <w:p w14:paraId="381B1186" w14:textId="702B4749" w:rsidR="009A1D40" w:rsidRPr="006145CB" w:rsidRDefault="005D2C02" w:rsidP="00F8180C">
      <w:pPr>
        <w:spacing w:after="0"/>
        <w:rPr>
          <w:rFonts w:cs="Times New Roman"/>
          <w:b/>
          <w:szCs w:val="24"/>
          <w:lang w:val="en-GB"/>
        </w:rPr>
        <w:sectPr w:rsidR="009A1D40" w:rsidRPr="006145CB">
          <w:footerReference w:type="default" r:id="rId8"/>
          <w:pgSz w:w="12240" w:h="15840"/>
          <w:pgMar w:top="1417" w:right="1417" w:bottom="1134" w:left="1417" w:header="708" w:footer="708" w:gutter="0"/>
          <w:cols w:space="708"/>
          <w:docGrid w:linePitch="360"/>
        </w:sectPr>
      </w:pPr>
      <w:r w:rsidRPr="006145CB">
        <w:rPr>
          <w:rFonts w:cs="Times New Roman"/>
          <w:b/>
          <w:szCs w:val="24"/>
          <w:lang w:val="en-GB"/>
        </w:rPr>
        <w:t xml:space="preserve">Online Supplementary Tables and Figures: </w:t>
      </w:r>
      <w:r w:rsidR="00A87553" w:rsidRPr="006145CB">
        <w:rPr>
          <w:rFonts w:cs="Times New Roman"/>
          <w:b/>
          <w:szCs w:val="24"/>
          <w:lang w:val="en-GB"/>
        </w:rPr>
        <w:t>X</w:t>
      </w:r>
      <w:r w:rsidRPr="006145CB">
        <w:rPr>
          <w:rFonts w:cs="Times New Roman"/>
          <w:b/>
          <w:szCs w:val="24"/>
          <w:lang w:val="en-GB"/>
        </w:rPr>
        <w:t xml:space="preserve"> Tables and </w:t>
      </w:r>
      <w:r w:rsidR="00A87553" w:rsidRPr="006145CB">
        <w:rPr>
          <w:rFonts w:cs="Times New Roman"/>
          <w:b/>
          <w:szCs w:val="24"/>
          <w:lang w:val="en-GB"/>
        </w:rPr>
        <w:t>X</w:t>
      </w:r>
      <w:r w:rsidRPr="006145CB">
        <w:rPr>
          <w:rFonts w:cs="Times New Roman"/>
          <w:b/>
          <w:szCs w:val="24"/>
          <w:lang w:val="en-GB"/>
        </w:rPr>
        <w:t xml:space="preserve"> Figure</w:t>
      </w:r>
    </w:p>
    <w:p w14:paraId="017C18C0" w14:textId="77777777" w:rsidR="005D2C02" w:rsidRPr="006145CB" w:rsidRDefault="009A1D40" w:rsidP="007212AE">
      <w:pPr>
        <w:pStyle w:val="Heading1"/>
        <w:rPr>
          <w:lang w:val="en-GB"/>
        </w:rPr>
      </w:pPr>
      <w:r w:rsidRPr="006145CB">
        <w:rPr>
          <w:lang w:val="en-GB"/>
        </w:rPr>
        <w:lastRenderedPageBreak/>
        <w:t>Abstract</w:t>
      </w:r>
    </w:p>
    <w:p w14:paraId="51A50B58" w14:textId="6BAFFD70" w:rsidR="009A1D40" w:rsidRDefault="00A229C0" w:rsidP="002B438A">
      <w:pPr>
        <w:rPr>
          <w:rFonts w:cs="Times New Roman"/>
          <w:b/>
          <w:szCs w:val="24"/>
          <w:lang w:val="en-GB"/>
        </w:rPr>
      </w:pPr>
      <w:r>
        <w:rPr>
          <w:rFonts w:cs="Times New Roman"/>
          <w:szCs w:val="24"/>
          <w:lang w:val="en-GB"/>
        </w:rPr>
        <w:t>tbc</w:t>
      </w:r>
    </w:p>
    <w:p w14:paraId="2E80D6CC" w14:textId="02B0746D" w:rsidR="001E6067" w:rsidRPr="001E6067" w:rsidRDefault="001E6067" w:rsidP="002B438A">
      <w:pPr>
        <w:rPr>
          <w:rFonts w:cs="Times New Roman"/>
          <w:szCs w:val="24"/>
          <w:lang w:val="en-GB"/>
        </w:rPr>
        <w:sectPr w:rsidR="001E6067" w:rsidRPr="001E6067" w:rsidSect="00237421">
          <w:pgSz w:w="12240" w:h="15840"/>
          <w:pgMar w:top="1417" w:right="1417" w:bottom="1134" w:left="1417" w:header="708" w:footer="708" w:gutter="0"/>
          <w:lnNumType w:countBy="1" w:restart="continuous"/>
          <w:cols w:space="708"/>
          <w:docGrid w:linePitch="360"/>
        </w:sectPr>
      </w:pPr>
      <w:r w:rsidRPr="006D2B85">
        <w:rPr>
          <w:rFonts w:cs="Times New Roman"/>
          <w:i/>
          <w:szCs w:val="24"/>
          <w:lang w:val="en-GB"/>
        </w:rPr>
        <w:t>Keywords:</w:t>
      </w:r>
      <w:r>
        <w:rPr>
          <w:rFonts w:cs="Times New Roman"/>
          <w:szCs w:val="24"/>
          <w:lang w:val="en-GB"/>
        </w:rPr>
        <w:t xml:space="preserve"> Major Depressive Disorder; </w:t>
      </w:r>
      <w:r w:rsidR="00F0500D">
        <w:rPr>
          <w:rFonts w:cs="Times New Roman"/>
          <w:szCs w:val="24"/>
          <w:lang w:val="en-GB"/>
        </w:rPr>
        <w:t>inflammation</w:t>
      </w:r>
      <w:r w:rsidR="001005B5">
        <w:rPr>
          <w:rFonts w:cs="Times New Roman"/>
          <w:szCs w:val="24"/>
          <w:lang w:val="en-GB"/>
        </w:rPr>
        <w:t>;</w:t>
      </w:r>
      <w:r w:rsidR="005244A5">
        <w:rPr>
          <w:rFonts w:cs="Times New Roman"/>
          <w:szCs w:val="24"/>
          <w:lang w:val="en-GB"/>
        </w:rPr>
        <w:t xml:space="preserve"> </w:t>
      </w:r>
      <w:r w:rsidR="00463F5F">
        <w:rPr>
          <w:rFonts w:cs="Times New Roman"/>
          <w:szCs w:val="24"/>
          <w:lang w:val="en-GB"/>
        </w:rPr>
        <w:t xml:space="preserve">cytokine; inpatient </w:t>
      </w:r>
    </w:p>
    <w:p w14:paraId="43B12132" w14:textId="77777777" w:rsidR="009A1D40" w:rsidRPr="006145CB" w:rsidRDefault="009A1D40" w:rsidP="00543CFA">
      <w:pPr>
        <w:pStyle w:val="Heading1"/>
        <w:rPr>
          <w:b w:val="0"/>
          <w:lang w:val="en-GB"/>
        </w:rPr>
      </w:pPr>
      <w:r w:rsidRPr="006145CB">
        <w:rPr>
          <w:lang w:val="en-GB"/>
        </w:rPr>
        <w:lastRenderedPageBreak/>
        <w:t>Introduction</w:t>
      </w:r>
    </w:p>
    <w:p w14:paraId="27529A2C" w14:textId="6818F293" w:rsidR="007D4C63" w:rsidRDefault="00E03353" w:rsidP="00E45C5E">
      <w:pPr>
        <w:rPr>
          <w:lang w:val="en-GB"/>
        </w:rPr>
      </w:pPr>
      <w:r>
        <w:rPr>
          <w:lang w:val="en-GB"/>
        </w:rPr>
        <w:t xml:space="preserve">Immune </w:t>
      </w:r>
      <w:r w:rsidR="00F75396">
        <w:rPr>
          <w:lang w:val="en-GB"/>
        </w:rPr>
        <w:t>system alterations have been reliably associated with Major Depressive Disorder (MDD)</w:t>
      </w:r>
      <w:r w:rsidR="00E71FA2">
        <w:rPr>
          <w:lang w:val="en-GB"/>
        </w:rPr>
        <w:t xml:space="preserve"> a</w:t>
      </w:r>
      <w:r w:rsidR="004C435B">
        <w:rPr>
          <w:lang w:val="en-GB"/>
        </w:rPr>
        <w:t xml:space="preserve">nd low-grade inflammation, as indexed by C-reactive protein (CRP) levels &gt;3mg/L, have been estimated to be present in every fourth patient </w:t>
      </w:r>
      <w:r w:rsidR="00330BAE">
        <w:rPr>
          <w:lang w:val="en-GB"/>
        </w:rPr>
        <w:t xml:space="preserve">with MDD </w:t>
      </w:r>
      <w:r w:rsidR="000B3E38">
        <w:rPr>
          <w:lang w:val="en-GB"/>
        </w:rPr>
        <w:fldChar w:fldCharType="begin" w:fldLock="1"/>
      </w:r>
      <w:r w:rsidR="001B1736">
        <w:rPr>
          <w:lang w:val="en-GB"/>
        </w:rPr>
        <w:instrText>ADDIN CSL_CITATION {"citationItems":[{"id":"ITEM-1","itemData":{"DOI":"10.1038/nrn2297","ISBN":"1471-0048 (Electronic)\r1471-003X (Linking)","PMID":"18073775","author":[{"dropping-particle":"","family":"Dantzer","given":"R","non-dropping-particle":"","parse-names":false,"suffix":""},{"dropping-particle":"","family":"O'Connor","given":"J C","non-dropping-particle":"","parse-names":false,"suffix":""},{"dropping-particle":"","family":"Freund","given":"G G","non-dropping-particle":"","parse-names":false,"suffix":""},{"dropping-particle":"","family":"Johnson","given":"R W","non-dropping-particle":"","parse-names":false,"suffix":""},{"dropping-particle":"","family":"Kelley","given":"K W","non-dropping-particle":"","parse-names":false,"suffix":""}],"container-title":"Nature Reviews Neuroscience","id":"ITEM-1","issue":"1","issued":{"date-parts":[["2008"]]},"page":"46-56","title":"From inflammation to sickness and depression: when the immune system subjugates the brain","type":"article-journal","volume":"9"},"uris":["http://www.mendeley.com/documents/?uuid=e0d8376d-ae37-4e97-88f4-51d40de3eaac"]},{"id":"ITEM-2","itemData":{"DOI":"10.1017/S0033291719001454","ISSN":"0033-2917","author":[{"dropping-particle":"","family":"Osimo","given":"Emanuele Felice","non-dropping-particle":"","parse-names":false,"suffix":""},{"dropping-particle":"","family":"Baxter","given":"Luke James","non-dropping-particle":"","parse-names":false,"suffix":""},{"dropping-particle":"","family":"Lewis","given":"Glyn","non-dropping-particle":"","parse-names":false,"suffix":""},{"dropping-particle":"","family":"Jones","given":"Peter B.","non-dropping-particle":"","parse-names":false,"suffix":""},{"dropping-particle":"","family":"Khandaker","given":"Golam M.","non-dropping-particle":"","parse-names":false,"suffix":""}],"container-title":"Psychological Medicine","id":"ITEM-2","issued":{"date-parts":[["2019","7","1"]]},"page":"1-13","title":"Prevalence of low-grade inflammation in depression: a systematic review and meta-analysis of CRP levels","type":"article-journal"},"uris":["http://www.mendeley.com/documents/?uuid=59873df1-8ecb-4b01-9caf-1a7b6f3e23c2"]}],"mendeley":{"formattedCitation":"(Dantzer et al., 2008; Osimo et al., 2019)","plainTextFormattedCitation":"(Dantzer et al., 2008; Osimo et al., 2019)","previouslyFormattedCitation":"(Dantzer et al., 2008; Osimo et al., 2019)"},"properties":{"noteIndex":0},"schema":"https://github.com/citation-style-language/schema/raw/master/csl-citation.json"}</w:instrText>
      </w:r>
      <w:r w:rsidR="000B3E38">
        <w:rPr>
          <w:lang w:val="en-GB"/>
        </w:rPr>
        <w:fldChar w:fldCharType="separate"/>
      </w:r>
      <w:r w:rsidR="004C435B" w:rsidRPr="004C435B">
        <w:rPr>
          <w:noProof/>
          <w:lang w:val="en-GB"/>
        </w:rPr>
        <w:t>(Dantzer et al., 2008; Osimo et al., 2019)</w:t>
      </w:r>
      <w:r w:rsidR="000B3E38">
        <w:rPr>
          <w:lang w:val="en-GB"/>
        </w:rPr>
        <w:fldChar w:fldCharType="end"/>
      </w:r>
      <w:r w:rsidR="00672BCF">
        <w:rPr>
          <w:lang w:val="en-GB"/>
        </w:rPr>
        <w:t>.</w:t>
      </w:r>
      <w:r w:rsidR="002E1B90">
        <w:rPr>
          <w:lang w:val="en-GB"/>
        </w:rPr>
        <w:t xml:space="preserve"> </w:t>
      </w:r>
      <w:r w:rsidR="00264FD6">
        <w:rPr>
          <w:lang w:val="en-GB"/>
        </w:rPr>
        <w:t xml:space="preserve">Such low-grade inflammation </w:t>
      </w:r>
      <w:r w:rsidR="0003138E">
        <w:rPr>
          <w:lang w:val="en-GB"/>
        </w:rPr>
        <w:t>could be</w:t>
      </w:r>
      <w:r w:rsidR="00264FD6">
        <w:rPr>
          <w:lang w:val="en-GB"/>
        </w:rPr>
        <w:t xml:space="preserve"> clinically relevant as pro-inflammatory protein levels prior to treatment have been </w:t>
      </w:r>
      <w:r w:rsidR="009A1EA5">
        <w:rPr>
          <w:lang w:val="en-GB"/>
        </w:rPr>
        <w:t xml:space="preserve">associated with worse treatment outcome following standard monoaminergic and psychotherapeutic treatments </w:t>
      </w:r>
      <w:r w:rsidR="001B1736">
        <w:rPr>
          <w:lang w:val="en-GB"/>
        </w:rPr>
        <w:fldChar w:fldCharType="begin" w:fldLock="1"/>
      </w:r>
      <w:r w:rsidR="0081776B">
        <w:rPr>
          <w:lang w:val="en-GB"/>
        </w:rPr>
        <w:instrText>ADDIN CSL_CITATION {"citationItems":[{"id":"ITEM-1","itemData":{"DOI":"10.1038/s41380-019-0474-5","ISSN":"1359-4184","PMID":"31427752","abstract":"Predicting antidepressant treatment response has been a clinical challenge for major depressive disorder (MDD). The inflammation hypothesis of depression suggests that cytokines play a key role in the pathophysiology of MDD and alterations in peripheral cytokine levels are associated with antidepressant treatment outcome. Present meta-analysis aimed to examine the association between baseline peripheral cytokine levels and the response to antidepressant treatment and to evaluate whether changes of cytokine levels were associated with the response to antidepressant treatment in patients with MDD. Human-based studies published in any language in peer-reviewed journals were systematically searched from the PubMed, Embase and Web of Science databases, from inception up to October 2018. The search terms included cytokine, depressive disorder and antidepressant and their synonyms. Case–control or case–case studies reporting on levels of IL-1β, IL-2, IL-4, IL-5, IL-6, IL-8, IL-10, IL-12, CRP, TNF-α, IFN-γ, GM-CSF, MIP-1α, and Eotaxin-1 in patients with MDD based on validated depression scales both before and after antidepressant treatment were included. Of 7408 identified records, 44 studies met inclusion. Standardized mean differences in each cytokine were evaluated, and random-effects meta-analyses were performed. MDD patients who responded to antidepressant treatment had lower baseline IL-8 levels than the nonresponders (Hedge’s g = −0.28; 95%CI, −0.43 to −0.13; P = 0.0003; FDR = 0.004). Antidepressant treatment significantly decreased levels of TNF-α (Hedge’s g = 0.60; 95%CI, 0.26–0.94; P = 0.0006; FDR = 0.004) only in responders, and responders showed significantly more decreased TNF-α levels compared with nonresponders (P = 0.046). These findings suggested that alterations in peripheral cytokine levels were associated with antidepressant treatment outcomes in MDD. Further investigations are warranted to elucidate sources of heterogeneity and examine the potentiality of using inflammatory cytokines as novel predictive markers for the pharmacological treatment of MDD.","author":[{"dropping-particle":"","family":"Liu","given":"Jia Jia","non-dropping-particle":"","parse-names":false,"suffix":""},{"dropping-particle":"Bin","family":"Wei","given":"Ya","non-dropping-particle":"","parse-names":false,"suffix":""},{"dropping-particle":"","family":"Strawbridge","given":"Rebecca","non-dropping-particle":"","parse-names":false,"suffix":""},{"dropping-particle":"","family":"Bao","given":"Yanping","non-dropping-particle":"","parse-names":false,"suffix":""},{"dropping-particle":"","family":"Chang","given":"Suhua","non-dropping-particle":"","parse-names":false,"suffix":""},{"dropping-particle":"","family":"Shi","given":"Le","non-dropping-particle":"","parse-names":false,"suffix":""},{"dropping-particle":"","family":"Que","given":"Jianyu","non-dropping-particle":"","parse-names":false,"suffix":""},{"dropping-particle":"","family":"Gadad","given":"Bharathi S.","non-dropping-particle":"","parse-names":false,"suffix":""},{"dropping-particle":"","family":"Trivedi","given":"Madhukar H.","non-dropping-particle":"","parse-names":false,"suffix":""},{"dropping-particle":"","family":"Kelsoe","given":"John R.","non-dropping-particle":"","parse-names":false,"suffix":""},{"dropping-particle":"","family":"Lu","given":"Lin","non-dropping-particle":"","parse-names":false,"suffix":""}],"container-title":"Molecular Psychiatry","id":"ITEM-1","issue":"2","issued":{"date-parts":[["2020","2","19"]]},"page":"339-350","publisher":"Springer US","title":"Peripheral cytokine levels and response to antidepressant treatment in depression: a systematic review and meta-analysis","type":"article-journal","volume":"25"},"uris":["http://www.mendeley.com/documents/?uuid=f4c99925-c763-4458-914b-96cfff512126"]},{"id":"ITEM-2","itemData":{"DOI":"10.1038/mp.2016.3","ISBN":"1476-5578 (Electronic) 1359-4184 (Linking)","PMID":"26903267","abstract":"Schizophrenia, bipolar disorder and major depressive disorder (MDD) have all been associated with aberrant blood cytokine levels; however, neither the pattern of cytokine alterations nor the impact of clinical status have been compared across disorders. We performed a meta-analysis of blood cytokines in acutely and chronically ill patients with these major psychiatric disorders. Articles were identified by searching the PubMed, PsycInfo and Web of Science, and the reference lists of these studies. Sixty-eight studies met the inclusion criteria (40 schizophrenia, 10 bipolar disorder and 18 MDD) for acutely ill patients. Forty-six studies met the inclusion criteria (18 schizophrenia, 16 bipolar disorder and 12 MDD) for chronically ill patients. Levels of two cytokines (interleukin-6 (IL-6), tumor necrosis factor-alpha (TNF-alpha)), one soluble cytokine receptor (sIL-2R), and one cytokine receptor antagonist (IL-1RA) were significantly increased in acutely ill patients with schizophrenia, bipolar mania and MDD compared with controls (P&lt;0.01). Following treatment of the acute illness, IL-6 levels significantly decreased in both schizophrenia and MDD (P&lt;0.01); sIL-2R levels increased in schizophrenia; and IL-1RA levels in bipolar mania decreased. In chronically ill patients, the levels of IL-6 were significantly increased in schizophrenia, euthymic (but not depressed) bipolar disorder and MDD compared with controls (P&lt;0.01). The levels of IL-1beta and sIL-2R were significantly increased in both chronic schizophrenia and euthymic bipolar disorder. Overall, there were similarities in the pattern of cytokine alterations in schizophrenia, bipolar disorder and MDD during acute and chronic phases of illness, raising the possibility of common underlying pathways for immune dysfunction. Effects of treatment on cytokines were more robust for schizophrenia and MDD, but were more frequently studied than for acute mania. These findings have important implications for our understanding of the pathophysiology and treatment of major psychiatric disorders.Molecular Psychiatry advance online publication, 23 February 2016; doi:10.1038/mp.2016.3.","author":[{"dropping-particle":"","family":"Goldsmith","given":"D R","non-dropping-particle":"","parse-names":false,"suffix":""},{"dropping-particle":"","family":"Rapaport","given":"M H","non-dropping-particle":"","parse-names":false,"suffix":""},{"dropping-particle":"","family":"Miller","given":"B J","non-dropping-particle":"","parse-names":false,"suffix":""}],"container-title":"Molecular Psychiatry","id":"ITEM-2","issued":{"date-parts":[["2016"]]},"note":"Goldsmith, D R\nRapaport, M H\nMiller, B J\nENG\nK23 MH098014/MH/NIMH NIH HHS/\n2016/02/24 06:00\nMol Psychiatry. 2016 Feb 23. doi: 10.1038/mp.2016.3.","page":"1696-1709","title":"A meta-analysis of blood cytokine network alterations in psychiatric patients: comparisons between schizophrenia, bipolar disorder and depression","type":"article-journal","volume":"21"},"uris":["http://www.mendeley.com/documents/?uuid=a3572bd9-6a38-4a37-99ab-462d54223568"]},{"id":"ITEM-3","itemData":{"DOI":"10.1177/0004867417701996","ISBN":"0004-8674","ISSN":"0004-8674","abstract":"Objective: There is growing evidence confirming increased inflammation in a subset of adults with depression. The impact of this relationship has mostly been considered in biologically based interventions; however, it also has potential implications for psychological therapies. Cognitive behaviour therapy is the most commonly used psychological intervention for the treatment of depression with theories around its efficacy primarily based on psychological mechanisms. However, cognitive behaviour therapy may have an effect on, and its efficacy influenced by, physiological processes associated with depression. Accordingly, the purpose of this systematic review was to examine the relationship between cognitive behaviour therapy and inflammation. Method: Studies examining the anti-inflammatory effects of cognitive behaviour therapy in people with depression and other medical conditions (e.g. cancer, diabetes and heart disease) were examined. In addition, the relationship between change in inflammatory markers and change in depressive symptoms following cognitive behaviour therapy, and the influence of pre-treatment inflammation on cognitive behaviour therapy treatment response were reviewed. Results: A total of 23 studies investigating the anti-inflammatory effects of cognitive behaviour therapy were identified. In 14 of these studies, at least one reduction in an inflammatory marker was reported, increases were identified in three studies and no change was found in six studies. Three studies examined the relationship between change in inflammation and change in depressive symptoms following cognitive behaviour therapy. In two of these studies, change in depressive symptoms was associated with a change in at least one inflammatory marker. Finally, three studies examined the influence of pre-treatment inflammation on treatment outcome from cognitive behaviour therapy, and all indicated a poorer treatment response in people with higher premorbid inflammation. Conclusion: Preliminary evidence suggests inflammation should be considered within the context of cognitive behaviour therapy, although robust studies examining the relationship are sparse, and heterogeneity between studies and populations examined was high. The potential treatment implications of the bi-directional relationship between inflammation and cognitive behaviour therapy are discussed, and recommendations for future research are proposed.","author":[{"dropping-particle":"","family":"Lopresti","given":"Adrian L.","non-dropping-particle":"","parse-names":false,"suffix":""}],"container-title":"Australian &amp; New Zealand Journal of Psychiatry","id":"ITEM-3","issue":"6","issued":{"date-parts":[["2017","6","6"]]},"page":"565-582","title":"Cognitive behaviour therapy and inflammation: A systematic review of its relationship and the potential implications for the treatment of depression","type":"article-journal","volume":"51"},"uris":["http://www.mendeley.com/documents/?uuid=09502e85-bafc-47b9-bd7d-908d9738f558"]}],"mendeley":{"formattedCitation":"(Goldsmith et al., 2016; Liu et al., 2020; Lopresti, 2017)","plainTextFormattedCitation":"(Goldsmith et al., 2016; Liu et al., 2020; Lopresti, 2017)","previouslyFormattedCitation":"(Goldsmith et al., 2016; Liu et al., 2020; Lopresti, 2017)"},"properties":{"noteIndex":0},"schema":"https://github.com/citation-style-language/schema/raw/master/csl-citation.json"}</w:instrText>
      </w:r>
      <w:r w:rsidR="001B1736">
        <w:rPr>
          <w:lang w:val="en-GB"/>
        </w:rPr>
        <w:fldChar w:fldCharType="separate"/>
      </w:r>
      <w:r w:rsidR="001B1736" w:rsidRPr="001B1736">
        <w:rPr>
          <w:noProof/>
          <w:lang w:val="en-GB"/>
        </w:rPr>
        <w:t>(Goldsmith et al., 2016; Liu et al., 2020; Lopresti, 2017)</w:t>
      </w:r>
      <w:r w:rsidR="001B1736">
        <w:rPr>
          <w:lang w:val="en-GB"/>
        </w:rPr>
        <w:fldChar w:fldCharType="end"/>
      </w:r>
      <w:r w:rsidR="001B1736">
        <w:rPr>
          <w:lang w:val="en-GB"/>
        </w:rPr>
        <w:t xml:space="preserve">. </w:t>
      </w:r>
      <w:r w:rsidR="0081776B">
        <w:rPr>
          <w:lang w:val="en-GB"/>
        </w:rPr>
        <w:t>Studies predicting treatment response from inflammatory protein levels have been heterogeneous, however, with mixed evidence for individual cytokines, so it remains unclear which immune markers may have greatest utility for treatment prediction.</w:t>
      </w:r>
    </w:p>
    <w:p w14:paraId="10B5A2B7" w14:textId="59693FE3" w:rsidR="0081776B" w:rsidRDefault="0081776B" w:rsidP="00E45C5E">
      <w:pPr>
        <w:rPr>
          <w:lang w:val="en-GB"/>
        </w:rPr>
      </w:pPr>
      <w:r>
        <w:rPr>
          <w:lang w:val="en-GB"/>
        </w:rPr>
        <w:t xml:space="preserve">One reason for heterogeneity of findings could be the complexity of immune system functioning. Innate immune function, for instance, depends on a complex network of gene-regulatory and protein-protein interactions, which is further complicated by cytokine family complexity and receptor redundancy </w:t>
      </w:r>
      <w:r>
        <w:rPr>
          <w:lang w:val="en-GB"/>
        </w:rPr>
        <w:fldChar w:fldCharType="begin" w:fldLock="1"/>
      </w:r>
      <w:r>
        <w:rPr>
          <w:lang w:val="en-GB"/>
        </w:rPr>
        <w:instrText>ADDIN CSL_CITATION {"citationItems":[{"id":"ITEM-1","itemData":{"DOI":"10.1074/jbc.R200003200","ISBN":"3014960098","ISSN":"0021-9258","author":[{"dropping-particle":"","family":"Ozaki","given":"Katsutoshi","non-dropping-particle":"","parse-names":false,"suffix":""},{"dropping-particle":"","family":"Leonard","given":"Warren J.","non-dropping-particle":"","parse-names":false,"suffix":""}],"container-title":"Journal of Biological Chemistry","id":"ITEM-1","issue":"33","issued":{"date-parts":[["2002","8","16"]]},"page":"29355-29358","title":"Cytokine and Cytokine Receptor Pleiotropy and Redundancy","type":"article-journal","volume":"277"},"uris":["http://www.mendeley.com/documents/?uuid=98a885de-83fc-4240-9c72-14afd0ab3132"]},{"id":"ITEM-2","itemData":{"DOI":"10.1002/wsbm.1288","ISSN":"19395094","PMID":"25625853","abstract":"The mammalian immune system is a dynamic multiscale system composed of a hierarchically organized set of molecular, cellular, and organismal networks that act in concert to promote effective host defense. These networks range from those involving gene regulatory and protein-protein interactions underlying intracellular signaling pathways and single-cell responses to increasingly complex networks of in vivo cellular interaction, positioning, and migration that determine the overall immune response of an organism. Immunity is thus not the product of simple signaling events but rather nonlinear behaviors arising from dynamic, feedback-regulated interactions among many components. One of the major goals of systems immunology is to quantitatively measure these complex multiscale spatial and temporal interactions, permitting development of computational models that can be used to predict responses to perturbation. Recent technological advances permit collection of comprehensive datasets at multiple molecular and cellular levels, while advances in network biology support representation of the relationships of components at each level as physical or functional interaction networks. The latter facilitate effective visualization of patterns and recognition of emergent properties arising from the many interactions of genes, molecules, and cells of the immune system. We illustrate the power of integrating 'omics' and network modeling approaches for unbiased reconstruction of signaling and transcriptional networks with a focus on applications involving the innate immune system. We further discuss future possibilities for reconstruction of increasingly complex cellular- and organism-level networks and development of sophisticated computational tools for prediction of emergent immune behavior arising from the concerted action of these networks.","author":[{"dropping-particle":"","family":"Subramanian","given":"Naeha","non-dropping-particle":"","parse-names":false,"suffix":""},{"dropping-particle":"","family":"Torabi-Parizi","given":"Parizad","non-dropping-particle":"","parse-names":false,"suffix":""},{"dropping-particle":"","family":"Gottschalk","given":"Rachel A.","non-dropping-particle":"","parse-names":false,"suffix":""},{"dropping-particle":"","family":"Germain","given":"Ronald N.","non-dropping-particle":"","parse-names":false,"suffix":""},{"dropping-particle":"","family":"Dutta","given":"Bhaskar","non-dropping-particle":"","parse-names":false,"suffix":""}],"container-title":"Wiley Interdisciplinary Reviews: Systems Biology and Medicine","id":"ITEM-2","issue":"1","issued":{"date-parts":[["2015","1"]]},"page":"13-38","title":"Network representations of immune system complexity","type":"article-journal","volume":"7"},"uris":["http://www.mendeley.com/documents/?uuid=febb4b36-dbfe-46b3-be37-5481a7fb7d62"]}],"mendeley":{"formattedCitation":"(Ozaki and Leonard, 2002; Subramanian et al., 2015)","plainTextFormattedCitation":"(Ozaki and Leonard, 2002; Subramanian et al., 2015)","previouslyFormattedCitation":"(Ozaki and Leonard, 2002; Subramanian et al., 2015)"},"properties":{"noteIndex":0},"schema":"https://github.com/citation-style-language/schema/raw/master/csl-citation.json"}</w:instrText>
      </w:r>
      <w:r>
        <w:rPr>
          <w:lang w:val="en-GB"/>
        </w:rPr>
        <w:fldChar w:fldCharType="separate"/>
      </w:r>
      <w:r w:rsidRPr="0081776B">
        <w:rPr>
          <w:noProof/>
          <w:lang w:val="en-GB"/>
        </w:rPr>
        <w:t>(Ozaki and Leonard, 2002; Subramanian et al., 2015)</w:t>
      </w:r>
      <w:r>
        <w:rPr>
          <w:lang w:val="en-GB"/>
        </w:rPr>
        <w:fldChar w:fldCharType="end"/>
      </w:r>
      <w:r>
        <w:rPr>
          <w:lang w:val="en-GB"/>
        </w:rPr>
        <w:t xml:space="preserve">. On the meta-analytic level, this is evident from divergent patient-control and pre-post cytokine profile differences </w:t>
      </w:r>
      <w:r>
        <w:rPr>
          <w:lang w:val="en-GB"/>
        </w:rPr>
        <w:fldChar w:fldCharType="begin" w:fldLock="1"/>
      </w:r>
      <w:r w:rsidR="00F45390">
        <w:rPr>
          <w:lang w:val="en-GB"/>
        </w:rPr>
        <w:instrText>ADDIN CSL_CITATION {"citationItems":[{"id":"ITEM-1","itemData":{"DOI":"10.1038/mp.2016.3","ISBN":"1476-5578 (Electronic) 1359-4184 (Linking)","PMID":"26903267","abstract":"Schizophrenia, bipolar disorder and major depressive disorder (MDD) have all been associated with aberrant blood cytokine levels; however, neither the pattern of cytokine alterations nor the impact of clinical status have been compared across disorders. We performed a meta-analysis of blood cytokines in acutely and chronically ill patients with these major psychiatric disorders. Articles were identified by searching the PubMed, PsycInfo and Web of Science, and the reference lists of these studies. Sixty-eight studies met the inclusion criteria (40 schizophrenia, 10 bipolar disorder and 18 MDD) for acutely ill patients. Forty-six studies met the inclusion criteria (18 schizophrenia, 16 bipolar disorder and 12 MDD) for chronically ill patients. Levels of two cytokines (interleukin-6 (IL-6), tumor necrosis factor-alpha (TNF-alpha)), one soluble cytokine receptor (sIL-2R), and one cytokine receptor antagonist (IL-1RA) were significantly increased in acutely ill patients with schizophrenia, bipolar mania and MDD compared with controls (P&lt;0.01). Following treatment of the acute illness, IL-6 levels significantly decreased in both schizophrenia and MDD (P&lt;0.01); sIL-2R levels increased in schizophrenia; and IL-1RA levels in bipolar mania decreased. In chronically ill patients, the levels of IL-6 were significantly increased in schizophrenia, euthymic (but not depressed) bipolar disorder and MDD compared with controls (P&lt;0.01). The levels of IL-1beta and sIL-2R were significantly increased in both chronic schizophrenia and euthymic bipolar disorder. Overall, there were similarities in the pattern of cytokine alterations in schizophrenia, bipolar disorder and MDD during acute and chronic phases of illness, raising the possibility of common underlying pathways for immune dysfunction. Effects of treatment on cytokines were more robust for schizophrenia and MDD, but were more frequently studied than for acute mania. These findings have important implications for our understanding of the pathophysiology and treatment of major psychiatric disorders.Molecular Psychiatry advance online publication, 23 February 2016; doi:10.1038/mp.2016.3.","author":[{"dropping-particle":"","family":"Goldsmith","given":"D R","non-dropping-particle":"","parse-names":false,"suffix":""},{"dropping-particle":"","family":"Rapaport","given":"M H","non-dropping-particle":"","parse-names":false,"suffix":""},{"dropping-particle":"","family":"Miller","given":"B J","non-dropping-particle":"","parse-names":false,"suffix":""}],"container-title":"Molecular Psychiatry","id":"ITEM-1","issued":{"date-parts":[["2016"]]},"note":"Goldsmith, D R\nRapaport, M H\nMiller, B J\nENG\nK23 MH098014/MH/NIMH NIH HHS/\n2016/02/24 06:00\nMol Psychiatry. 2016 Feb 23. doi: 10.1038/mp.2016.3.","page":"1696-1709","title":"A meta-analysis of blood cytokine network alterations in psychiatric patients: comparisons between schizophrenia, bipolar disorder and depression","type":"article-journal","volume":"21"},"uris":["http://www.mendeley.com/documents/?uuid=a3572bd9-6a38-4a37-99ab-462d54223568"]}],"mendeley":{"formattedCitation":"(Goldsmith et al., 2016)","plainTextFormattedCitation":"(Goldsmith et al., 2016)","previouslyFormattedCitation":"(Goldsmith et al., 2016)"},"properties":{"noteIndex":0},"schema":"https://github.com/citation-style-language/schema/raw/master/csl-citation.json"}</w:instrText>
      </w:r>
      <w:r>
        <w:rPr>
          <w:lang w:val="en-GB"/>
        </w:rPr>
        <w:fldChar w:fldCharType="separate"/>
      </w:r>
      <w:r w:rsidRPr="0081776B">
        <w:rPr>
          <w:noProof/>
          <w:lang w:val="en-GB"/>
        </w:rPr>
        <w:t>(Goldsmith et al., 2016)</w:t>
      </w:r>
      <w:r>
        <w:rPr>
          <w:lang w:val="en-GB"/>
        </w:rPr>
        <w:fldChar w:fldCharType="end"/>
      </w:r>
      <w:r>
        <w:rPr>
          <w:lang w:val="en-GB"/>
        </w:rPr>
        <w:t>. Individual studies have also rarely assessed many cytokines with the largest panel including up to 16 different cytokines. Analyses, however, have been restricted to univariate predictions (CHECK)[REFS].</w:t>
      </w:r>
      <w:r w:rsidR="007B3622">
        <w:rPr>
          <w:lang w:val="en-GB"/>
        </w:rPr>
        <w:t xml:space="preserve"> ADD INFORMATION ON RECENT CATTANEO STUDY </w:t>
      </w:r>
      <w:r w:rsidR="007B3622">
        <w:rPr>
          <w:lang w:val="en-GB"/>
        </w:rPr>
        <w:fldChar w:fldCharType="begin" w:fldLock="1"/>
      </w:r>
      <w:r w:rsidR="007B3622">
        <w:rPr>
          <w:lang w:val="en-GB"/>
        </w:rPr>
        <w:instrText>ADDIN CSL_CITATION {"citationItems":[{"id":"ITEM-1","itemData":{"DOI":"10.1038/s41398-020-00874-7","ISBN":"4139802000874","ISSN":"2158-3188","author":[{"dropping-particle":"","family":"Cattaneo","given":"Annamaria","non-dropping-particle":"","parse-names":false,"suffix":""},{"dropping-particle":"","family":"Ferrari","given":"Clarissa","non-dropping-particle":"","parse-names":false,"suffix":""},{"dropping-particle":"","family":"Turner","given":"Lorinda","non-dropping-particle":"","parse-names":false,"suffix":""},{"dropping-particle":"","family":"Mariani","given":"Nicole","non-dropping-particle":"","parse-names":false,"suffix":""},{"dropping-particle":"","family":"Enache","given":"Daniela","non-dropping-particle":"","parse-names":false,"suffix":""},{"dropping-particle":"","family":"Hastings","given":"Caitlin","non-dropping-particle":"","parse-names":false,"suffix":""},{"dropping-particle":"","family":"Kose","given":"Melisa","non-dropping-particle":"","parse-names":false,"suffix":""},{"dropping-particle":"","family":"Lombardo","given":"Giulia","non-dropping-particle":"","parse-names":false,"suffix":""},{"dropping-particle":"","family":"McLaughlin","given":"Anna P.","non-dropping-particle":"","parse-names":false,"suffix":""},{"dropping-particle":"","family":"Nettis","given":"Maria A","non-dropping-particle":"","parse-names":false,"suffix":""},{"dropping-particle":"","family":"Nikkheslat","given":"Naghmeh","non-dropping-particle":"","parse-names":false,"suffix":""},{"dropping-particle":"","family":"Sforzini","given":"Luca","non-dropping-particle":"","parse-names":false,"suffix":""},{"dropping-particle":"","family":"Worrell","given":"Courtney","non-dropping-particle":"","parse-names":false,"suffix":""},{"dropping-particle":"","family":"Zajkowska","given":"Zuzanna","non-dropping-particle":"","parse-names":false,"suffix":""},{"dropping-particle":"","family":"Cattane","given":"Nadia","non-dropping-particle":"","parse-names":false,"suffix":""},{"dropping-particle":"","family":"Lopizzo","given":"Nicola","non-dropping-particle":"","parse-names":false,"suffix":""},{"dropping-particle":"","family":"Mazzelli","given":"Monica","non-dropping-particle":"","parse-names":false,"suffix":""},{"dropping-particle":"","family":"Pointon","given":"Linda","non-dropping-particle":"","parse-names":false,"suffix":""},{"dropping-particle":"","family":"Cowen","given":"Philip J","non-dropping-particle":"","parse-names":false,"suffix":""},{"dropping-particle":"","family":"Cavanagh","given":"Jonathan","non-dropping-particle":"","parse-names":false,"suffix":""},{"dropping-particle":"","family":"Harrison","given":"Neil A","non-dropping-particle":"","parse-names":false,"suffix":""},{"dropping-particle":"","family":"Boer","given":"Peter","non-dropping-particle":"de","parse-names":false,"suffix":""},{"dropping-particle":"","family":"Jones","given":"Declan","non-dropping-particle":"","parse-names":false,"suffix":""},{"dropping-particle":"","family":"Drevets","given":"Wayne C","non-dropping-particle":"","parse-names":false,"suffix":""},{"dropping-particle":"","family":"Mondelli","given":"Valeria","non-dropping-particle":"","parse-names":false,"suffix":""},{"dropping-particle":"","family":"Bullmore","given":"Edward T.","non-dropping-particle":"","parse-names":false,"suffix":""},{"dropping-particle":"","family":"Pariante","given":"Carmine M.","non-dropping-particle":"","parse-names":false,"suffix":""}],"container-title":"Translational Psychiatry","id":"ITEM-1","issue":"1","issued":{"date-parts":[["2020","12","23"]]},"page":"232","publisher":"Springer US","title":"Whole-blood expression of inflammasome- and glucocorticoid-related mRNAs correctly separates treatment-resistant depressed patients from drug-free and responsive patients in the BIODEP study","type":"article-journal","volume":"10"},"uris":["http://www.mendeley.com/documents/?uuid=cbcbfafe-25a9-4e18-a555-3f2b5df9ea53"]}],"mendeley":{"formattedCitation":"(Cattaneo et al., 2020)","plainTextFormattedCitation":"(Cattaneo et al., 2020)"},"properties":{"noteIndex":0},"schema":"https://github.com/citation-style-language/schema/raw/master/csl-citation.json"}</w:instrText>
      </w:r>
      <w:r w:rsidR="007B3622">
        <w:rPr>
          <w:lang w:val="en-GB"/>
        </w:rPr>
        <w:fldChar w:fldCharType="separate"/>
      </w:r>
      <w:r w:rsidR="007B3622" w:rsidRPr="007B3622">
        <w:rPr>
          <w:noProof/>
          <w:lang w:val="en-GB"/>
        </w:rPr>
        <w:t>(Cattaneo et al., 2020)</w:t>
      </w:r>
      <w:r w:rsidR="007B3622">
        <w:rPr>
          <w:lang w:val="en-GB"/>
        </w:rPr>
        <w:fldChar w:fldCharType="end"/>
      </w:r>
      <w:r w:rsidR="007B3622">
        <w:rPr>
          <w:lang w:val="en-GB"/>
        </w:rPr>
        <w:t>.</w:t>
      </w:r>
      <w:r>
        <w:rPr>
          <w:lang w:val="en-GB"/>
        </w:rPr>
        <w:t xml:space="preserve"> Consequently, studies need to combine large-scale cytokine assessments with methodological techniques that are ideally suited for multivariate predictions including non-linear association testing.</w:t>
      </w:r>
    </w:p>
    <w:p w14:paraId="042F8E05" w14:textId="267CB99E" w:rsidR="000F70EF" w:rsidRDefault="000F70EF" w:rsidP="00E45C5E">
      <w:pPr>
        <w:rPr>
          <w:lang w:val="en-GB"/>
        </w:rPr>
      </w:pPr>
      <w:r>
        <w:rPr>
          <w:lang w:val="en-GB"/>
        </w:rPr>
        <w:t xml:space="preserve">In the present study, we investigate Machine Learning (ML)-based multi-cytokine prediction algorithms for determining treatment response in patients receiving 8-week inpatient treatment </w:t>
      </w:r>
      <w:r>
        <w:rPr>
          <w:lang w:val="en-GB"/>
        </w:rPr>
        <w:lastRenderedPageBreak/>
        <w:t xml:space="preserve">for moderate-to-severe depression. We use a multi-cytokine panel and clinical data from patients at baseline to predict treatment response. We hypothesise that a multi-cytokine prediction algorithm </w:t>
      </w:r>
      <w:r w:rsidR="006D55C4">
        <w:rPr>
          <w:lang w:val="en-GB"/>
        </w:rPr>
        <w:t>can explain treatment response in terms of depressive symptom severity, dropout, and general functioning.</w:t>
      </w:r>
    </w:p>
    <w:p w14:paraId="30F51A6F" w14:textId="3302C244" w:rsidR="00F90172" w:rsidRDefault="00F90172" w:rsidP="00E45C5E">
      <w:pPr>
        <w:rPr>
          <w:rFonts w:cs="Times New Roman"/>
          <w:szCs w:val="24"/>
          <w:lang w:val="en-GB"/>
        </w:rPr>
      </w:pPr>
    </w:p>
    <w:p w14:paraId="0BE3787B" w14:textId="5C76F467" w:rsidR="004B69DB" w:rsidRDefault="004B69DB" w:rsidP="00E45C5E">
      <w:pPr>
        <w:rPr>
          <w:rFonts w:cs="Times New Roman"/>
          <w:szCs w:val="24"/>
          <w:lang w:val="en-GB"/>
        </w:rPr>
      </w:pPr>
    </w:p>
    <w:p w14:paraId="5A8B01F0" w14:textId="32DC3ACB" w:rsidR="004B69DB" w:rsidRDefault="004B69DB" w:rsidP="00252810">
      <w:pPr>
        <w:pStyle w:val="Heading2"/>
      </w:pPr>
      <w:r>
        <w:t>OLD TEXT:</w:t>
      </w:r>
    </w:p>
    <w:p w14:paraId="414B1A52" w14:textId="6BAADEB7" w:rsidR="00F90172" w:rsidRDefault="00F90172" w:rsidP="00E45C5E">
      <w:pPr>
        <w:rPr>
          <w:rFonts w:cs="Times New Roman"/>
          <w:szCs w:val="24"/>
          <w:lang w:val="en-GB"/>
        </w:rPr>
      </w:pPr>
      <w:r>
        <w:rPr>
          <w:rFonts w:cs="Times New Roman"/>
          <w:szCs w:val="24"/>
          <w:lang w:val="en-GB"/>
        </w:rPr>
        <w:t xml:space="preserve">Inflammation predicts worse treatment response </w:t>
      </w:r>
      <w:r>
        <w:rPr>
          <w:rFonts w:cs="Times New Roman"/>
          <w:szCs w:val="24"/>
          <w:lang w:val="en-GB"/>
        </w:rPr>
        <w:fldChar w:fldCharType="begin" w:fldLock="1"/>
      </w:r>
      <w:r w:rsidR="00450A92">
        <w:rPr>
          <w:rFonts w:cs="Times New Roman"/>
          <w:szCs w:val="24"/>
          <w:lang w:val="en-GB"/>
        </w:rPr>
        <w:instrText>ADDIN CSL_CITATION {"citationItems":[{"id":"ITEM-1","itemData":{"DOI":"10.1016/j.euroneuro.2015.06.007","ISSN":"0924977X","abstract":"The depressive state has been characterised as one of elevated inflammation, which holds promise for better understanding treatment-resistance in affective disorders as well as for future developments in treatment stratification. Aiming to investigate alterations in the inflammatory profiles of individuals with depression as putative biomarkers for clinical response, we conducted meta-analyses examining data from 35 studies that investigated inflammation before and after treatment in depressed patients together with a measure of clinical response. There were sufficient data to analyse IL-6, TNFα and CRP. Levels of IL-6 decreased with antidepressant treatment regardless of outcome, whereas persistently elevated TNFα was associated with prospectively determined treatment resistance. Treatment non-responders tended to have higher baseline inflammation, using a composite measure of inflammatory markers. Our findings suggest that elevated levels of inflammation are contributory to treatment resistance. Combining inflammatory biomarkers might prove a useful tool to improve diagnosis and detection of treatment refractoriness, and targeting persistent inflammation in treatment-resistant depression may offer a potential target for the development of novel intervention strategies.","author":[{"dropping-particle":"","family":"Strawbridge","given":"R.","non-dropping-particle":"","parse-names":false,"suffix":""},{"dropping-particle":"","family":"Arnone","given":"D.","non-dropping-particle":"","parse-names":false,"suffix":""},{"dropping-particle":"","family":"Danese","given":"A.","non-dropping-particle":"","parse-names":false,"suffix":""},{"dropping-particle":"","family":"Papadopoulos","given":"A.","non-dropping-particle":"","parse-names":false,"suffix":""},{"dropping-particle":"","family":"Herane Vives","given":"A.","non-dropping-particle":"","parse-names":false,"suffix":""},{"dropping-particle":"","family":"Cleare","given":"A.J.","non-dropping-particle":"","parse-names":false,"suffix":""}],"container-title":"European Neuropsychopharmacology","id":"ITEM-1","issue":"10","issued":{"date-parts":[["2015","10"]]},"page":"1532-1543","title":"Inflammation and clinical response to treatment in depression: A meta-analysis","type":"article-journal","volume":"25"},"uris":["http://www.mendeley.com/documents/?uuid=b71b6706-10bf-4229-a0f1-75d77ec3491f"]},{"id":"ITEM-2","itemData":{"DOI":"10.1038/s41380-019-0474-5","ISSN":"1359-4184","PMID":"31427752","abstract":"Predicting antidepressant treatment response has been a clinical challenge for major depressive disorder (MDD). The inflammation hypothesis of depression suggests that cytokines play a key role in the pathophysiology of MDD and alterations in peripheral cytokine levels are associated with antidepressant treatment outcome. Present meta-analysis aimed to examine the association between baseline peripheral cytokine levels and the response to antidepressant treatment and to evaluate whether changes of cytokine levels were associated with the response to antidepressant treatment in patients with MDD. Human-based studies published in any language in peer-reviewed journals were systematically searched from the PubMed, Embase and Web of Science databases, from inception up to October 2018. The search terms included cytokine, depressive disorder and antidepressant and their synonyms. Case–control or case–case studies reporting on levels of IL-1β, IL-2, IL-4, IL-5, IL-6, IL-8, IL-10, IL-12, CRP, TNF-α, IFN-γ, GM-CSF, MIP-1α, and Eotaxin-1 in patients with MDD based on validated depression scales both before and after antidepressant treatment were included. Of 7408 identified records, 44 studies met inclusion. Standardized mean differences in each cytokine were evaluated, and random-effects meta-analyses were performed. MDD patients who responded to antidepressant treatment had lower baseline IL-8 levels than the nonresponders (Hedge’s g = −0.28; 95%CI, −0.43 to −0.13; P = 0.0003; FDR = 0.004). Antidepressant treatment significantly decreased levels of TNF-α (Hedge’s g = 0.60; 95%CI, 0.26–0.94; P = 0.0006; FDR = 0.004) only in responders, and responders showed significantly more decreased TNF-α levels compared with nonresponders (P = 0.046). These findings suggested that alterations in peripheral cytokine levels were associated with antidepressant treatment outcomes in MDD. Further investigations are warranted to elucidate sources of heterogeneity and examine the potentiality of using inflammatory cytokines as novel predictive markers for the pharmacological treatment of MDD.","author":[{"dropping-particle":"","family":"Liu","given":"Jia Jia","non-dropping-particle":"","parse-names":false,"suffix":""},{"dropping-particle":"Bin","family":"Wei","given":"Ya","non-dropping-particle":"","parse-names":false,"suffix":""},{"dropping-particle":"","family":"Strawbridge","given":"Rebecca","non-dropping-particle":"","parse-names":false,"suffix":""},{"dropping-particle":"","family":"Bao","given":"Yanping","non-dropping-particle":"","parse-names":false,"suffix":""},{"dropping-particle":"","family":"Chang","given":"Suhua","non-dropping-particle":"","parse-names":false,"suffix":""},{"dropping-particle":"","family":"Shi","given":"Le","non-dropping-particle":"","parse-names":false,"suffix":""},{"dropping-particle":"","family":"Que","given":"Jianyu","non-dropping-particle":"","parse-names":false,"suffix":""},{"dropping-particle":"","family":"Gadad","given":"Bharathi S.","non-dropping-particle":"","parse-names":false,"suffix":""},{"dropping-particle":"","family":"Trivedi","given":"Madhukar H.","non-dropping-particle":"","parse-names":false,"suffix":""},{"dropping-particle":"","family":"Kelsoe","given":"John R.","non-dropping-particle":"","parse-names":false,"suffix":""},{"dropping-particle":"","family":"Lu","given":"Lin","non-dropping-particle":"","parse-names":false,"suffix":""}],"container-title":"Molecular Psychiatry","id":"ITEM-2","issue":"2","issued":{"date-parts":[["2020","2","19"]]},"page":"339-350","publisher":"Springer US","title":"Peripheral cytokine levels and response to antidepressant treatment in depression: a systematic review and meta-analysis","type":"article-journal","volume":"25"},"uris":["http://www.mendeley.com/documents/?uuid=f4c99925-c763-4458-914b-96cfff512126"]}],"mendeley":{"formattedCitation":"(Liu et al., 2020; Strawbridge et al., 2015)","plainTextFormattedCitation":"(Liu et al., 2020; Strawbridge et al., 2015)","previouslyFormattedCitation":"(Liu et al., 2020; Strawbridge et al., 2015)"},"properties":{"noteIndex":0},"schema":"https://github.com/citation-style-language/schema/raw/master/csl-citation.json"}</w:instrText>
      </w:r>
      <w:r>
        <w:rPr>
          <w:rFonts w:cs="Times New Roman"/>
          <w:szCs w:val="24"/>
          <w:lang w:val="en-GB"/>
        </w:rPr>
        <w:fldChar w:fldCharType="separate"/>
      </w:r>
      <w:r w:rsidRPr="00F90172">
        <w:rPr>
          <w:rFonts w:cs="Times New Roman"/>
          <w:noProof/>
          <w:szCs w:val="24"/>
          <w:lang w:val="en-GB"/>
        </w:rPr>
        <w:t>(Liu et al., 2020; Strawbridge et al., 2015)</w:t>
      </w:r>
      <w:r>
        <w:rPr>
          <w:rFonts w:cs="Times New Roman"/>
          <w:szCs w:val="24"/>
          <w:lang w:val="en-GB"/>
        </w:rPr>
        <w:fldChar w:fldCharType="end"/>
      </w:r>
      <w:r w:rsidR="0029644E">
        <w:rPr>
          <w:rFonts w:cs="Times New Roman"/>
          <w:szCs w:val="24"/>
          <w:lang w:val="en-GB"/>
        </w:rPr>
        <w:t xml:space="preserve"> (and TNF-a changes with anti-depressant treatment </w:t>
      </w:r>
      <w:r w:rsidR="0029644E">
        <w:rPr>
          <w:rFonts w:cs="Times New Roman"/>
          <w:szCs w:val="24"/>
          <w:lang w:val="en-GB"/>
        </w:rPr>
        <w:fldChar w:fldCharType="begin" w:fldLock="1"/>
      </w:r>
      <w:r w:rsidR="009A147E">
        <w:rPr>
          <w:rFonts w:cs="Times New Roman"/>
          <w:szCs w:val="24"/>
          <w:lang w:val="en-GB"/>
        </w:rPr>
        <w:instrText>ADDIN CSL_CITATION {"citationItems":[{"id":"ITEM-1","itemData":{"DOI":"10.1038/npp.2011.132","ISBN":"1740-634X (Electronic)\r0893-133X (Linking)","PMID":"21796103","abstract":"Serum levels of inflammatory cytokines, for example, tumor necrosis factor alpha (TNFalpha), interleukin-6 (IL-6), and IL-1 beta (IL-1beta), are elevated in subjects with major depressive disorder (MDD). The reason why this occurs is unclear. Elevated levels of inflammatory cytokines could be a result of brain dysfunction in MDD. It is also possible that inflammatory cytokines contribute to depressive symptoms in MDD. If the first assumption is correct, one would expect levels to normalize with resolution of the depressive episode after treatment. Several studies have measured changes in cytokine levels during antidepressant treatment; however, the results vary. The purpose of this study was to pool all available data on changes in serum levels of TNFalpha, IL-6, and IL-1beta during antidepressant treatment to determine whether these levels change. Studies were included if they used an approved pharmacological treatment for depression, patients had a diagnosis of MDD, and serum levels of TNFalpha, IL-6, and/or IL-1beta were measured before and after treatment. Twenty-two studies fulfilled these criteria. Meta-analysis of these studies showed that, overall, while pharmacological antidepressant treatment reduced depressive symptoms, it did not reduce serum levels of TNFalpha. On the other hand, antidepressant treatment did reduce levels of IL-1beta and possibly those of IL-6. Stratified subgroup analysis by class of antidepressant indicated that serotonin reuptake inhibitors may reduce levels of IL-6 and TNFalpha. Other antidepressants, while efficacious for depressive symptoms, did not appear to reduce cytokine levels. These results argue against the notion that resolution of a depressive episode is associated with normalization of levels of circulating inflammatory cytokines; however, the results are consistent with the possibility that inflammatory cytokines contribute to depressive symptoms and that antidepressants block the effects of inflammatory cytokines on the brain.","author":[{"dropping-particle":"","family":"Hannestad","given":"J","non-dropping-particle":"","parse-names":false,"suffix":""},{"dropping-particle":"","family":"DellaGioia","given":"N","non-dropping-particle":"","parse-names":false,"suffix":""},{"dropping-particle":"","family":"Bloch","given":"M","non-dropping-particle":"","parse-names":false,"suffix":""}],"container-title":"Neuropsychopharmacology","edition":"2011/07/29","id":"ITEM-1","issue":"12","issued":{"date-parts":[["2011"]]},"language":"eng","note":"Hannestad, Jonas\nDellaGioia, Nicole\nBloch, Michael\n1K23MH091240-01/MH/NIMH NIH HHS/United States\nK12 DA000167/DA/NIDA NIH HHS/United States\nK12 DA000167-19/DA/NIDA NIH HHS/United States\nK12DA00167/DA/NIDA NIH HHS/United States\nK23 MH091240/MH/NIMH NIH HHS/United States\nR25 MH077823/MH/NIMH NIH HHS/United States\nUL1 RR024139/RR/NCRR NIH HHS/United States\nMeta-Analysis\nResearch Support, N.I.H., Extramural\nResearch Support, Non-U.S. Gov't\nEngland\nNeuropsychopharmacology. 2011 Nov;36(12):2452-9. doi: 10.1038/npp.2011.132. Epub 2011 Jul 27.","page":"2452-2459","title":"The effect of antidepressant medication treatment on serum levels of inflammatory cytokines: a meta-analysis","type":"article-journal","volume":"36"},"uris":["http://www.mendeley.com/documents/?uuid=6d9bbfdc-36dd-4cac-a3e9-19e4e32443d6"]}],"mendeley":{"formattedCitation":"(Hannestad et al., 2011)","plainTextFormattedCitation":"(Hannestad et al., 2011)","previouslyFormattedCitation":"(Hannestad et al., 2011)"},"properties":{"noteIndex":0},"schema":"https://github.com/citation-style-language/schema/raw/master/csl-citation.json"}</w:instrText>
      </w:r>
      <w:r w:rsidR="0029644E">
        <w:rPr>
          <w:rFonts w:cs="Times New Roman"/>
          <w:szCs w:val="24"/>
          <w:lang w:val="en-GB"/>
        </w:rPr>
        <w:fldChar w:fldCharType="separate"/>
      </w:r>
      <w:r w:rsidR="0029644E" w:rsidRPr="0029644E">
        <w:rPr>
          <w:rFonts w:cs="Times New Roman"/>
          <w:noProof/>
          <w:szCs w:val="24"/>
          <w:lang w:val="en-GB"/>
        </w:rPr>
        <w:t>(Hannestad et al., 2011)</w:t>
      </w:r>
      <w:r w:rsidR="0029644E">
        <w:rPr>
          <w:rFonts w:cs="Times New Roman"/>
          <w:szCs w:val="24"/>
          <w:lang w:val="en-GB"/>
        </w:rPr>
        <w:fldChar w:fldCharType="end"/>
      </w:r>
      <w:r w:rsidR="0029644E">
        <w:rPr>
          <w:rFonts w:cs="Times New Roman"/>
          <w:szCs w:val="24"/>
          <w:lang w:val="en-GB"/>
        </w:rPr>
        <w:t>).</w:t>
      </w:r>
    </w:p>
    <w:p w14:paraId="0DFC5681" w14:textId="77777777" w:rsidR="0030387E" w:rsidRDefault="0030387E" w:rsidP="009A1D40">
      <w:pPr>
        <w:rPr>
          <w:rFonts w:cs="Times New Roman"/>
          <w:b/>
          <w:szCs w:val="24"/>
          <w:lang w:val="en-GB"/>
        </w:rPr>
      </w:pPr>
    </w:p>
    <w:p w14:paraId="0E0B7CBD" w14:textId="4CD34670" w:rsidR="002C53DD" w:rsidRDefault="002B0931" w:rsidP="002B0931">
      <w:pPr>
        <w:rPr>
          <w:lang w:val="en-GB"/>
        </w:rPr>
      </w:pPr>
      <w:r>
        <w:rPr>
          <w:lang w:val="en-GB"/>
        </w:rPr>
        <w:t xml:space="preserve">Studies to date have only investigated single, few or </w:t>
      </w:r>
      <w:r w:rsidR="008A602D">
        <w:rPr>
          <w:lang w:val="en-GB"/>
        </w:rPr>
        <w:t xml:space="preserve">a maximum of 16 </w:t>
      </w:r>
      <w:r w:rsidR="00054BE6">
        <w:rPr>
          <w:lang w:val="en-GB"/>
        </w:rPr>
        <w:fldChar w:fldCharType="begin" w:fldLock="1"/>
      </w:r>
      <w:r w:rsidR="00CC735E">
        <w:rPr>
          <w:lang w:val="en-GB"/>
        </w:rPr>
        <w:instrText>ADDIN CSL_CITATION {"citationItems":[{"id":"ITEM-1","itemData":{"DOI":"10.1016/j.jpsychires.2017.05.012","ISSN":"18791379","abstract":"Animal and human studies suggest an association between depression and aberrant immune response. Further, common inflammatory markers may change during the course of antidepressant treatment in patients. The objective of this study was to evaluate changes in inflammatory markers and clinical outcomes from subjects enrolled in the Combining Medications to Enhance Depression Outcome (CO-MED) trial. At baseline and week 12 (treatment completion), plasma samples of 102 participants were analyzed via a multiplex assay comprised of inflammatory markers using a 27-plex standard assay panel plus a 4-plex human acute phase xMAP technology based platform. We carried out analyses in two steps. First, t-tests were used to identify inflammatory marker levels that changed between baseline and week 12. For markers that were altered, logistic regression models were then conducted to look for associated changes in remission at week 12. Among the 31 inflammatory markers analyzed, several cytokines (IL-5, IFN-γ, IL-13), two chemokines (Eotaxin-1/CCL11, RANTES) and an acute-phase reactant (serum amyloid P component) showed change from baseline to week 12. However, only two indicated differential remission responses. Interestingly, increased levels of Eotaxin-1/CCL11 correlated with remission at week 12, whereas decreased levels of IFN-γ correlated with non-remission at week 12. Results suggest that these inflammatory proteins may serve as predictors of treatment response.","author":[{"dropping-particle":"","family":"Gadad","given":"Bharathi S.","non-dropping-particle":"","parse-names":false,"suffix":""},{"dropping-particle":"","family":"Jha","given":"Manish K.","non-dropping-particle":"","parse-names":false,"suffix":""},{"dropping-particle":"","family":"Grannemann","given":"Bruce D.","non-dropping-particle":"","parse-names":false,"suffix":""},{"dropping-particle":"","family":"Mayes","given":"Taryn L.","non-dropping-particle":"","parse-names":false,"suffix":""},{"dropping-particle":"","family":"Trivedi","given":"Madhukar H.","non-dropping-particle":"","parse-names":false,"suffix":""}],"container-title":"Journal of Psychiatric Research","id":"ITEM-1","issued":{"date-parts":[["2017"]]},"page":"1-6","publisher":"Elsevier Ltd","title":"Proteomics profiling reveals inflammatory biomarkers of antidepressant treatment response: Findings from the CO-MED trial","type":"article-journal","volume":"94"},"uris":["http://www.mendeley.com/documents/?uuid=2362e2de-0106-431b-b698-f84321a4fbc1"]}],"mendeley":{"formattedCitation":"(Gadad et al., 2017)","plainTextFormattedCitation":"(Gadad et al., 2017)","previouslyFormattedCitation":"(Gadad et al., 2017)"},"properties":{"noteIndex":0},"schema":"https://github.com/citation-style-language/schema/raw/master/csl-citation.json"}</w:instrText>
      </w:r>
      <w:r w:rsidR="00054BE6">
        <w:rPr>
          <w:lang w:val="en-GB"/>
        </w:rPr>
        <w:fldChar w:fldCharType="separate"/>
      </w:r>
      <w:r w:rsidR="00054BE6" w:rsidRPr="00054BE6">
        <w:rPr>
          <w:noProof/>
          <w:lang w:val="en-GB"/>
        </w:rPr>
        <w:t>(Gadad et al., 2017)</w:t>
      </w:r>
      <w:r w:rsidR="00054BE6">
        <w:rPr>
          <w:lang w:val="en-GB"/>
        </w:rPr>
        <w:fldChar w:fldCharType="end"/>
      </w:r>
      <w:r w:rsidR="00054BE6">
        <w:rPr>
          <w:lang w:val="en-GB"/>
        </w:rPr>
        <w:t xml:space="preserve"> </w:t>
      </w:r>
      <w:r w:rsidR="008A602D">
        <w:rPr>
          <w:lang w:val="en-GB"/>
        </w:rPr>
        <w:t xml:space="preserve">different </w:t>
      </w:r>
      <w:r w:rsidR="00AA5401">
        <w:rPr>
          <w:lang w:val="en-GB"/>
        </w:rPr>
        <w:t>cytokines</w:t>
      </w:r>
      <w:r w:rsidR="008A602D">
        <w:rPr>
          <w:lang w:val="en-GB"/>
        </w:rPr>
        <w:t xml:space="preserve"> concurrently</w:t>
      </w:r>
      <w:r w:rsidR="00054BE6">
        <w:rPr>
          <w:lang w:val="en-GB"/>
        </w:rPr>
        <w:t xml:space="preserve"> </w:t>
      </w:r>
      <w:r w:rsidR="00054BE6">
        <w:rPr>
          <w:lang w:val="en-GB"/>
        </w:rPr>
        <w:fldChar w:fldCharType="begin" w:fldLock="1"/>
      </w:r>
      <w:r w:rsidR="00054BE6">
        <w:rPr>
          <w:lang w:val="en-GB"/>
        </w:rPr>
        <w:instrText>ADDIN CSL_CITATION {"citationItems":[{"id":"ITEM-1","itemData":{"DOI":"10.1038/s41380-019-0474-5","ISSN":"1359-4184","PMID":"31427752","abstract":"Predicting antidepressant treatment response has been a clinical challenge for major depressive disorder (MDD). The inflammation hypothesis of depression suggests that cytokines play a key role in the pathophysiology of MDD and alterations in peripheral cytokine levels are associated with antidepressant treatment outcome. Present meta-analysis aimed to examine the association between baseline peripheral cytokine levels and the response to antidepressant treatment and to evaluate whether changes of cytokine levels were associated with the response to antidepressant treatment in patients with MDD. Human-based studies published in any language in peer-reviewed journals were systematically searched from the PubMed, Embase and Web of Science databases, from inception up to October 2018. The search terms included cytokine, depressive disorder and antidepressant and their synonyms. Case–control or case–case studies reporting on levels of IL-1β, IL-2, IL-4, IL-5, IL-6, IL-8, IL-10, IL-12, CRP, TNF-α, IFN-γ, GM-CSF, MIP-1α, and Eotaxin-1 in patients with MDD based on validated depression scales both before and after antidepressant treatment were included. Of 7408 identified records, 44 studies met inclusion. Standardized mean differences in each cytokine were evaluated, and random-effects meta-analyses were performed. MDD patients who responded to antidepressant treatment had lower baseline IL-8 levels than the nonresponders (Hedge’s g = −0.28; 95%CI, −0.43 to −0.13; P = 0.0003; FDR = 0.004). Antidepressant treatment significantly decreased levels of TNF-α (Hedge’s g = 0.60; 95%CI, 0.26–0.94; P = 0.0006; FDR = 0.004) only in responders, and responders showed significantly more decreased TNF-α levels compared with nonresponders (P = 0.046). These findings suggested that alterations in peripheral cytokine levels were associated with antidepressant treatment outcomes in MDD. Further investigations are warranted to elucidate sources of heterogeneity and examine the potentiality of using inflammatory cytokines as novel predictive markers for the pharmacological treatment of MDD.","author":[{"dropping-particle":"","family":"Liu","given":"Jia Jia","non-dropping-particle":"","parse-names":false,"suffix":""},{"dropping-particle":"Bin","family":"Wei","given":"Ya","non-dropping-particle":"","parse-names":false,"suffix":""},{"dropping-particle":"","family":"Strawbridge","given":"Rebecca","non-dropping-particle":"","parse-names":false,"suffix":""},{"dropping-particle":"","family":"Bao","given":"Yanping","non-dropping-particle":"","parse-names":false,"suffix":""},{"dropping-particle":"","family":"Chang","given":"Suhua","non-dropping-particle":"","parse-names":false,"suffix":""},{"dropping-particle":"","family":"Shi","given":"Le","non-dropping-particle":"","parse-names":false,"suffix":""},{"dropping-particle":"","family":"Que","given":"Jianyu","non-dropping-particle":"","parse-names":false,"suffix":""},{"dropping-particle":"","family":"Gadad","given":"Bharathi S.","non-dropping-particle":"","parse-names":false,"suffix":""},{"dropping-particle":"","family":"Trivedi","given":"Madhukar H.","non-dropping-particle":"","parse-names":false,"suffix":""},{"dropping-particle":"","family":"Kelsoe","given":"John R.","non-dropping-particle":"","parse-names":false,"suffix":""},{"dropping-particle":"","family":"Lu","given":"Lin","non-dropping-particle":"","parse-names":false,"suffix":""}],"container-title":"Molecular Psychiatry","id":"ITEM-1","issue":"2","issued":{"date-parts":[["2020","2","19"]]},"page":"339-350","publisher":"Springer US","title":"Peripheral cytokine levels and response to antidepressant treatment in depression: a systematic review and meta-analysis","type":"article-journal","volume":"25"},"uris":["http://www.mendeley.com/documents/?uuid=f4c99925-c763-4458-914b-96cfff512126"]}],"mendeley":{"formattedCitation":"(Liu et al., 2020)","plainTextFormattedCitation":"(Liu et al., 2020)","previouslyFormattedCitation":"(Liu et al., 2020)"},"properties":{"noteIndex":0},"schema":"https://github.com/citation-style-language/schema/raw/master/csl-citation.json"}</w:instrText>
      </w:r>
      <w:r w:rsidR="00054BE6">
        <w:rPr>
          <w:lang w:val="en-GB"/>
        </w:rPr>
        <w:fldChar w:fldCharType="separate"/>
      </w:r>
      <w:r w:rsidR="00054BE6" w:rsidRPr="00054BE6">
        <w:rPr>
          <w:noProof/>
          <w:lang w:val="en-GB"/>
        </w:rPr>
        <w:t>(Liu et al., 2020)</w:t>
      </w:r>
      <w:r w:rsidR="00054BE6">
        <w:rPr>
          <w:lang w:val="en-GB"/>
        </w:rPr>
        <w:fldChar w:fldCharType="end"/>
      </w:r>
      <w:r w:rsidR="008A602D">
        <w:rPr>
          <w:lang w:val="en-GB"/>
        </w:rPr>
        <w:t xml:space="preserve">. </w:t>
      </w:r>
      <w:r w:rsidR="00F7225B">
        <w:rPr>
          <w:lang w:val="en-GB"/>
        </w:rPr>
        <w:t xml:space="preserve">Cytokine signalling is a complex interrelated process, however, </w:t>
      </w:r>
      <w:r w:rsidR="006A3F90">
        <w:rPr>
          <w:lang w:val="en-GB"/>
        </w:rPr>
        <w:t xml:space="preserve">so methods </w:t>
      </w:r>
      <w:r w:rsidR="003F57C2">
        <w:rPr>
          <w:lang w:val="en-GB"/>
        </w:rPr>
        <w:t xml:space="preserve">are needed that </w:t>
      </w:r>
      <w:r w:rsidR="006A216A">
        <w:rPr>
          <w:lang w:val="en-GB"/>
        </w:rPr>
        <w:t xml:space="preserve">disentangle complex cytokine interactions to </w:t>
      </w:r>
      <w:r w:rsidR="00CC735E">
        <w:rPr>
          <w:lang w:val="en-GB"/>
        </w:rPr>
        <w:t xml:space="preserve">develop algorithms indexing treatment response. </w:t>
      </w:r>
      <w:proofErr w:type="spellStart"/>
      <w:r w:rsidR="00CC735E">
        <w:rPr>
          <w:lang w:val="en-GB"/>
        </w:rPr>
        <w:t>Lynall</w:t>
      </w:r>
      <w:proofErr w:type="spellEnd"/>
      <w:r w:rsidR="00CC735E">
        <w:rPr>
          <w:lang w:val="en-GB"/>
        </w:rPr>
        <w:t xml:space="preserve"> and colleagues have recently XY </w:t>
      </w:r>
      <w:r w:rsidR="00CC735E">
        <w:rPr>
          <w:lang w:val="en-GB"/>
        </w:rPr>
        <w:fldChar w:fldCharType="begin" w:fldLock="1"/>
      </w:r>
      <w:r w:rsidR="007B75D2">
        <w:rPr>
          <w:lang w:val="en-GB"/>
        </w:rPr>
        <w:instrText>ADDIN CSL_CITATION {"citationItems":[{"id":"ITEM-1","itemData":{"DOI":"10.1016/j.biopsych.2019.11.017","ISSN":"00063223","abstract":"Depression has been associated with increased inflammatory proteins but changes in circulating immune cells are less well defined. We used multi-parametric flow cytometry to investigate 14 subsets of peripheral blood cells in 206 cases of major depressive disorder (MDD) and 77 age- and sex-matched controls. There were significant case-control differences, by univariate and multivariate analysis: cases showed increased immune cell counts, especially neutrophils, CD4+ T cells and monocytes, and increased inflammatory proteins (C-reactive protein and interleukin-6). Within-group analysis demonstrated significant association between the severity of depressive symptoms and increased myeloid and CD4+ cell counts. MDD cases could be partitioned into two groups by forced binary clustering of cell counts: the inflamed depression group (N=81 out of 206; 39%) had increased monocyte, CD4+ and neutrophil counts, increased C-reactive protein (CRP) and interleukin 6 (IL-6), and was more depressed than the uninflamed majority of cases. Relaxing the presumption of a binary classification, data-driven clustering identified four subgroups of MDD cases: two of these subgroups (N=38 and N=100; 67% collectively) were associated with increased inflammatory proteins and more severe depression, but differed from each other in the relative weighting of myeloid and lymphoid cell counts. Case-control and within-group results were robust to statistical control for the potentially confounding effects of age, sex, BMI, recent infection status, and tobacco use. Peripheral blood immunophenotyping can be used to identify a candidate cellular biomarker of inflamed depression, and to further decompose that binary partition, suggesting that there is more than one mechanistic pathway underlying inflamed depression. One Sentence Summary Two subgroups of depressed cases (about two-thirds of all 206 cases) were identified by peripheral blood biomarker evidence of distinctive cellular immunophenotypes, biased towards the myeloid or lymphoid lineages in different subgroups, but consistently associated with increased blood concentrations of inflammatory proteins and greater severity of depressive symptoms.","author":[{"dropping-particle":"","family":"Lynall","given":"Mary-Ellen","non-dropping-particle":"","parse-names":false,"suffix":""},{"dropping-particle":"","family":"Turner","given":"Lorinda","non-dropping-particle":"","parse-names":false,"suffix":""},{"dropping-particle":"","family":"Bhatti","given":"Junaid","non-dropping-particle":"","parse-names":false,"suffix":""},{"dropping-particle":"","family":"Cavanagh","given":"Jonathan","non-dropping-particle":"","parse-names":false,"suffix":""},{"dropping-particle":"","family":"Boer","given":"Peter","non-dropping-particle":"de","parse-names":false,"suffix":""},{"dropping-particle":"","family":"Mondelli","given":"Valeria","non-dropping-particle":"","parse-names":false,"suffix":""},{"dropping-particle":"","family":"Jones","given":"Declan","non-dropping-particle":"","parse-names":false,"suffix":""},{"dropping-particle":"","family":"Drevets","given":"Wayne C.","non-dropping-particle":"","parse-names":false,"suffix":""},{"dropping-particle":"","family":"Cowen","given":"Philip","non-dropping-particle":"","parse-names":false,"suffix":""},{"dropping-particle":"","family":"Harrison","given":"Neil A.","non-dropping-particle":"","parse-names":false,"suffix":""},{"dropping-particle":"","family":"Pariante","given":"Carmine M","non-dropping-particle":"","parse-names":false,"suffix":""},{"dropping-particle":"","family":"Pointon","given":"Linda","non-dropping-particle":"","parse-names":false,"suffix":""},{"dropping-particle":"","family":"Clatworthy","given":"Menna R.","non-dropping-particle":"","parse-names":false,"suffix":""},{"dropping-particle":"","family":"Bullmore","given":"Edward","non-dropping-particle":"","parse-names":false,"suffix":""}],"container-title":"Biological Psychiatry","id":"ITEM-1","issue":"2","issued":{"date-parts":[["2020","7"]]},"page":"185-196","publisher":"Society of Biological Psychiatry","title":"Peripheral Blood Cell–Stratified Subgroups of Inflamed Depression","type":"article-journal","volume":"88"},"uris":["http://www.mendeley.com/documents/?uuid=5c680f05-1925-4f4e-bbe9-4736636db96d"]}],"mendeley":{"formattedCitation":"(Lynall et al., 2020)","plainTextFormattedCitation":"(Lynall et al., 2020)","previouslyFormattedCitation":"(Lynall et al., 2020)"},"properties":{"noteIndex":0},"schema":"https://github.com/citation-style-language/schema/raw/master/csl-citation.json"}</w:instrText>
      </w:r>
      <w:r w:rsidR="00CC735E">
        <w:rPr>
          <w:lang w:val="en-GB"/>
        </w:rPr>
        <w:fldChar w:fldCharType="separate"/>
      </w:r>
      <w:r w:rsidR="009A147E" w:rsidRPr="009A147E">
        <w:rPr>
          <w:noProof/>
          <w:lang w:val="en-GB"/>
        </w:rPr>
        <w:t>(Lynall et al., 2020)</w:t>
      </w:r>
      <w:r w:rsidR="00CC735E">
        <w:rPr>
          <w:lang w:val="en-GB"/>
        </w:rPr>
        <w:fldChar w:fldCharType="end"/>
      </w:r>
      <w:r w:rsidR="00CC735E">
        <w:rPr>
          <w:lang w:val="en-GB"/>
        </w:rPr>
        <w:t>.</w:t>
      </w:r>
    </w:p>
    <w:p w14:paraId="5394780F" w14:textId="77777777" w:rsidR="002C53DD" w:rsidRDefault="002C53DD" w:rsidP="002B6F3D">
      <w:pPr>
        <w:rPr>
          <w:lang w:val="en-GB"/>
        </w:rPr>
      </w:pPr>
    </w:p>
    <w:p w14:paraId="12AE520A" w14:textId="48B70417" w:rsidR="002C53DD" w:rsidRPr="002C53DD" w:rsidRDefault="002C53DD" w:rsidP="009A1D40">
      <w:pPr>
        <w:rPr>
          <w:rFonts w:cs="Times New Roman"/>
          <w:szCs w:val="24"/>
          <w:lang w:val="en-GB"/>
        </w:rPr>
        <w:sectPr w:rsidR="002C53DD" w:rsidRPr="002C53DD" w:rsidSect="00B64A9F">
          <w:footerReference w:type="default" r:id="rId9"/>
          <w:pgSz w:w="12240" w:h="15840"/>
          <w:pgMar w:top="1417" w:right="1417" w:bottom="1134" w:left="1417" w:header="708" w:footer="708" w:gutter="0"/>
          <w:lnNumType w:countBy="1" w:restart="continuous"/>
          <w:cols w:space="708"/>
          <w:docGrid w:linePitch="360"/>
        </w:sectPr>
      </w:pPr>
      <w:proofErr w:type="spellStart"/>
      <w:r>
        <w:rPr>
          <w:rFonts w:cs="Times New Roman"/>
          <w:szCs w:val="24"/>
          <w:lang w:val="en-GB"/>
        </w:rPr>
        <w:t>Chekroud</w:t>
      </w:r>
      <w:proofErr w:type="spellEnd"/>
      <w:r>
        <w:rPr>
          <w:rFonts w:cs="Times New Roman"/>
          <w:szCs w:val="24"/>
          <w:lang w:val="en-GB"/>
        </w:rPr>
        <w:t xml:space="preserve"> and colleagues have used machine learning to predict treatment outcome in two antidepressant medication clinical trials </w:t>
      </w:r>
      <w:r>
        <w:rPr>
          <w:rFonts w:cs="Times New Roman"/>
          <w:szCs w:val="24"/>
          <w:lang w:val="en-GB"/>
        </w:rPr>
        <w:fldChar w:fldCharType="begin" w:fldLock="1"/>
      </w:r>
      <w:r w:rsidR="00CD36EF">
        <w:rPr>
          <w:rFonts w:cs="Times New Roman"/>
          <w:szCs w:val="24"/>
          <w:lang w:val="en-GB"/>
        </w:rPr>
        <w:instrText>ADDIN CSL_CITATION {"citationItems":[{"id":"ITEM-1","itemData":{"DOI":"10.1016/S2215-0366(15)00471-X","ISSN":"22150366","abstract":"Background: Antidepressant treatment efficacy is low, but might be improved by matching patients to interventions. At present, clinicians have no empirically validated mechanisms to assess whether a patient with depression will respond to a specific antidepressant. We aimed to develop an algorithm to assess whether patients will achieve symptomatic remission from a 12-week course of citalopram. Methods: We used patient-reported data from patients with depression (n=4041, with 1949 completers) from level 1 of the Sequenced Treatment Alternatives to Relieve Depression (STAR*D; ClinicalTrials.gov, number NCT00021528) to identify variables that were most predictive of treatment outcome, and used these variables to train a machine-learning model to predict clinical remission. We externally validated the model in the escitalopram treatment group (n=151) of an independent clinical trial (Combining Medications to Enhance Depression Outcomes [COMED]; ClinicalTrials.gov, number NCT00590863). Findings: We identified 25 variables that were most predictive of treatment outcome from 164 patient-reportable variables, and used these to train the model. The model was internally cross-validated, and predicted outcomes in the STAR*D cohort with accuracy significantly above chance (64·6% [SD 3·2]; p&lt;0·0001). The model was externally validated in the escitalopram treatment group (N=151) of COMED (accuracy 59·6%, p=0.043). The model also performed significantly above chance in a combined escitalopram-buproprion treatment group in COMED (n=134; accuracy 59·7%, p=0·023), but not in a combined venlafaxine-mirtazapine group (n=140; accuracy 51·4%, p=0·53), suggesting specificity of the model to underlying mechanisms. Interpretation: Building statistical models by mining existing clinical trial data can enable prospective identification of patients who are likely to respond to a specific antidepressant.","author":[{"dropping-particle":"","family":"Chekroud","given":"Adam Mourad","non-dropping-particle":"","parse-names":false,"suffix":""},{"dropping-particle":"","family":"Zotti","given":"Ryan Joseph","non-dropping-particle":"","parse-names":false,"suffix":""},{"dropping-particle":"","family":"Shehzad","given":"Zarrar","non-dropping-particle":"","parse-names":false,"suffix":""},{"dropping-particle":"","family":"Gueorguieva","given":"Ralitza","non-dropping-particle":"","parse-names":false,"suffix":""},{"dropping-particle":"","family":"Johnson","given":"Marcia K.","non-dropping-particle":"","parse-names":false,"suffix":""},{"dropping-particle":"","family":"Trivedi","given":"Madhukar H.","non-dropping-particle":"","parse-names":false,"suffix":""},{"dropping-particle":"","family":"Cannon","given":"Tyrone D.","non-dropping-particle":"","parse-names":false,"suffix":""},{"dropping-particle":"","family":"Krystal","given":"John Harrison","non-dropping-particle":"","parse-names":false,"suffix":""},{"dropping-particle":"","family":"Corlett","given":"Philip Robert","non-dropping-particle":"","parse-names":false,"suffix":""}],"container-title":"The Lancet Psychiatry","id":"ITEM-1","issue":"3","issued":{"date-parts":[["2016","3"]]},"page":"243-250","publisher":"Elsevier Ltd","title":"Cross-trial prediction of treatment outcome in depression: a machine learning approach","type":"article-journal","volume":"3"},"uris":["http://www.mendeley.com/documents/?uuid=cceddb23-38aa-4bb8-8913-50c35281ebcf"]}],"mendeley":{"formattedCitation":"(Chekroud et al., 2016)","plainTextFormattedCitation":"(Chekroud et al., 2016)","previouslyFormattedCitation":"(Chekroud et al., 2016)"},"properties":{"noteIndex":0},"schema":"https://github.com/citation-style-language/schema/raw/master/csl-citation.json"}</w:instrText>
      </w:r>
      <w:r>
        <w:rPr>
          <w:rFonts w:cs="Times New Roman"/>
          <w:szCs w:val="24"/>
          <w:lang w:val="en-GB"/>
        </w:rPr>
        <w:fldChar w:fldCharType="separate"/>
      </w:r>
      <w:r w:rsidRPr="002C53DD">
        <w:rPr>
          <w:rFonts w:cs="Times New Roman"/>
          <w:noProof/>
          <w:szCs w:val="24"/>
          <w:lang w:val="en-GB"/>
        </w:rPr>
        <w:t>(Chekroud et al., 2016)</w:t>
      </w:r>
      <w:r>
        <w:rPr>
          <w:rFonts w:cs="Times New Roman"/>
          <w:szCs w:val="24"/>
          <w:lang w:val="en-GB"/>
        </w:rPr>
        <w:fldChar w:fldCharType="end"/>
      </w:r>
      <w:r>
        <w:rPr>
          <w:rFonts w:cs="Times New Roman"/>
          <w:szCs w:val="24"/>
          <w:lang w:val="en-GB"/>
        </w:rPr>
        <w:t>.</w:t>
      </w:r>
    </w:p>
    <w:p w14:paraId="76A8B7E1" w14:textId="59F2CD1B" w:rsidR="007A4FB4" w:rsidRDefault="009A1D40" w:rsidP="001C2072">
      <w:pPr>
        <w:pStyle w:val="Heading1"/>
        <w:rPr>
          <w:lang w:val="en-GB"/>
        </w:rPr>
      </w:pPr>
      <w:r w:rsidRPr="006145CB">
        <w:rPr>
          <w:lang w:val="en-GB"/>
        </w:rPr>
        <w:lastRenderedPageBreak/>
        <w:t>Methods</w:t>
      </w:r>
    </w:p>
    <w:p w14:paraId="7E5A705C" w14:textId="70A7AA8B" w:rsidR="00A9603B" w:rsidRDefault="00D57792" w:rsidP="00E45C5E">
      <w:pPr>
        <w:pStyle w:val="Heading2"/>
        <w:rPr>
          <w:lang w:val="en-GB"/>
        </w:rPr>
      </w:pPr>
      <w:r w:rsidRPr="00D57792">
        <w:t>Study Population</w:t>
      </w:r>
      <w:r w:rsidR="005B2DEE" w:rsidRPr="00D57792">
        <w:t xml:space="preserve"> </w:t>
      </w:r>
      <w:r w:rsidR="00EA3828" w:rsidRPr="00D57792">
        <w:t xml:space="preserve"> </w:t>
      </w:r>
      <w:r w:rsidR="00B72B09" w:rsidRPr="00D57792">
        <w:t xml:space="preserve"> </w:t>
      </w:r>
    </w:p>
    <w:p w14:paraId="5B84CEC6" w14:textId="067DC49C" w:rsidR="00342BB2" w:rsidRDefault="00E45C5E" w:rsidP="009A1D40">
      <w:pPr>
        <w:rPr>
          <w:rFonts w:cs="Times New Roman"/>
          <w:szCs w:val="24"/>
          <w:lang w:val="en-GB"/>
        </w:rPr>
      </w:pPr>
      <w:r>
        <w:rPr>
          <w:rFonts w:cs="Times New Roman"/>
          <w:szCs w:val="24"/>
          <w:lang w:val="en-GB"/>
        </w:rPr>
        <w:t>We used data from</w:t>
      </w:r>
      <w:r w:rsidR="00FB2536">
        <w:rPr>
          <w:rFonts w:cs="Times New Roman"/>
          <w:szCs w:val="24"/>
          <w:lang w:val="en-GB"/>
        </w:rPr>
        <w:t xml:space="preserve"> a subset of patients participating the</w:t>
      </w:r>
      <w:r>
        <w:rPr>
          <w:rFonts w:cs="Times New Roman"/>
          <w:szCs w:val="24"/>
          <w:lang w:val="en-GB"/>
        </w:rPr>
        <w:t xml:space="preserve"> OPTIMA study</w:t>
      </w:r>
      <w:r w:rsidR="009027A3">
        <w:rPr>
          <w:rFonts w:cs="Times New Roman"/>
          <w:szCs w:val="24"/>
          <w:lang w:val="en-GB"/>
        </w:rPr>
        <w:t xml:space="preserve"> [REF]</w:t>
      </w:r>
      <w:r w:rsidR="00FB2536">
        <w:rPr>
          <w:rFonts w:cs="Times New Roman"/>
          <w:szCs w:val="24"/>
          <w:lang w:val="en-GB"/>
        </w:rPr>
        <w:t>.</w:t>
      </w:r>
    </w:p>
    <w:p w14:paraId="17C2E1E1" w14:textId="3848E3E3" w:rsidR="00647826" w:rsidRPr="00741939" w:rsidRDefault="00E45C5E" w:rsidP="00A9603B">
      <w:pPr>
        <w:pStyle w:val="Heading2"/>
      </w:pPr>
      <w:r>
        <w:t>Measures</w:t>
      </w:r>
    </w:p>
    <w:p w14:paraId="129BA0D8" w14:textId="546A6113" w:rsidR="00DF16B4" w:rsidRDefault="00A62C4E" w:rsidP="00DF16B4">
      <w:pPr>
        <w:pStyle w:val="Heading3"/>
        <w:rPr>
          <w:lang w:val="en-GB"/>
        </w:rPr>
      </w:pPr>
      <w:r>
        <w:rPr>
          <w:lang w:val="en-GB"/>
        </w:rPr>
        <w:t>Immunophenotyping</w:t>
      </w:r>
    </w:p>
    <w:p w14:paraId="6E0AFCFD" w14:textId="1076B211" w:rsidR="009F00AA" w:rsidRDefault="005C3CF3" w:rsidP="009F00AA">
      <w:pPr>
        <w:rPr>
          <w:lang w:val="en-GB"/>
        </w:rPr>
      </w:pPr>
      <w:r>
        <w:rPr>
          <w:lang w:val="en-GB"/>
        </w:rPr>
        <w:t>In-depth immunophenotyping</w:t>
      </w:r>
      <w:r w:rsidR="009F00AA">
        <w:rPr>
          <w:lang w:val="en-GB"/>
        </w:rPr>
        <w:t xml:space="preserve"> w</w:t>
      </w:r>
      <w:r>
        <w:rPr>
          <w:lang w:val="en-GB"/>
        </w:rPr>
        <w:t>as</w:t>
      </w:r>
      <w:r w:rsidR="009F00AA">
        <w:rPr>
          <w:lang w:val="en-GB"/>
        </w:rPr>
        <w:t xml:space="preserve"> </w:t>
      </w:r>
      <w:r>
        <w:rPr>
          <w:lang w:val="en-GB"/>
        </w:rPr>
        <w:t>conducted</w:t>
      </w:r>
      <w:r w:rsidR="009F00AA">
        <w:rPr>
          <w:lang w:val="en-GB"/>
        </w:rPr>
        <w:t xml:space="preserve"> </w:t>
      </w:r>
      <w:r>
        <w:rPr>
          <w:lang w:val="en-GB"/>
        </w:rPr>
        <w:t>using</w:t>
      </w:r>
      <w:r w:rsidR="009F00AA">
        <w:rPr>
          <w:lang w:val="en-GB"/>
        </w:rPr>
        <w:t xml:space="preserve"> serum samples </w:t>
      </w:r>
      <w:r>
        <w:rPr>
          <w:lang w:val="en-GB"/>
        </w:rPr>
        <w:t>of</w:t>
      </w:r>
      <w:r w:rsidR="009F00AA">
        <w:rPr>
          <w:lang w:val="en-GB"/>
        </w:rPr>
        <w:t xml:space="preserve"> X patients from the OPTIMA and </w:t>
      </w:r>
      <w:proofErr w:type="spellStart"/>
      <w:r w:rsidR="009F00AA">
        <w:rPr>
          <w:lang w:val="en-GB"/>
        </w:rPr>
        <w:t>BeCOME</w:t>
      </w:r>
      <w:proofErr w:type="spellEnd"/>
      <w:r w:rsidR="009F00AA">
        <w:rPr>
          <w:lang w:val="en-GB"/>
        </w:rPr>
        <w:t xml:space="preserve"> </w:t>
      </w:r>
      <w:r w:rsidR="009F00AA">
        <w:rPr>
          <w:lang w:val="en-GB"/>
        </w:rPr>
        <w:fldChar w:fldCharType="begin" w:fldLock="1"/>
      </w:r>
      <w:r w:rsidR="00054BE6">
        <w:rPr>
          <w:lang w:val="en-GB"/>
        </w:rPr>
        <w:instrText>ADDIN CSL_CITATION {"citationItems":[{"id":"ITEM-1","itemData":{"DOI":"10.1186/s12888-020-02541-z","author":[{"dropping-particle":"","family":"Brückl","given":"Tanja M","non-dropping-particle":"","parse-names":false,"suffix":""},{"dropping-particle":"","family":"Spoormaker","given":"Victor I","non-dropping-particle":"","parse-names":false,"suffix":""},{"dropping-particle":"","family":"Sämann","given":"Philipp G","non-dropping-particle":"","parse-names":false,"suffix":""},{"dropping-particle":"","family":"Brem","given":"Anna-katharine","non-dropping-particle":"","parse-names":false,"suffix":""},{"dropping-particle":"","family":"Henco","given":"Lara","non-dropping-particle":"","parse-names":false,"suffix":""},{"dropping-particle":"","family":"Czamara","given":"Darina","non-dropping-particle":"","parse-names":false,"suffix":""},{"dropping-particle":"","family":"Elbau","given":"Immanuel","non-dropping-particle":"","parse-names":false,"suffix":""},{"dropping-particle":"","family":"Grandi","given":"Norma C","non-dropping-particle":"","parse-names":false,"suffix":""},{"dropping-particle":"","family":"Jollans","given":"Lee","non-dropping-particle":"","parse-names":false,"suffix":""},{"dropping-particle":"","family":"Kühnel","given":"Anne","non-dropping-particle":"","parse-names":false,"suffix":""},{"dropping-particle":"","family":"Leuchs","given":"Laura","non-dropping-particle":"","parse-names":false,"suffix":""},{"dropping-particle":"","family":"Pöhlchen","given":"Dorothee","non-dropping-particle":"","parse-names":false,"suffix":""},{"dropping-particle":"","family":"Schneider","given":"Maximilian","non-dropping-particle":"","parse-names":false,"suffix":""},{"dropping-particle":"","family":"Tontsch","given":"Alina","non-dropping-particle":"","parse-names":false,"suffix":""},{"dropping-particle":"","family":"Keck","given":"Martin E","non-dropping-particle":"","parse-names":false,"suffix":""},{"dropping-particle":"","family":"Schilbach","given":"Leonhard","non-dropping-particle":"","parse-names":false,"suffix":""},{"dropping-particle":"","family":"Czisch","given":"Michael","non-dropping-particle":"","parse-names":false,"suffix":""},{"dropping-particle":"","family":"Lucae","given":"Susanne","non-dropping-particle":"","parse-names":false,"suffix":""},{"dropping-particle":"","family":"Erhardt","given":"Angelika","non-dropping-particle":"","parse-names":false,"suffix":""},{"dropping-particle":"","family":"Binder","given":"Elisabeth B","non-dropping-particle":"","parse-names":false,"suffix":""}],"container-title":"BMC Psychiatry","id":"ITEM-1","issued":{"date-parts":[["2020"]]},"page":"1-25","publisher":"BMC Psychiatry","title":"The biological classification of mental disorders (BeCOME) study: a protocol for an observational deep-phenotyping study for the identification of biological subtypes","type":"article-journal"},"uris":["http://www.mendeley.com/documents/?uuid=f0dacf8b-4456-43bb-87e9-c4b30d01f281"]}],"mendeley":{"formattedCitation":"(Brückl et al., 2020)","plainTextFormattedCitation":"(Brückl et al., 2020)","previouslyFormattedCitation":"(Brückl et al., 2020)"},"properties":{"noteIndex":0},"schema":"https://github.com/citation-style-language/schema/raw/master/csl-citation.json"}</w:instrText>
      </w:r>
      <w:r w:rsidR="009F00AA">
        <w:rPr>
          <w:lang w:val="en-GB"/>
        </w:rPr>
        <w:fldChar w:fldCharType="separate"/>
      </w:r>
      <w:r w:rsidR="009F00AA" w:rsidRPr="00B132FE">
        <w:rPr>
          <w:noProof/>
          <w:lang w:val="en-GB"/>
        </w:rPr>
        <w:t>(Brückl et al., 2020)</w:t>
      </w:r>
      <w:r w:rsidR="009F00AA">
        <w:rPr>
          <w:lang w:val="en-GB"/>
        </w:rPr>
        <w:fldChar w:fldCharType="end"/>
      </w:r>
      <w:r w:rsidR="009F00AA">
        <w:rPr>
          <w:lang w:val="en-GB"/>
        </w:rPr>
        <w:t xml:space="preserve"> studies. We only report data from the OPTIMA study</w:t>
      </w:r>
      <w:r w:rsidR="00992423">
        <w:rPr>
          <w:lang w:val="en-GB"/>
        </w:rPr>
        <w:t xml:space="preserve">, which </w:t>
      </w:r>
      <w:r w:rsidR="006F7C2E">
        <w:rPr>
          <w:lang w:val="en-GB"/>
        </w:rPr>
        <w:t>include</w:t>
      </w:r>
      <w:r w:rsidR="00844FBF">
        <w:rPr>
          <w:lang w:val="en-GB"/>
        </w:rPr>
        <w:t>d</w:t>
      </w:r>
      <w:r w:rsidR="009F00AA">
        <w:rPr>
          <w:lang w:val="en-GB"/>
        </w:rPr>
        <w:t xml:space="preserve"> prospective assessments</w:t>
      </w:r>
      <w:r w:rsidR="007B515C">
        <w:rPr>
          <w:lang w:val="en-GB"/>
        </w:rPr>
        <w:t xml:space="preserve"> of inpatient treatment outcome</w:t>
      </w:r>
      <w:r w:rsidR="009F00AA">
        <w:rPr>
          <w:lang w:val="en-GB"/>
        </w:rPr>
        <w:t xml:space="preserve">. </w:t>
      </w:r>
    </w:p>
    <w:p w14:paraId="5CCF288B" w14:textId="36985BE3" w:rsidR="00DF16B4" w:rsidRDefault="009F00AA" w:rsidP="009B675E">
      <w:pPr>
        <w:rPr>
          <w:lang w:val="en-GB"/>
        </w:rPr>
      </w:pPr>
      <w:r>
        <w:rPr>
          <w:lang w:val="en-GB"/>
        </w:rPr>
        <w:t xml:space="preserve">Y of which participated in the OPTIMA study XY. </w:t>
      </w:r>
      <w:r w:rsidR="00DF16B4">
        <w:rPr>
          <w:lang w:val="en-GB"/>
        </w:rPr>
        <w:t>Clinical outcomes</w:t>
      </w:r>
    </w:p>
    <w:p w14:paraId="2A5E01E4" w14:textId="4E3B87A2" w:rsidR="00C5767D" w:rsidRDefault="00960DA2" w:rsidP="009A1D40">
      <w:pPr>
        <w:rPr>
          <w:rFonts w:cs="Times New Roman"/>
          <w:szCs w:val="24"/>
          <w:lang w:val="en-GB"/>
        </w:rPr>
      </w:pPr>
      <w:r>
        <w:rPr>
          <w:rFonts w:cs="Times New Roman"/>
          <w:szCs w:val="24"/>
          <w:lang w:val="en-GB"/>
        </w:rPr>
        <w:t xml:space="preserve">Depressive </w:t>
      </w:r>
    </w:p>
    <w:p w14:paraId="22DBF2A8" w14:textId="020FD108" w:rsidR="00237AE2" w:rsidRPr="00741939" w:rsidRDefault="00801010" w:rsidP="00A9603B">
      <w:pPr>
        <w:pStyle w:val="Heading2"/>
      </w:pPr>
      <w:r>
        <w:t>Statistical Analysis</w:t>
      </w:r>
    </w:p>
    <w:p w14:paraId="2FA5A687" w14:textId="468A931D" w:rsidR="006B0B6B" w:rsidRDefault="00FC4A36" w:rsidP="00FA6EAF">
      <w:pPr>
        <w:rPr>
          <w:rFonts w:cs="Times New Roman"/>
          <w:szCs w:val="24"/>
          <w:lang w:val="en-GB"/>
        </w:rPr>
      </w:pPr>
      <w:r>
        <w:rPr>
          <w:rFonts w:cs="Times New Roman"/>
          <w:szCs w:val="24"/>
          <w:lang w:val="en-GB"/>
        </w:rPr>
        <w:t xml:space="preserve">All analyses are run in </w:t>
      </w:r>
      <w:r w:rsidRPr="00FC4A36">
        <w:rPr>
          <w:rFonts w:cs="Times New Roman"/>
          <w:i/>
          <w:szCs w:val="24"/>
          <w:lang w:val="en-GB"/>
        </w:rPr>
        <w:t>R</w:t>
      </w:r>
      <w:r>
        <w:rPr>
          <w:rFonts w:cs="Times New Roman"/>
          <w:i/>
          <w:szCs w:val="24"/>
          <w:lang w:val="en-GB"/>
        </w:rPr>
        <w:t xml:space="preserve"> </w:t>
      </w:r>
      <w:r w:rsidR="00EE216B">
        <w:rPr>
          <w:rFonts w:cs="Times New Roman"/>
          <w:szCs w:val="24"/>
          <w:lang w:val="en-GB"/>
        </w:rPr>
        <w:t>under</w:t>
      </w:r>
      <w:r>
        <w:rPr>
          <w:rFonts w:cs="Times New Roman"/>
          <w:szCs w:val="24"/>
          <w:lang w:val="en-GB"/>
        </w:rPr>
        <w:t xml:space="preserve"> the</w:t>
      </w:r>
      <w:r w:rsidR="00EE216B">
        <w:rPr>
          <w:rFonts w:cs="Times New Roman"/>
          <w:szCs w:val="24"/>
          <w:lang w:val="en-GB"/>
        </w:rPr>
        <w:t xml:space="preserve"> umbrella of the</w:t>
      </w:r>
      <w:r>
        <w:rPr>
          <w:rFonts w:cs="Times New Roman"/>
          <w:szCs w:val="24"/>
          <w:lang w:val="en-GB"/>
        </w:rPr>
        <w:t xml:space="preserve"> </w:t>
      </w:r>
      <w:r w:rsidR="00450A92" w:rsidRPr="00450A92">
        <w:rPr>
          <w:rFonts w:cs="Times New Roman"/>
          <w:i/>
          <w:szCs w:val="24"/>
          <w:lang w:val="en-GB"/>
        </w:rPr>
        <w:t>caret</w:t>
      </w:r>
      <w:r>
        <w:rPr>
          <w:rFonts w:cs="Times New Roman"/>
          <w:szCs w:val="24"/>
          <w:lang w:val="en-GB"/>
        </w:rPr>
        <w:t xml:space="preserve"> package</w:t>
      </w:r>
      <w:r w:rsidR="00EE216B">
        <w:rPr>
          <w:rFonts w:cs="Times New Roman"/>
          <w:szCs w:val="24"/>
          <w:lang w:val="en-GB"/>
        </w:rPr>
        <w:t xml:space="preserve"> that collates different ML functionalities</w:t>
      </w:r>
      <w:r>
        <w:rPr>
          <w:rFonts w:cs="Times New Roman"/>
          <w:szCs w:val="24"/>
          <w:lang w:val="en-GB"/>
        </w:rPr>
        <w:t xml:space="preserve"> </w:t>
      </w:r>
      <w:r>
        <w:rPr>
          <w:rFonts w:cs="Times New Roman"/>
          <w:szCs w:val="24"/>
          <w:lang w:val="en-GB"/>
        </w:rPr>
        <w:fldChar w:fldCharType="begin" w:fldLock="1"/>
      </w:r>
      <w:r w:rsidR="00B132FE">
        <w:rPr>
          <w:rFonts w:cs="Times New Roman"/>
          <w:szCs w:val="24"/>
          <w:lang w:val="en-GB"/>
        </w:rPr>
        <w:instrText>ADDIN CSL_CITATION {"citationItems":[{"id":"ITEM-1","itemData":{"author":[{"dropping-particle":"","family":"R Core Team","given":"","non-dropping-particle":"","parse-names":false,"suffix":""}],"id":"ITEM-1","issued":{"date-parts":[["2017"]]},"publisher-place":"Vienna, Austria.","title":"R: A language and environment for statistical computing","type":"article"},"uris":["http://www.mendeley.com/documents/?uuid=e7d5b36c-349d-447e-a0e8-f4c9f1960bad"]},{"id":"ITEM-2","itemData":{"DOI":"10.18637/jss.v028.i05","abstract":"The caret package, short for classification and regression training, contains numerous tools for developing predictive models using the rich set of models available in R. The package focuses on simplifying model training and tuning across a wide variety of modeling techniques. It also includes methods for pre-processing training data, calculating variable importance, and model visualizations. An example from computational chemistry is used to illustrate the functionality on a real data set and to benchmark the benefits of parallel processing with several types of models.","author":[{"dropping-particle":"","family":"Kuhn","given":"Max","non-dropping-particle":"","parse-names":false,"suffix":""}],"container-title":"Journal of Statistical Software","id":"ITEM-2","issue":"5","issued":{"date-parts":[["2008"]]},"title":"Building Predictive Models in R Using the caret Package","type":"article-journal","volume":"28"},"uris":["http://www.mendeley.com/documents/?uuid=c6e5e179-b76a-3843-bab6-2ea65bea0c38"]}],"mendeley":{"formattedCitation":"(Kuhn, 2008; R Core Team, 2017)","plainTextFormattedCitation":"(Kuhn, 2008; R Core Team, 2017)","previouslyFormattedCitation":"(Kuhn, 2008; R Core Team, 2017)"},"properties":{"noteIndex":0},"schema":"https://github.com/citation-style-language/schema/raw/master/csl-citation.json"}</w:instrText>
      </w:r>
      <w:r>
        <w:rPr>
          <w:rFonts w:cs="Times New Roman"/>
          <w:szCs w:val="24"/>
          <w:lang w:val="en-GB"/>
        </w:rPr>
        <w:fldChar w:fldCharType="separate"/>
      </w:r>
      <w:r w:rsidR="00450A92" w:rsidRPr="00450A92">
        <w:rPr>
          <w:rFonts w:cs="Times New Roman"/>
          <w:noProof/>
          <w:szCs w:val="24"/>
          <w:lang w:val="en-GB"/>
        </w:rPr>
        <w:t>(Kuhn, 2008; R Core Team, 2017)</w:t>
      </w:r>
      <w:r>
        <w:rPr>
          <w:rFonts w:cs="Times New Roman"/>
          <w:szCs w:val="24"/>
          <w:lang w:val="en-GB"/>
        </w:rPr>
        <w:fldChar w:fldCharType="end"/>
      </w:r>
      <w:r w:rsidR="00390EB7">
        <w:rPr>
          <w:rFonts w:cs="Times New Roman"/>
          <w:szCs w:val="24"/>
          <w:lang w:val="en-GB"/>
        </w:rPr>
        <w:t>.</w:t>
      </w:r>
    </w:p>
    <w:p w14:paraId="784C3635" w14:textId="6B1B6ED2" w:rsidR="00642E76" w:rsidRDefault="00913308" w:rsidP="007A4C15">
      <w:pPr>
        <w:pStyle w:val="Heading3"/>
        <w:rPr>
          <w:lang w:val="en-GB"/>
        </w:rPr>
      </w:pPr>
      <w:r>
        <w:rPr>
          <w:lang w:val="en-GB"/>
        </w:rPr>
        <w:t>Outcome</w:t>
      </w:r>
      <w:r w:rsidR="009B04F8">
        <w:rPr>
          <w:lang w:val="en-GB"/>
        </w:rPr>
        <w:t xml:space="preserve"> Data Interpolation</w:t>
      </w:r>
    </w:p>
    <w:p w14:paraId="0EAA7983" w14:textId="1EFCC3E0" w:rsidR="00642E76" w:rsidRDefault="00757D1B" w:rsidP="00642E76">
      <w:pPr>
        <w:rPr>
          <w:lang w:val="en-GB"/>
        </w:rPr>
      </w:pPr>
      <w:r>
        <w:rPr>
          <w:lang w:val="en-GB"/>
        </w:rPr>
        <w:t xml:space="preserve">Data on X cytokines was excluded from analyses based on missing data in &gt;X% of patients. </w:t>
      </w:r>
    </w:p>
    <w:p w14:paraId="61F32A76" w14:textId="5BC43923" w:rsidR="00E7759E" w:rsidRPr="00642E76" w:rsidRDefault="00E7759E" w:rsidP="00642E76">
      <w:pPr>
        <w:rPr>
          <w:lang w:val="en-GB"/>
        </w:rPr>
      </w:pPr>
      <w:r>
        <w:rPr>
          <w:lang w:val="en-GB"/>
        </w:rPr>
        <w:t xml:space="preserve">Missing BDI data were imputed using last-observation-carried-forward approach. </w:t>
      </w:r>
      <w:r w:rsidR="00F45390">
        <w:rPr>
          <w:lang w:val="en-GB"/>
        </w:rPr>
        <w:t xml:space="preserve">We also used a best-worst case sensitivity analysis to see if results from our analysis pipeline were dependent on the type of imputation </w:t>
      </w:r>
      <w:r w:rsidR="00F45390">
        <w:rPr>
          <w:lang w:val="en-GB"/>
        </w:rPr>
        <w:fldChar w:fldCharType="begin" w:fldLock="1"/>
      </w:r>
      <w:r w:rsidR="007B3622">
        <w:rPr>
          <w:lang w:val="en-GB"/>
        </w:rPr>
        <w:instrText>ADDIN CSL_CITATION {"citationItems":[{"id":"ITEM-1","itemData":{"DOI":"10.1186/s12874-017-0442-1","ISSN":"1471-2288","abstract":"Background: Missing data may seriously compromise inferences from randomised clinical trials, especially if missing data are not handled appropriately. The potential bias due to missing data depends on the mechanism causing the data to be missing, and the analytical methods applied to amend the missingness. Therefore, the analysis of trial data with missing values requires careful planning and attention. Methods: The authors had several meetings and discussions considering optimal ways of handling missing data to minimise the bias potential. We also searched PubMed (key words: missing data; randomi; statistical analysis) and reference lists of known studies for papers (theoretical papers; empirical studies; simulation studies; etc.) on how to deal with missing data when analysing randomised clinical trials. Results: Handling missing data is an important, yet difficult and complex task when analysing results of randomised clinical trials. We consider how to optimise the handling of missing data during the planning stage of a randomised clinical trial and recommend analytical approaches which may prevent bias caused by unavoidable missing data. We consider the strengths and limitations of using of best-worst and worst-best sensitivity analyses, multiple imputation, and full information maximum likelihood. We also present practical flowcharts on how to deal with missing data and an overview of the steps that always need to be considered during the analysis stage of a trial. Conclusions: We present a practical guide and flowcharts describing when and how multiple imputation should be used to handle missing data in randomised clinical.","author":[{"dropping-particle":"","family":"Jakobsen","given":"Janus Christian","non-dropping-particle":"","parse-names":false,"suffix":""},{"dropping-particle":"","family":"Gluud","given":"Christian","non-dropping-particle":"","parse-names":false,"suffix":""},{"dropping-particle":"","family":"Wetterslev","given":"Jørn","non-dropping-particle":"","parse-names":false,"suffix":""},{"dropping-particle":"","family":"Winkel","given":"Per","non-dropping-particle":"","parse-names":false,"suffix":""}],"container-title":"BMC Medical Research Methodology","id":"ITEM-1","issue":"1","issued":{"date-parts":[["2017","12","6"]]},"page":"162","publisher":"BMC Medical Research Methodology","title":"When and how should multiple imputation be used for handling missing data in randomised clinical trials – a practical guide with flowcharts","type":"article-journal","volume":"17"},"uris":["http://www.mendeley.com/documents/?uuid=3f78532c-bb92-4838-a318-8985b7512aa4"]}],"mendeley":{"formattedCitation":"(Jakobsen et al., 2017)","plainTextFormattedCitation":"(Jakobsen et al., 2017)","previouslyFormattedCitation":"(Jakobsen et al., 2017)"},"properties":{"noteIndex":0},"schema":"https://github.com/citation-style-language/schema/raw/master/csl-citation.json"}</w:instrText>
      </w:r>
      <w:r w:rsidR="00F45390">
        <w:rPr>
          <w:lang w:val="en-GB"/>
        </w:rPr>
        <w:fldChar w:fldCharType="separate"/>
      </w:r>
      <w:r w:rsidR="00F45390" w:rsidRPr="00F45390">
        <w:rPr>
          <w:noProof/>
          <w:lang w:val="en-GB"/>
        </w:rPr>
        <w:t>(Jakobsen et al., 2017)</w:t>
      </w:r>
      <w:r w:rsidR="00F45390">
        <w:rPr>
          <w:lang w:val="en-GB"/>
        </w:rPr>
        <w:fldChar w:fldCharType="end"/>
      </w:r>
      <w:r w:rsidR="00F45390">
        <w:rPr>
          <w:lang w:val="en-GB"/>
        </w:rPr>
        <w:t>.</w:t>
      </w:r>
      <w:r w:rsidR="009708D0">
        <w:rPr>
          <w:lang w:val="en-GB"/>
        </w:rPr>
        <w:t xml:space="preserve"> To this end, we imputed endpoint BDI using participants’ best and worst BDI scores throughout treatment, respectively.</w:t>
      </w:r>
    </w:p>
    <w:p w14:paraId="6E86013C" w14:textId="19FC1F5F" w:rsidR="00FD2886" w:rsidRDefault="004C4863" w:rsidP="007A4C15">
      <w:pPr>
        <w:pStyle w:val="Heading3"/>
        <w:rPr>
          <w:lang w:val="en-GB"/>
        </w:rPr>
      </w:pPr>
      <w:r>
        <w:rPr>
          <w:lang w:val="en-GB"/>
        </w:rPr>
        <w:lastRenderedPageBreak/>
        <w:t>Feature Selection</w:t>
      </w:r>
    </w:p>
    <w:p w14:paraId="4F9BBCA5" w14:textId="5CCEDAD6" w:rsidR="004C4863" w:rsidRDefault="00CD36EF" w:rsidP="00FA6EAF">
      <w:pPr>
        <w:rPr>
          <w:rFonts w:cs="Times New Roman"/>
          <w:szCs w:val="24"/>
          <w:lang w:val="en-GB"/>
        </w:rPr>
      </w:pPr>
      <w:r>
        <w:rPr>
          <w:rFonts w:cs="Times New Roman"/>
          <w:szCs w:val="24"/>
          <w:lang w:val="en-GB"/>
        </w:rPr>
        <w:t xml:space="preserve">Feature selection procedures were informed by two prior reports predicting response to antidepressant medication and predicting differential response to psychotherapies in depression </w:t>
      </w:r>
      <w:r>
        <w:rPr>
          <w:rFonts w:cs="Times New Roman"/>
          <w:szCs w:val="24"/>
          <w:lang w:val="en-GB"/>
        </w:rPr>
        <w:fldChar w:fldCharType="begin" w:fldLock="1"/>
      </w:r>
      <w:r w:rsidR="00F90172">
        <w:rPr>
          <w:rFonts w:cs="Times New Roman"/>
          <w:szCs w:val="24"/>
          <w:lang w:val="en-GB"/>
        </w:rPr>
        <w:instrText>ADDIN CSL_CITATION {"citationItems":[{"id":"ITEM-1","itemData":{"DOI":"10.1080/10503307.2018.1563312","ISSN":"1050-3307","abstract":"Objective: We use a new variable selection procedure for treatment selection which generates treatment recommendations based on pre-treatment characteristics for adults with mild-to-moderate depression deciding between cognitive behavioral (CBT) versus psychodynamic therapy (PDT). Method: Data are drawn from a randomized comparison of CBT versus PDT for depression (N = 167, 71% female, mean-age = 39.6). The approach combines four different statistical techniques to identify patient characteristics associated consistently with differential treatment response. Variables are combined to generate predictions indicating each individual’s optimal-treatment. The average outcomes for patients who received their indicated treatment versus those who did not were compared retrospectively to estimate model utility. Results: Of 49 predictors examined, depression severity, anxiety sensitivity, extraversion, and psychological treatment-needs were included in the final model. The average post-treatment Hamilton-Depression-Rating-Scale score was 1.6 points lower (95%CI = [0.5:2.8]; d = 0.21) for those who received their indicated-treatment compared to non-indicated. Among the 60% of patients with the strongest treatment recommendations, that advantage grew to 2.6 (95%CI = [1.4:3.7]; d = 0.37). Conclusions: Variable selection procedures differ in their characterization of the importance of predictive variables. Attending to consistently-indicated predictors may be sensible when constructing treatment selection models. The small N and lack of separate validation sample indicate a need for prospective tests before this model is used.","author":[{"dropping-particle":"","family":"Cohen","given":"Zachary D","non-dropping-particle":"","parse-names":false,"suffix":""},{"dropping-particle":"","family":"Kim","given":"Thomas T.","non-dropping-particle":"","parse-names":false,"suffix":""},{"dropping-particle":"","family":"Van","given":"Henricus L.","non-dropping-particle":"","parse-names":false,"suffix":""},{"dropping-particle":"","family":"Dekker","given":"Jack J. M.","non-dropping-particle":"","parse-names":false,"suffix":""},{"dropping-particle":"","family":"Driessen","given":"Ellen","non-dropping-particle":"","parse-names":false,"suffix":""}],"container-title":"Psychotherapy Research","id":"ITEM-1","issue":"2","issued":{"date-parts":[["2020","2","17"]]},"page":"137-150","publisher":"Taylor &amp; Francis","title":"A demonstration of a multi-method variable selection approach for treatment selection: Recommending cognitive–behavioral versus psychodynamic therapy for mild to moderate adult depression","type":"article-journal","volume":"30"},"uris":["http://www.mendeley.com/documents/?uuid=3faa7592-a7e5-4c1c-8d8c-3eeebe4993dc"]},{"id":"ITEM-2","itemData":{"DOI":"10.1016/S2215-0366(15)00471-X","ISSN":"22150366","abstract":"Background: Antidepressant treatment efficacy is low, but might be improved by matching patients to interventions. At present, clinicians have no empirically validated mechanisms to assess whether a patient with depression will respond to a specific antidepressant. We aimed to develop an algorithm to assess whether patients will achieve symptomatic remission from a 12-week course of citalopram. Methods: We used patient-reported data from patients with depression (n=4041, with 1949 completers) from level 1 of the Sequenced Treatment Alternatives to Relieve Depression (STAR*D; ClinicalTrials.gov, number NCT00021528) to identify variables that were most predictive of treatment outcome, and used these variables to train a machine-learning model to predict clinical remission. We externally validated the model in the escitalopram treatment group (n=151) of an independent clinical trial (Combining Medications to Enhance Depression Outcomes [COMED]; ClinicalTrials.gov, number NCT00590863). Findings: We identified 25 variables that were most predictive of treatment outcome from 164 patient-reportable variables, and used these to train the model. The model was internally cross-validated, and predicted outcomes in the STAR*D cohort with accuracy significantly above chance (64·6% [SD 3·2]; p&lt;0·0001). The model was externally validated in the escitalopram treatment group (N=151) of COMED (accuracy 59·6%, p=0.043). The model also performed significantly above chance in a combined escitalopram-buproprion treatment group in COMED (n=134; accuracy 59·7%, p=0·023), but not in a combined venlafaxine-mirtazapine group (n=140; accuracy 51·4%, p=0·53), suggesting specificity of the model to underlying mechanisms. Interpretation: Building statistical models by mining existing clinical trial data can enable prospective identification of patients who are likely to respond to a specific antidepressant.","author":[{"dropping-particle":"","family":"Chekroud","given":"Adam Mourad","non-dropping-particle":"","parse-names":false,"suffix":""},{"dropping-particle":"","family":"Zotti","given":"Ryan Joseph","non-dropping-particle":"","parse-names":false,"suffix":""},{"dropping-particle":"","family":"Shehzad","given":"Zarrar","non-dropping-particle":"","parse-names":false,"suffix":""},{"dropping-particle":"","family":"Gueorguieva","given":"Ralitza","non-dropping-particle":"","parse-names":false,"suffix":""},{"dropping-particle":"","family":"Johnson","given":"Marcia K.","non-dropping-particle":"","parse-names":false,"suffix":""},{"dropping-particle":"","family":"Trivedi","given":"Madhukar H.","non-dropping-particle":"","parse-names":false,"suffix":""},{"dropping-particle":"","family":"Cannon","given":"Tyrone D.","non-dropping-particle":"","parse-names":false,"suffix":""},{"dropping-particle":"","family":"Krystal","given":"John Harrison","non-dropping-particle":"","parse-names":false,"suffix":""},{"dropping-particle":"","family":"Corlett","given":"Philip Robert","non-dropping-particle":"","parse-names":false,"suffix":""}],"container-title":"The Lancet Psychiatry","id":"ITEM-2","issue":"3","issued":{"date-parts":[["2016","3"]]},"page":"243-250","publisher":"Elsevier Ltd","title":"Cross-trial prediction of treatment outcome in depression: a machine learning approach","type":"article-journal","volume":"3"},"uris":["http://www.mendeley.com/documents/?uuid=cceddb23-38aa-4bb8-8913-50c35281ebcf"]}],"mendeley":{"formattedCitation":"(Chekroud et al., 2016; Cohen et al., 2020)","plainTextFormattedCitation":"(Chekroud et al., 2016; Cohen et al., 2020)","previouslyFormattedCitation":"(Chekroud et al., 2016; Cohen et al., 2020)"},"properties":{"noteIndex":0},"schema":"https://github.com/citation-style-language/schema/raw/master/csl-citation.json"}</w:instrText>
      </w:r>
      <w:r>
        <w:rPr>
          <w:rFonts w:cs="Times New Roman"/>
          <w:szCs w:val="24"/>
          <w:lang w:val="en-GB"/>
        </w:rPr>
        <w:fldChar w:fldCharType="separate"/>
      </w:r>
      <w:r w:rsidRPr="00CD36EF">
        <w:rPr>
          <w:rFonts w:cs="Times New Roman"/>
          <w:noProof/>
          <w:szCs w:val="24"/>
          <w:lang w:val="en-GB"/>
        </w:rPr>
        <w:t>(Chekroud et al., 2016; Cohen et al., 2020)</w:t>
      </w:r>
      <w:r>
        <w:rPr>
          <w:rFonts w:cs="Times New Roman"/>
          <w:szCs w:val="24"/>
          <w:lang w:val="en-GB"/>
        </w:rPr>
        <w:fldChar w:fldCharType="end"/>
      </w:r>
      <w:r>
        <w:rPr>
          <w:rFonts w:cs="Times New Roman"/>
          <w:szCs w:val="24"/>
          <w:lang w:val="en-GB"/>
        </w:rPr>
        <w:t>.</w:t>
      </w:r>
    </w:p>
    <w:p w14:paraId="442E863B" w14:textId="2DC48106" w:rsidR="004C4863" w:rsidRDefault="004C4863" w:rsidP="007A4C15">
      <w:pPr>
        <w:pStyle w:val="Heading3"/>
        <w:rPr>
          <w:lang w:val="en-GB"/>
        </w:rPr>
      </w:pPr>
      <w:r>
        <w:rPr>
          <w:lang w:val="en-GB"/>
        </w:rPr>
        <w:t>Model Training and Cross-Validation</w:t>
      </w:r>
    </w:p>
    <w:p w14:paraId="40010677" w14:textId="122F40BC" w:rsidR="00FD2886" w:rsidRDefault="00FD2886" w:rsidP="00FA6EAF">
      <w:pPr>
        <w:rPr>
          <w:rFonts w:cs="Times New Roman"/>
          <w:szCs w:val="24"/>
          <w:lang w:val="en-GB"/>
        </w:rPr>
      </w:pPr>
      <w:r>
        <w:rPr>
          <w:rFonts w:cs="Times New Roman"/>
          <w:szCs w:val="24"/>
          <w:lang w:val="en-GB"/>
        </w:rPr>
        <w:t xml:space="preserve">Regression-based </w:t>
      </w:r>
    </w:p>
    <w:p w14:paraId="39D33128" w14:textId="7EABCB7C" w:rsidR="004F4FA0" w:rsidRDefault="004F4FA0" w:rsidP="00FA6EAF">
      <w:pPr>
        <w:rPr>
          <w:rFonts w:cs="Times New Roman"/>
          <w:szCs w:val="24"/>
          <w:lang w:val="en-GB"/>
        </w:rPr>
      </w:pPr>
      <w:r>
        <w:rPr>
          <w:rFonts w:cs="Times New Roman"/>
          <w:szCs w:val="24"/>
          <w:lang w:val="en-GB"/>
        </w:rPr>
        <w:t xml:space="preserve">Elastic net regression </w:t>
      </w:r>
      <w:r w:rsidR="00F75DD5">
        <w:rPr>
          <w:rFonts w:cs="Times New Roman"/>
          <w:szCs w:val="24"/>
          <w:lang w:val="en-GB"/>
        </w:rPr>
        <w:t>was</w:t>
      </w:r>
      <w:r>
        <w:rPr>
          <w:rFonts w:cs="Times New Roman"/>
          <w:szCs w:val="24"/>
          <w:lang w:val="en-GB"/>
        </w:rPr>
        <w:t xml:space="preserve"> performed using </w:t>
      </w:r>
      <w:r w:rsidR="004E08B0">
        <w:rPr>
          <w:rFonts w:cs="Times New Roman"/>
          <w:szCs w:val="24"/>
          <w:lang w:val="en-GB"/>
        </w:rPr>
        <w:t xml:space="preserve">the </w:t>
      </w:r>
      <w:proofErr w:type="spellStart"/>
      <w:r w:rsidR="004E08B0">
        <w:rPr>
          <w:rFonts w:cs="Times New Roman"/>
          <w:i/>
          <w:szCs w:val="24"/>
          <w:lang w:val="en-GB"/>
        </w:rPr>
        <w:t>glmnet</w:t>
      </w:r>
      <w:proofErr w:type="spellEnd"/>
      <w:r w:rsidR="004E08B0">
        <w:rPr>
          <w:rFonts w:cs="Times New Roman"/>
          <w:szCs w:val="24"/>
          <w:lang w:val="en-GB"/>
        </w:rPr>
        <w:t xml:space="preserve"> package in </w:t>
      </w:r>
      <w:r w:rsidR="004E08B0" w:rsidRPr="007B75D2">
        <w:rPr>
          <w:rFonts w:cs="Times New Roman"/>
          <w:i/>
          <w:szCs w:val="24"/>
          <w:lang w:val="en-GB"/>
        </w:rPr>
        <w:t>R</w:t>
      </w:r>
      <w:r w:rsidR="007B75D2">
        <w:rPr>
          <w:rFonts w:cs="Times New Roman"/>
          <w:szCs w:val="24"/>
          <w:lang w:val="en-GB"/>
        </w:rPr>
        <w:t xml:space="preserve"> </w:t>
      </w:r>
      <w:r w:rsidR="007B75D2">
        <w:rPr>
          <w:rFonts w:cs="Times New Roman"/>
          <w:szCs w:val="24"/>
          <w:lang w:val="en-GB"/>
        </w:rPr>
        <w:fldChar w:fldCharType="begin" w:fldLock="1"/>
      </w:r>
      <w:r w:rsidR="004C435B">
        <w:rPr>
          <w:rFonts w:cs="Times New Roman"/>
          <w:szCs w:val="24"/>
          <w:lang w:val="en-GB"/>
        </w:rPr>
        <w:instrText>ADDIN CSL_CITATION {"citationItems":[{"id":"ITEM-1","itemData":{"DOI":"10.1186/s13148-019-0730-1","ISSN":"1868-7075","PMID":"31443682","abstract":"Elastic net type regression methods have become very popular for prediction of certain outcomes in epigenome-wide association studies (EWAS). The methods considered accept biased coefficient estimates in return for lower variance thus obtaining improved prediction accuracy. We provide guidelines on how to obtain parsimonious models with low mean squared error and include easy to follow walk-through examples for each step in R.","author":[{"dropping-particle":"","family":"Engebretsen","given":"Solveig","non-dropping-particle":"","parse-names":false,"suffix":""},{"dropping-particle":"","family":"Bohlin","given":"Jon","non-dropping-particle":"","parse-names":false,"suffix":""}],"container-title":"Clinical Epigenetics","id":"ITEM-1","issue":"1","issued":{"date-parts":[["2019","12","23"]]},"page":"123","publisher":"Clinical Epigenetics","title":"Statistical predictions with glmnet","type":"article-journal","volume":"11"},"uris":["http://www.mendeley.com/documents/?uuid=704883b2-9e8f-4458-811d-20fa2a3acd2f"]}],"mendeley":{"formattedCitation":"(Engebretsen and Bohlin, 2019)","plainTextFormattedCitation":"(Engebretsen and Bohlin, 2019)","previouslyFormattedCitation":"(Engebretsen and Bohlin, 2019)"},"properties":{"noteIndex":0},"schema":"https://github.com/citation-style-language/schema/raw/master/csl-citation.json"}</w:instrText>
      </w:r>
      <w:r w:rsidR="007B75D2">
        <w:rPr>
          <w:rFonts w:cs="Times New Roman"/>
          <w:szCs w:val="24"/>
          <w:lang w:val="en-GB"/>
        </w:rPr>
        <w:fldChar w:fldCharType="separate"/>
      </w:r>
      <w:r w:rsidR="007B75D2" w:rsidRPr="007B75D2">
        <w:rPr>
          <w:rFonts w:cs="Times New Roman"/>
          <w:noProof/>
          <w:szCs w:val="24"/>
          <w:lang w:val="en-GB"/>
        </w:rPr>
        <w:t>(Engebretsen and Bohlin, 2019)</w:t>
      </w:r>
      <w:r w:rsidR="007B75D2">
        <w:rPr>
          <w:rFonts w:cs="Times New Roman"/>
          <w:szCs w:val="24"/>
          <w:lang w:val="en-GB"/>
        </w:rPr>
        <w:fldChar w:fldCharType="end"/>
      </w:r>
      <w:r w:rsidR="004E08B0">
        <w:rPr>
          <w:rFonts w:cs="Times New Roman"/>
          <w:szCs w:val="24"/>
          <w:lang w:val="en-GB"/>
        </w:rPr>
        <w:t xml:space="preserve">. Elastic net regression is an extension of least squares regression including a penalisation parameter </w:t>
      </w:r>
      <w:r w:rsidR="004E08B0" w:rsidRPr="00AB3C71">
        <w:rPr>
          <w:rFonts w:cs="Times New Roman"/>
          <w:i/>
          <w:szCs w:val="24"/>
          <w:lang w:val="en-GB"/>
        </w:rPr>
        <w:t>λ</w:t>
      </w:r>
      <w:r w:rsidR="004E08B0">
        <w:rPr>
          <w:rFonts w:cs="Times New Roman"/>
          <w:szCs w:val="24"/>
          <w:lang w:val="en-GB"/>
        </w:rPr>
        <w:t xml:space="preserve"> and a tuning parameter </w:t>
      </w:r>
      <w:r w:rsidR="004E08B0" w:rsidRPr="00AB3C71">
        <w:rPr>
          <w:rFonts w:cs="Times New Roman"/>
          <w:i/>
          <w:szCs w:val="24"/>
          <w:lang w:val="en-GB"/>
        </w:rPr>
        <w:t>α</w:t>
      </w:r>
      <w:r w:rsidR="004E08B0">
        <w:rPr>
          <w:rFonts w:cs="Times New Roman"/>
          <w:szCs w:val="24"/>
          <w:lang w:val="en-GB"/>
        </w:rPr>
        <w:t>.</w:t>
      </w:r>
    </w:p>
    <w:p w14:paraId="1FAA5A3F" w14:textId="4E632FB8" w:rsidR="008C4273" w:rsidRDefault="008C4273" w:rsidP="00FA6EAF">
      <w:pPr>
        <w:rPr>
          <w:rFonts w:cs="Times New Roman"/>
          <w:szCs w:val="24"/>
          <w:lang w:val="en-GB"/>
        </w:rPr>
      </w:pPr>
      <w:r>
        <w:rPr>
          <w:rFonts w:cs="Times New Roman"/>
          <w:noProof/>
          <w:szCs w:val="24"/>
          <w:lang w:val="en-GB"/>
        </w:rPr>
        <w:lastRenderedPageBreak/>
        <w:drawing>
          <wp:inline distT="0" distB="0" distL="0" distR="0" wp14:anchorId="3FD874AC" wp14:editId="3ABDA18D">
            <wp:extent cx="5966460" cy="5481553"/>
            <wp:effectExtent l="0" t="0" r="0"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tretch>
                      <a:fillRect/>
                    </a:stretch>
                  </pic:blipFill>
                  <pic:spPr bwMode="auto">
                    <a:xfrm>
                      <a:off x="0" y="0"/>
                      <a:ext cx="5966460" cy="5481553"/>
                    </a:xfrm>
                    <a:prstGeom prst="rect">
                      <a:avLst/>
                    </a:prstGeom>
                    <a:noFill/>
                    <a:ln>
                      <a:noFill/>
                    </a:ln>
                  </pic:spPr>
                </pic:pic>
              </a:graphicData>
            </a:graphic>
          </wp:inline>
        </w:drawing>
      </w:r>
    </w:p>
    <w:p w14:paraId="4E2A93C3" w14:textId="6484C18D" w:rsidR="008C4273" w:rsidRPr="004E08B0" w:rsidRDefault="008C4273" w:rsidP="00FA6EAF">
      <w:pPr>
        <w:rPr>
          <w:rFonts w:cs="Times New Roman"/>
          <w:szCs w:val="24"/>
          <w:lang w:val="en-GB"/>
        </w:rPr>
      </w:pPr>
      <w:r w:rsidRPr="008C4273">
        <w:rPr>
          <w:rFonts w:cs="Times New Roman"/>
          <w:i/>
          <w:szCs w:val="24"/>
          <w:lang w:val="en-GB"/>
        </w:rPr>
        <w:t>Figure 1</w:t>
      </w:r>
      <w:r>
        <w:rPr>
          <w:rFonts w:cs="Times New Roman"/>
          <w:szCs w:val="24"/>
          <w:lang w:val="en-GB"/>
        </w:rPr>
        <w:t>: Machine Learning Pipeline.</w:t>
      </w:r>
    </w:p>
    <w:p w14:paraId="6DCE7C23" w14:textId="77777777" w:rsidR="00597E9C" w:rsidRDefault="00597E9C" w:rsidP="00597E9C">
      <w:pPr>
        <w:pStyle w:val="Heading3"/>
        <w:rPr>
          <w:lang w:val="en-GB"/>
        </w:rPr>
      </w:pPr>
      <w:r>
        <w:rPr>
          <w:lang w:val="en-GB"/>
        </w:rPr>
        <w:t>Assessment of Generalisability</w:t>
      </w:r>
    </w:p>
    <w:p w14:paraId="1A3CD7C7" w14:textId="4FA20E4B" w:rsidR="00597E9C" w:rsidRPr="009D09DF" w:rsidRDefault="00597E9C" w:rsidP="00FA6EAF">
      <w:pPr>
        <w:rPr>
          <w:rFonts w:cs="Times New Roman"/>
          <w:szCs w:val="24"/>
          <w:lang w:val="en-GB"/>
        </w:rPr>
        <w:sectPr w:rsidR="00597E9C" w:rsidRPr="009D09DF">
          <w:pgSz w:w="12240" w:h="15840"/>
          <w:pgMar w:top="1417" w:right="1417" w:bottom="1134" w:left="1417" w:header="708" w:footer="708" w:gutter="0"/>
          <w:cols w:space="708"/>
          <w:docGrid w:linePitch="360"/>
        </w:sectPr>
      </w:pPr>
      <w:r w:rsidRPr="009D09DF">
        <w:rPr>
          <w:rFonts w:cs="Times New Roman"/>
          <w:szCs w:val="24"/>
          <w:lang w:val="en-GB"/>
        </w:rPr>
        <w:t>As</w:t>
      </w:r>
    </w:p>
    <w:p w14:paraId="14590833" w14:textId="467539F2" w:rsidR="00FA6EAF" w:rsidRPr="006145CB" w:rsidRDefault="00FA6EAF" w:rsidP="00A9603B">
      <w:pPr>
        <w:pStyle w:val="Heading1"/>
        <w:rPr>
          <w:lang w:val="en-GB"/>
        </w:rPr>
      </w:pPr>
      <w:r>
        <w:rPr>
          <w:lang w:val="en-GB"/>
        </w:rPr>
        <w:lastRenderedPageBreak/>
        <w:t>Results</w:t>
      </w:r>
    </w:p>
    <w:p w14:paraId="4C26AF1F" w14:textId="47D71D53" w:rsidR="00F655D7" w:rsidRDefault="00F655D7" w:rsidP="00F655D7">
      <w:pPr>
        <w:pStyle w:val="Heading2"/>
      </w:pPr>
      <w:r>
        <w:t>Baseline characteristics</w:t>
      </w:r>
    </w:p>
    <w:p w14:paraId="3026551E" w14:textId="2FCF1F02" w:rsidR="00FA6EAF" w:rsidRDefault="00BF2E91" w:rsidP="00C94E69">
      <w:pPr>
        <w:rPr>
          <w:rFonts w:cs="Times New Roman"/>
          <w:szCs w:val="24"/>
          <w:lang w:val="en-GB"/>
        </w:rPr>
      </w:pPr>
      <w:r>
        <w:rPr>
          <w:rFonts w:cs="Times New Roman"/>
          <w:szCs w:val="24"/>
          <w:lang w:val="en-GB"/>
        </w:rPr>
        <w:t>Baseline characteristics of participants of the OPTIMA study are highlighted in Table 1.</w:t>
      </w:r>
    </w:p>
    <w:p w14:paraId="37E55ABB" w14:textId="74D68AF4" w:rsidR="00E115D8" w:rsidRDefault="00E115D8" w:rsidP="00C94E69">
      <w:pPr>
        <w:rPr>
          <w:rFonts w:cs="Times New Roman"/>
          <w:szCs w:val="24"/>
          <w:lang w:val="en-GB"/>
        </w:rPr>
      </w:pPr>
    </w:p>
    <w:p w14:paraId="659D965E" w14:textId="4FE53E44" w:rsidR="00E115D8" w:rsidRPr="00E115D8" w:rsidRDefault="00E115D8" w:rsidP="00E115D8">
      <w:pPr>
        <w:spacing w:line="240" w:lineRule="auto"/>
        <w:rPr>
          <w:rFonts w:cs="Times New Roman"/>
          <w:b/>
          <w:szCs w:val="24"/>
          <w:lang w:val="en-GB"/>
        </w:rPr>
      </w:pPr>
      <w:r w:rsidRPr="00E115D8">
        <w:rPr>
          <w:rFonts w:cs="Times New Roman"/>
          <w:b/>
          <w:szCs w:val="24"/>
          <w:lang w:val="en-GB"/>
        </w:rPr>
        <w:t>Table 1</w:t>
      </w:r>
    </w:p>
    <w:p w14:paraId="28928F92" w14:textId="04B4B4A3" w:rsidR="00E115D8" w:rsidRDefault="00E115D8" w:rsidP="00E115D8">
      <w:pPr>
        <w:spacing w:line="240" w:lineRule="auto"/>
        <w:rPr>
          <w:rFonts w:cs="Times New Roman"/>
          <w:i/>
          <w:szCs w:val="24"/>
          <w:lang w:val="en-GB"/>
        </w:rPr>
      </w:pPr>
      <w:r w:rsidRPr="0019578B">
        <w:rPr>
          <w:rFonts w:cs="Times New Roman"/>
          <w:i/>
          <w:szCs w:val="24"/>
          <w:lang w:val="en-GB"/>
        </w:rPr>
        <w:t>Baseline Characteristics</w:t>
      </w:r>
    </w:p>
    <w:tbl>
      <w:tblPr>
        <w:tblW w:w="9080" w:type="dxa"/>
        <w:tblLook w:val="04A0" w:firstRow="1" w:lastRow="0" w:firstColumn="1" w:lastColumn="0" w:noHBand="0" w:noVBand="1"/>
      </w:tblPr>
      <w:tblGrid>
        <w:gridCol w:w="3000"/>
        <w:gridCol w:w="1831"/>
        <w:gridCol w:w="1832"/>
        <w:gridCol w:w="897"/>
        <w:gridCol w:w="1520"/>
      </w:tblGrid>
      <w:tr w:rsidR="00733FE1" w:rsidRPr="003A7F8B" w14:paraId="2BF68673" w14:textId="77777777" w:rsidTr="000F70EF">
        <w:trPr>
          <w:trHeight w:val="288"/>
        </w:trPr>
        <w:tc>
          <w:tcPr>
            <w:tcW w:w="3000" w:type="dxa"/>
            <w:tcBorders>
              <w:top w:val="single" w:sz="4" w:space="0" w:color="auto"/>
              <w:left w:val="nil"/>
              <w:bottom w:val="nil"/>
              <w:right w:val="nil"/>
            </w:tcBorders>
            <w:shd w:val="clear" w:color="auto" w:fill="auto"/>
            <w:noWrap/>
            <w:vAlign w:val="bottom"/>
            <w:hideMark/>
          </w:tcPr>
          <w:p w14:paraId="20A15B4C" w14:textId="36501BB6" w:rsidR="00733FE1" w:rsidRPr="003A7F8B" w:rsidRDefault="00733FE1" w:rsidP="003A7F8B">
            <w:pPr>
              <w:spacing w:after="0" w:line="240" w:lineRule="auto"/>
              <w:rPr>
                <w:rFonts w:eastAsia="Times New Roman" w:cs="Times New Roman"/>
                <w:color w:val="000000"/>
                <w:szCs w:val="24"/>
                <w:lang w:val="en-GB" w:eastAsia="en-GB"/>
              </w:rPr>
            </w:pPr>
          </w:p>
        </w:tc>
        <w:tc>
          <w:tcPr>
            <w:tcW w:w="3663" w:type="dxa"/>
            <w:gridSpan w:val="2"/>
            <w:tcBorders>
              <w:top w:val="single" w:sz="4" w:space="0" w:color="auto"/>
              <w:left w:val="nil"/>
              <w:bottom w:val="single" w:sz="4" w:space="0" w:color="auto"/>
              <w:right w:val="nil"/>
            </w:tcBorders>
            <w:vAlign w:val="bottom"/>
          </w:tcPr>
          <w:p w14:paraId="0D6A9815" w14:textId="73AC7CCF" w:rsidR="00733FE1" w:rsidRPr="003A7F8B" w:rsidRDefault="00733FE1" w:rsidP="00733FE1">
            <w:pPr>
              <w:spacing w:after="0" w:line="240" w:lineRule="auto"/>
              <w:jc w:val="center"/>
              <w:rPr>
                <w:rFonts w:eastAsia="Times New Roman" w:cs="Times New Roman"/>
                <w:color w:val="000000"/>
                <w:szCs w:val="24"/>
                <w:lang w:val="en-GB" w:eastAsia="en-GB"/>
              </w:rPr>
            </w:pPr>
            <w:r w:rsidRPr="003A7F8B">
              <w:rPr>
                <w:rFonts w:eastAsia="Times New Roman" w:cs="Times New Roman"/>
                <w:color w:val="000000"/>
                <w:szCs w:val="24"/>
                <w:lang w:val="en-GB" w:eastAsia="en-GB"/>
              </w:rPr>
              <w:t>Inflammation Status</w:t>
            </w:r>
          </w:p>
        </w:tc>
        <w:tc>
          <w:tcPr>
            <w:tcW w:w="897" w:type="dxa"/>
            <w:tcBorders>
              <w:top w:val="single" w:sz="4" w:space="0" w:color="auto"/>
              <w:left w:val="nil"/>
              <w:bottom w:val="nil"/>
              <w:right w:val="nil"/>
            </w:tcBorders>
            <w:vAlign w:val="bottom"/>
          </w:tcPr>
          <w:p w14:paraId="4D590890" w14:textId="58BD7AFF" w:rsidR="00733FE1" w:rsidRPr="003A7F8B" w:rsidRDefault="00733FE1" w:rsidP="003A7F8B">
            <w:pPr>
              <w:spacing w:after="0" w:line="240" w:lineRule="auto"/>
              <w:rPr>
                <w:rFonts w:eastAsia="Times New Roman" w:cs="Times New Roman"/>
                <w:color w:val="000000"/>
                <w:szCs w:val="24"/>
                <w:lang w:val="en-GB" w:eastAsia="en-GB"/>
              </w:rPr>
            </w:pPr>
          </w:p>
        </w:tc>
        <w:tc>
          <w:tcPr>
            <w:tcW w:w="1520" w:type="dxa"/>
            <w:tcBorders>
              <w:top w:val="single" w:sz="4" w:space="0" w:color="auto"/>
              <w:left w:val="nil"/>
              <w:bottom w:val="nil"/>
              <w:right w:val="nil"/>
            </w:tcBorders>
            <w:shd w:val="clear" w:color="auto" w:fill="auto"/>
            <w:noWrap/>
            <w:vAlign w:val="bottom"/>
          </w:tcPr>
          <w:p w14:paraId="693833A5" w14:textId="3A43DE8C" w:rsidR="00733FE1" w:rsidRPr="003A7F8B" w:rsidRDefault="00733FE1" w:rsidP="003A7F8B">
            <w:pPr>
              <w:spacing w:after="0" w:line="240" w:lineRule="auto"/>
              <w:rPr>
                <w:rFonts w:eastAsia="Times New Roman" w:cs="Times New Roman"/>
                <w:color w:val="000000"/>
                <w:szCs w:val="24"/>
                <w:lang w:val="en-GB" w:eastAsia="en-GB"/>
              </w:rPr>
            </w:pPr>
          </w:p>
        </w:tc>
      </w:tr>
      <w:tr w:rsidR="003A7F8B" w:rsidRPr="003A7F8B" w14:paraId="187DA306" w14:textId="77777777" w:rsidTr="00733FE1">
        <w:trPr>
          <w:trHeight w:val="288"/>
        </w:trPr>
        <w:tc>
          <w:tcPr>
            <w:tcW w:w="3000" w:type="dxa"/>
            <w:tcBorders>
              <w:top w:val="nil"/>
              <w:left w:val="nil"/>
              <w:bottom w:val="single" w:sz="4" w:space="0" w:color="auto"/>
              <w:right w:val="nil"/>
            </w:tcBorders>
            <w:shd w:val="clear" w:color="auto" w:fill="auto"/>
            <w:noWrap/>
            <w:vAlign w:val="bottom"/>
          </w:tcPr>
          <w:p w14:paraId="3F683002" w14:textId="42442C15"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Variable</w:t>
            </w:r>
          </w:p>
        </w:tc>
        <w:tc>
          <w:tcPr>
            <w:tcW w:w="1831" w:type="dxa"/>
            <w:tcBorders>
              <w:top w:val="single" w:sz="4" w:space="0" w:color="auto"/>
              <w:left w:val="nil"/>
              <w:bottom w:val="single" w:sz="4" w:space="0" w:color="auto"/>
              <w:right w:val="nil"/>
            </w:tcBorders>
            <w:vAlign w:val="bottom"/>
          </w:tcPr>
          <w:p w14:paraId="1B06A3C1" w14:textId="4C5C03B6"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Non-Inflamed</w:t>
            </w:r>
          </w:p>
        </w:tc>
        <w:tc>
          <w:tcPr>
            <w:tcW w:w="1832" w:type="dxa"/>
            <w:tcBorders>
              <w:top w:val="single" w:sz="4" w:space="0" w:color="auto"/>
              <w:left w:val="nil"/>
              <w:bottom w:val="single" w:sz="4" w:space="0" w:color="auto"/>
              <w:right w:val="nil"/>
            </w:tcBorders>
            <w:vAlign w:val="bottom"/>
          </w:tcPr>
          <w:p w14:paraId="68C4F396" w14:textId="01072E0B"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Inflamed</w:t>
            </w:r>
          </w:p>
        </w:tc>
        <w:tc>
          <w:tcPr>
            <w:tcW w:w="897" w:type="dxa"/>
            <w:tcBorders>
              <w:top w:val="nil"/>
              <w:left w:val="nil"/>
              <w:bottom w:val="single" w:sz="4" w:space="0" w:color="auto"/>
              <w:right w:val="nil"/>
            </w:tcBorders>
            <w:vAlign w:val="bottom"/>
          </w:tcPr>
          <w:p w14:paraId="66C19E7A" w14:textId="0B7E1612"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P</w:t>
            </w:r>
            <w:r w:rsidRPr="003A7F8B">
              <w:rPr>
                <w:rFonts w:eastAsia="Times New Roman" w:cs="Times New Roman"/>
                <w:color w:val="000000"/>
                <w:szCs w:val="24"/>
                <w:vertAlign w:val="superscript"/>
                <w:lang w:val="en-GB" w:eastAsia="en-GB"/>
              </w:rPr>
              <w:t>a</w:t>
            </w:r>
          </w:p>
        </w:tc>
        <w:tc>
          <w:tcPr>
            <w:tcW w:w="1520" w:type="dxa"/>
            <w:tcBorders>
              <w:top w:val="nil"/>
              <w:left w:val="nil"/>
              <w:bottom w:val="single" w:sz="4" w:space="0" w:color="auto"/>
              <w:right w:val="nil"/>
            </w:tcBorders>
            <w:shd w:val="clear" w:color="auto" w:fill="auto"/>
            <w:noWrap/>
            <w:vAlign w:val="bottom"/>
          </w:tcPr>
          <w:p w14:paraId="2CE9981F" w14:textId="7F215B3F"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Total</w:t>
            </w:r>
          </w:p>
        </w:tc>
      </w:tr>
      <w:tr w:rsidR="003A7F8B" w:rsidRPr="003A7F8B" w14:paraId="5214E020" w14:textId="77777777" w:rsidTr="00733FE1">
        <w:trPr>
          <w:trHeight w:val="288"/>
        </w:trPr>
        <w:tc>
          <w:tcPr>
            <w:tcW w:w="3000" w:type="dxa"/>
            <w:tcBorders>
              <w:top w:val="single" w:sz="4" w:space="0" w:color="auto"/>
              <w:left w:val="nil"/>
              <w:right w:val="nil"/>
            </w:tcBorders>
            <w:shd w:val="clear" w:color="auto" w:fill="auto"/>
            <w:noWrap/>
            <w:vAlign w:val="bottom"/>
            <w:hideMark/>
          </w:tcPr>
          <w:p w14:paraId="2B90AD71" w14:textId="3D2FD76B"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N</w:t>
            </w:r>
          </w:p>
        </w:tc>
        <w:tc>
          <w:tcPr>
            <w:tcW w:w="1831" w:type="dxa"/>
            <w:tcBorders>
              <w:top w:val="single" w:sz="4" w:space="0" w:color="auto"/>
              <w:left w:val="nil"/>
              <w:right w:val="nil"/>
            </w:tcBorders>
            <w:vAlign w:val="bottom"/>
          </w:tcPr>
          <w:p w14:paraId="012DC28B" w14:textId="6DAC6826"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74 (64.9%)</w:t>
            </w:r>
          </w:p>
        </w:tc>
        <w:tc>
          <w:tcPr>
            <w:tcW w:w="1832" w:type="dxa"/>
            <w:tcBorders>
              <w:top w:val="single" w:sz="4" w:space="0" w:color="auto"/>
              <w:left w:val="nil"/>
              <w:right w:val="nil"/>
            </w:tcBorders>
            <w:vAlign w:val="bottom"/>
          </w:tcPr>
          <w:p w14:paraId="538CF216" w14:textId="055E39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40 (35.1%)</w:t>
            </w:r>
          </w:p>
        </w:tc>
        <w:tc>
          <w:tcPr>
            <w:tcW w:w="897" w:type="dxa"/>
            <w:tcBorders>
              <w:top w:val="single" w:sz="4" w:space="0" w:color="auto"/>
              <w:left w:val="nil"/>
              <w:right w:val="nil"/>
            </w:tcBorders>
            <w:vAlign w:val="bottom"/>
          </w:tcPr>
          <w:p w14:paraId="61301A8C"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single" w:sz="4" w:space="0" w:color="auto"/>
              <w:left w:val="nil"/>
              <w:right w:val="nil"/>
            </w:tcBorders>
            <w:shd w:val="clear" w:color="auto" w:fill="auto"/>
            <w:noWrap/>
            <w:vAlign w:val="bottom"/>
            <w:hideMark/>
          </w:tcPr>
          <w:p w14:paraId="685A935A" w14:textId="32452950"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114 (100%)</w:t>
            </w:r>
          </w:p>
        </w:tc>
      </w:tr>
      <w:tr w:rsidR="003A7F8B" w:rsidRPr="003A7F8B" w14:paraId="73F6BF52" w14:textId="77777777" w:rsidTr="00733FE1">
        <w:trPr>
          <w:trHeight w:val="288"/>
        </w:trPr>
        <w:tc>
          <w:tcPr>
            <w:tcW w:w="3000" w:type="dxa"/>
            <w:tcBorders>
              <w:left w:val="nil"/>
              <w:bottom w:val="nil"/>
              <w:right w:val="nil"/>
            </w:tcBorders>
            <w:shd w:val="clear" w:color="auto" w:fill="auto"/>
            <w:noWrap/>
            <w:vAlign w:val="bottom"/>
          </w:tcPr>
          <w:p w14:paraId="5863C6D3" w14:textId="7FA32B3A"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Sex</w:t>
            </w:r>
          </w:p>
        </w:tc>
        <w:tc>
          <w:tcPr>
            <w:tcW w:w="1831" w:type="dxa"/>
            <w:tcBorders>
              <w:left w:val="nil"/>
              <w:bottom w:val="nil"/>
              <w:right w:val="nil"/>
            </w:tcBorders>
            <w:vAlign w:val="bottom"/>
          </w:tcPr>
          <w:p w14:paraId="06CF81D8"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832" w:type="dxa"/>
            <w:tcBorders>
              <w:left w:val="nil"/>
              <w:bottom w:val="nil"/>
              <w:right w:val="nil"/>
            </w:tcBorders>
            <w:vAlign w:val="bottom"/>
          </w:tcPr>
          <w:p w14:paraId="61B4F23D"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897" w:type="dxa"/>
            <w:tcBorders>
              <w:left w:val="nil"/>
              <w:bottom w:val="nil"/>
              <w:right w:val="nil"/>
            </w:tcBorders>
            <w:vAlign w:val="bottom"/>
          </w:tcPr>
          <w:p w14:paraId="75BE05E5"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left w:val="nil"/>
              <w:bottom w:val="nil"/>
              <w:right w:val="nil"/>
            </w:tcBorders>
            <w:shd w:val="clear" w:color="auto" w:fill="auto"/>
            <w:noWrap/>
            <w:vAlign w:val="bottom"/>
          </w:tcPr>
          <w:p w14:paraId="15F50613" w14:textId="77777777" w:rsidR="003A7F8B" w:rsidRPr="003A7F8B" w:rsidRDefault="003A7F8B" w:rsidP="003A7F8B">
            <w:pPr>
              <w:spacing w:after="0" w:line="240" w:lineRule="auto"/>
              <w:rPr>
                <w:rFonts w:eastAsia="Times New Roman" w:cs="Times New Roman"/>
                <w:color w:val="000000"/>
                <w:szCs w:val="24"/>
                <w:lang w:val="en-GB" w:eastAsia="en-GB"/>
              </w:rPr>
            </w:pPr>
          </w:p>
        </w:tc>
      </w:tr>
      <w:tr w:rsidR="003A7F8B" w:rsidRPr="003A7F8B" w14:paraId="630716D3" w14:textId="77777777" w:rsidTr="00733FE1">
        <w:trPr>
          <w:trHeight w:val="288"/>
        </w:trPr>
        <w:tc>
          <w:tcPr>
            <w:tcW w:w="3000" w:type="dxa"/>
            <w:tcBorders>
              <w:top w:val="nil"/>
              <w:left w:val="nil"/>
              <w:bottom w:val="nil"/>
              <w:right w:val="nil"/>
            </w:tcBorders>
            <w:shd w:val="clear" w:color="auto" w:fill="auto"/>
            <w:noWrap/>
            <w:vAlign w:val="bottom"/>
            <w:hideMark/>
          </w:tcPr>
          <w:p w14:paraId="05E6FB21" w14:textId="4F25DA29"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w:t>
            </w:r>
            <w:r w:rsidR="00A048E7">
              <w:rPr>
                <w:rFonts w:eastAsia="Times New Roman" w:cs="Times New Roman"/>
                <w:color w:val="000000"/>
                <w:szCs w:val="24"/>
                <w:lang w:val="en-GB" w:eastAsia="en-GB"/>
              </w:rPr>
              <w:t>F</w:t>
            </w:r>
            <w:r w:rsidRPr="003A7F8B">
              <w:rPr>
                <w:rFonts w:eastAsia="Times New Roman" w:cs="Times New Roman"/>
                <w:color w:val="000000"/>
                <w:szCs w:val="24"/>
                <w:lang w:val="en-GB" w:eastAsia="en-GB"/>
              </w:rPr>
              <w:t>emale</w:t>
            </w:r>
          </w:p>
        </w:tc>
        <w:tc>
          <w:tcPr>
            <w:tcW w:w="1831" w:type="dxa"/>
            <w:tcBorders>
              <w:top w:val="nil"/>
              <w:left w:val="nil"/>
              <w:bottom w:val="nil"/>
              <w:right w:val="nil"/>
            </w:tcBorders>
            <w:vAlign w:val="bottom"/>
          </w:tcPr>
          <w:p w14:paraId="34392EB1" w14:textId="11B65B2F"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35 (47.3%)</w:t>
            </w:r>
          </w:p>
        </w:tc>
        <w:tc>
          <w:tcPr>
            <w:tcW w:w="1832" w:type="dxa"/>
            <w:tcBorders>
              <w:top w:val="nil"/>
              <w:left w:val="nil"/>
              <w:bottom w:val="nil"/>
              <w:right w:val="nil"/>
            </w:tcBorders>
            <w:vAlign w:val="bottom"/>
          </w:tcPr>
          <w:p w14:paraId="10C10908" w14:textId="1BD4D44C"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25 (62.5%)</w:t>
            </w:r>
          </w:p>
        </w:tc>
        <w:tc>
          <w:tcPr>
            <w:tcW w:w="897" w:type="dxa"/>
            <w:tcBorders>
              <w:top w:val="nil"/>
              <w:left w:val="nil"/>
              <w:bottom w:val="nil"/>
              <w:right w:val="nil"/>
            </w:tcBorders>
            <w:vAlign w:val="bottom"/>
          </w:tcPr>
          <w:p w14:paraId="58842B61"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093CC9C1" w14:textId="0D774906"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60 (52.63%)</w:t>
            </w:r>
          </w:p>
        </w:tc>
      </w:tr>
      <w:tr w:rsidR="003A7F8B" w:rsidRPr="003A7F8B" w14:paraId="3AA27081" w14:textId="77777777" w:rsidTr="00733FE1">
        <w:trPr>
          <w:trHeight w:val="288"/>
        </w:trPr>
        <w:tc>
          <w:tcPr>
            <w:tcW w:w="3000" w:type="dxa"/>
            <w:tcBorders>
              <w:top w:val="nil"/>
              <w:left w:val="nil"/>
              <w:bottom w:val="nil"/>
              <w:right w:val="nil"/>
            </w:tcBorders>
            <w:shd w:val="clear" w:color="auto" w:fill="auto"/>
            <w:noWrap/>
            <w:vAlign w:val="bottom"/>
            <w:hideMark/>
          </w:tcPr>
          <w:p w14:paraId="22037F56" w14:textId="7F0032E1"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w:t>
            </w:r>
            <w:r w:rsidR="00A048E7">
              <w:rPr>
                <w:rFonts w:eastAsia="Times New Roman" w:cs="Times New Roman"/>
                <w:color w:val="000000"/>
                <w:szCs w:val="24"/>
                <w:lang w:val="en-GB" w:eastAsia="en-GB"/>
              </w:rPr>
              <w:t>M</w:t>
            </w:r>
            <w:r w:rsidRPr="003A7F8B">
              <w:rPr>
                <w:rFonts w:eastAsia="Times New Roman" w:cs="Times New Roman"/>
                <w:color w:val="000000"/>
                <w:szCs w:val="24"/>
                <w:lang w:val="en-GB" w:eastAsia="en-GB"/>
              </w:rPr>
              <w:t>ale</w:t>
            </w:r>
          </w:p>
        </w:tc>
        <w:tc>
          <w:tcPr>
            <w:tcW w:w="1831" w:type="dxa"/>
            <w:tcBorders>
              <w:top w:val="nil"/>
              <w:left w:val="nil"/>
              <w:bottom w:val="nil"/>
              <w:right w:val="nil"/>
            </w:tcBorders>
            <w:vAlign w:val="bottom"/>
          </w:tcPr>
          <w:p w14:paraId="31BFF6D2" w14:textId="4EE12041"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39 (52.7%)</w:t>
            </w:r>
          </w:p>
        </w:tc>
        <w:tc>
          <w:tcPr>
            <w:tcW w:w="1832" w:type="dxa"/>
            <w:tcBorders>
              <w:top w:val="nil"/>
              <w:left w:val="nil"/>
              <w:bottom w:val="nil"/>
              <w:right w:val="nil"/>
            </w:tcBorders>
            <w:vAlign w:val="bottom"/>
          </w:tcPr>
          <w:p w14:paraId="2C6CA484" w14:textId="2D9F43BE"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15 (37.5%)</w:t>
            </w:r>
          </w:p>
        </w:tc>
        <w:tc>
          <w:tcPr>
            <w:tcW w:w="897" w:type="dxa"/>
            <w:tcBorders>
              <w:top w:val="nil"/>
              <w:left w:val="nil"/>
              <w:bottom w:val="nil"/>
              <w:right w:val="nil"/>
            </w:tcBorders>
            <w:vAlign w:val="bottom"/>
          </w:tcPr>
          <w:p w14:paraId="5EF027B4" w14:textId="3D08FD24"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0.175</w:t>
            </w:r>
          </w:p>
        </w:tc>
        <w:tc>
          <w:tcPr>
            <w:tcW w:w="1520" w:type="dxa"/>
            <w:tcBorders>
              <w:top w:val="nil"/>
              <w:left w:val="nil"/>
              <w:bottom w:val="nil"/>
              <w:right w:val="nil"/>
            </w:tcBorders>
            <w:shd w:val="clear" w:color="auto" w:fill="auto"/>
            <w:noWrap/>
            <w:vAlign w:val="bottom"/>
            <w:hideMark/>
          </w:tcPr>
          <w:p w14:paraId="7B38C22E" w14:textId="61812046"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54 (47.37%)</w:t>
            </w:r>
          </w:p>
        </w:tc>
      </w:tr>
      <w:tr w:rsidR="003A7F8B" w:rsidRPr="003A7F8B" w14:paraId="72784ECB" w14:textId="77777777" w:rsidTr="00733FE1">
        <w:trPr>
          <w:trHeight w:val="288"/>
        </w:trPr>
        <w:tc>
          <w:tcPr>
            <w:tcW w:w="3000" w:type="dxa"/>
            <w:tcBorders>
              <w:top w:val="nil"/>
              <w:left w:val="nil"/>
              <w:bottom w:val="nil"/>
              <w:right w:val="nil"/>
            </w:tcBorders>
            <w:shd w:val="clear" w:color="auto" w:fill="auto"/>
            <w:noWrap/>
            <w:vAlign w:val="bottom"/>
            <w:hideMark/>
          </w:tcPr>
          <w:p w14:paraId="04C2DCFC"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Missing (%)</w:t>
            </w:r>
          </w:p>
        </w:tc>
        <w:tc>
          <w:tcPr>
            <w:tcW w:w="1831" w:type="dxa"/>
            <w:tcBorders>
              <w:top w:val="nil"/>
              <w:left w:val="nil"/>
              <w:bottom w:val="nil"/>
              <w:right w:val="nil"/>
            </w:tcBorders>
            <w:vAlign w:val="bottom"/>
          </w:tcPr>
          <w:p w14:paraId="55E4E4D1" w14:textId="51F6999A"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0 (0%)</w:t>
            </w:r>
          </w:p>
        </w:tc>
        <w:tc>
          <w:tcPr>
            <w:tcW w:w="1832" w:type="dxa"/>
            <w:tcBorders>
              <w:top w:val="nil"/>
              <w:left w:val="nil"/>
              <w:bottom w:val="nil"/>
              <w:right w:val="nil"/>
            </w:tcBorders>
            <w:vAlign w:val="bottom"/>
          </w:tcPr>
          <w:p w14:paraId="492AFA72" w14:textId="7C6F9104"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0 (0%)</w:t>
            </w:r>
          </w:p>
        </w:tc>
        <w:tc>
          <w:tcPr>
            <w:tcW w:w="897" w:type="dxa"/>
            <w:tcBorders>
              <w:top w:val="nil"/>
              <w:left w:val="nil"/>
              <w:bottom w:val="nil"/>
              <w:right w:val="nil"/>
            </w:tcBorders>
            <w:vAlign w:val="bottom"/>
          </w:tcPr>
          <w:p w14:paraId="10D6BD0F" w14:textId="013EFA91"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42A4540A" w14:textId="3E3016BB"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0 (0%)</w:t>
            </w:r>
          </w:p>
        </w:tc>
      </w:tr>
      <w:tr w:rsidR="003A7F8B" w:rsidRPr="003A7F8B" w14:paraId="3EC2BFCF" w14:textId="77777777" w:rsidTr="00733FE1">
        <w:trPr>
          <w:trHeight w:val="288"/>
        </w:trPr>
        <w:tc>
          <w:tcPr>
            <w:tcW w:w="3000" w:type="dxa"/>
            <w:tcBorders>
              <w:top w:val="nil"/>
              <w:left w:val="nil"/>
              <w:bottom w:val="nil"/>
              <w:right w:val="nil"/>
            </w:tcBorders>
            <w:shd w:val="clear" w:color="auto" w:fill="auto"/>
            <w:noWrap/>
            <w:vAlign w:val="bottom"/>
            <w:hideMark/>
          </w:tcPr>
          <w:p w14:paraId="0C73C446"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Age</w:t>
            </w:r>
          </w:p>
        </w:tc>
        <w:tc>
          <w:tcPr>
            <w:tcW w:w="1831" w:type="dxa"/>
            <w:tcBorders>
              <w:top w:val="nil"/>
              <w:left w:val="nil"/>
              <w:bottom w:val="nil"/>
              <w:right w:val="nil"/>
            </w:tcBorders>
            <w:vAlign w:val="bottom"/>
          </w:tcPr>
          <w:p w14:paraId="70371C07"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832" w:type="dxa"/>
            <w:tcBorders>
              <w:top w:val="nil"/>
              <w:left w:val="nil"/>
              <w:bottom w:val="nil"/>
              <w:right w:val="nil"/>
            </w:tcBorders>
            <w:vAlign w:val="bottom"/>
          </w:tcPr>
          <w:p w14:paraId="0D3B3E85"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897" w:type="dxa"/>
            <w:tcBorders>
              <w:top w:val="nil"/>
              <w:left w:val="nil"/>
              <w:bottom w:val="nil"/>
              <w:right w:val="nil"/>
            </w:tcBorders>
            <w:vAlign w:val="bottom"/>
          </w:tcPr>
          <w:p w14:paraId="34DA1F1A"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503D7517" w14:textId="191FB388" w:rsidR="003A7F8B" w:rsidRPr="003A7F8B" w:rsidRDefault="003A7F8B" w:rsidP="003A7F8B">
            <w:pPr>
              <w:spacing w:after="0" w:line="240" w:lineRule="auto"/>
              <w:rPr>
                <w:rFonts w:eastAsia="Times New Roman" w:cs="Times New Roman"/>
                <w:color w:val="000000"/>
                <w:szCs w:val="24"/>
                <w:lang w:val="en-GB" w:eastAsia="en-GB"/>
              </w:rPr>
            </w:pPr>
          </w:p>
        </w:tc>
      </w:tr>
      <w:tr w:rsidR="003A7F8B" w:rsidRPr="003A7F8B" w14:paraId="61ACFF78" w14:textId="77777777" w:rsidTr="00733FE1">
        <w:trPr>
          <w:trHeight w:val="288"/>
        </w:trPr>
        <w:tc>
          <w:tcPr>
            <w:tcW w:w="3000" w:type="dxa"/>
            <w:tcBorders>
              <w:top w:val="nil"/>
              <w:left w:val="nil"/>
              <w:bottom w:val="nil"/>
              <w:right w:val="nil"/>
            </w:tcBorders>
            <w:shd w:val="clear" w:color="auto" w:fill="auto"/>
            <w:noWrap/>
            <w:vAlign w:val="bottom"/>
            <w:hideMark/>
          </w:tcPr>
          <w:p w14:paraId="50453394"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Mean (SD)</w:t>
            </w:r>
          </w:p>
        </w:tc>
        <w:tc>
          <w:tcPr>
            <w:tcW w:w="1831" w:type="dxa"/>
            <w:tcBorders>
              <w:top w:val="nil"/>
              <w:left w:val="nil"/>
              <w:bottom w:val="nil"/>
              <w:right w:val="nil"/>
            </w:tcBorders>
            <w:vAlign w:val="bottom"/>
          </w:tcPr>
          <w:p w14:paraId="140BAEF2" w14:textId="362A38EB"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41.3 (13.92)</w:t>
            </w:r>
          </w:p>
        </w:tc>
        <w:tc>
          <w:tcPr>
            <w:tcW w:w="1832" w:type="dxa"/>
            <w:tcBorders>
              <w:top w:val="nil"/>
              <w:left w:val="nil"/>
              <w:bottom w:val="nil"/>
              <w:right w:val="nil"/>
            </w:tcBorders>
            <w:vAlign w:val="bottom"/>
          </w:tcPr>
          <w:p w14:paraId="1F43430C" w14:textId="0CD6580E"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45.4 (12.77)</w:t>
            </w:r>
          </w:p>
        </w:tc>
        <w:tc>
          <w:tcPr>
            <w:tcW w:w="897" w:type="dxa"/>
            <w:tcBorders>
              <w:top w:val="nil"/>
              <w:left w:val="nil"/>
              <w:bottom w:val="nil"/>
              <w:right w:val="nil"/>
            </w:tcBorders>
            <w:vAlign w:val="bottom"/>
          </w:tcPr>
          <w:p w14:paraId="726FE19F"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09D88445" w14:textId="2EE7F76C"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42.74 (13.62)</w:t>
            </w:r>
          </w:p>
        </w:tc>
      </w:tr>
      <w:tr w:rsidR="003A7F8B" w:rsidRPr="003A7F8B" w14:paraId="43566EDF" w14:textId="77777777" w:rsidTr="00733FE1">
        <w:trPr>
          <w:trHeight w:val="288"/>
        </w:trPr>
        <w:tc>
          <w:tcPr>
            <w:tcW w:w="3000" w:type="dxa"/>
            <w:tcBorders>
              <w:top w:val="nil"/>
              <w:left w:val="nil"/>
              <w:bottom w:val="nil"/>
              <w:right w:val="nil"/>
            </w:tcBorders>
            <w:shd w:val="clear" w:color="auto" w:fill="auto"/>
            <w:noWrap/>
            <w:vAlign w:val="bottom"/>
            <w:hideMark/>
          </w:tcPr>
          <w:p w14:paraId="44D17D27"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Median (IQR)</w:t>
            </w:r>
          </w:p>
        </w:tc>
        <w:tc>
          <w:tcPr>
            <w:tcW w:w="1831" w:type="dxa"/>
            <w:tcBorders>
              <w:top w:val="nil"/>
              <w:left w:val="nil"/>
              <w:bottom w:val="nil"/>
              <w:right w:val="nil"/>
            </w:tcBorders>
            <w:vAlign w:val="bottom"/>
          </w:tcPr>
          <w:p w14:paraId="4085C94E" w14:textId="15FCCBE8"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42.5 (29-52)</w:t>
            </w:r>
          </w:p>
        </w:tc>
        <w:tc>
          <w:tcPr>
            <w:tcW w:w="1832" w:type="dxa"/>
            <w:tcBorders>
              <w:top w:val="nil"/>
              <w:left w:val="nil"/>
              <w:bottom w:val="nil"/>
              <w:right w:val="nil"/>
            </w:tcBorders>
            <w:vAlign w:val="bottom"/>
          </w:tcPr>
          <w:p w14:paraId="67887AB8" w14:textId="1E274D50"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48.5 (35.25-55)</w:t>
            </w:r>
          </w:p>
        </w:tc>
        <w:tc>
          <w:tcPr>
            <w:tcW w:w="897" w:type="dxa"/>
            <w:tcBorders>
              <w:top w:val="nil"/>
              <w:left w:val="nil"/>
              <w:bottom w:val="nil"/>
              <w:right w:val="nil"/>
            </w:tcBorders>
            <w:vAlign w:val="bottom"/>
          </w:tcPr>
          <w:p w14:paraId="79D8C652" w14:textId="1CE42958"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0.125</w:t>
            </w:r>
          </w:p>
        </w:tc>
        <w:tc>
          <w:tcPr>
            <w:tcW w:w="1520" w:type="dxa"/>
            <w:tcBorders>
              <w:top w:val="nil"/>
              <w:left w:val="nil"/>
              <w:bottom w:val="nil"/>
              <w:right w:val="nil"/>
            </w:tcBorders>
            <w:shd w:val="clear" w:color="auto" w:fill="auto"/>
            <w:noWrap/>
            <w:vAlign w:val="bottom"/>
            <w:hideMark/>
          </w:tcPr>
          <w:p w14:paraId="33BB23D9" w14:textId="492F8ECA"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44 (30-53)</w:t>
            </w:r>
          </w:p>
        </w:tc>
      </w:tr>
      <w:tr w:rsidR="003A7F8B" w:rsidRPr="003A7F8B" w14:paraId="37DF4B62" w14:textId="77777777" w:rsidTr="00733FE1">
        <w:trPr>
          <w:trHeight w:val="288"/>
        </w:trPr>
        <w:tc>
          <w:tcPr>
            <w:tcW w:w="3000" w:type="dxa"/>
            <w:tcBorders>
              <w:top w:val="nil"/>
              <w:left w:val="nil"/>
              <w:bottom w:val="nil"/>
              <w:right w:val="nil"/>
            </w:tcBorders>
            <w:shd w:val="clear" w:color="auto" w:fill="auto"/>
            <w:noWrap/>
            <w:vAlign w:val="bottom"/>
            <w:hideMark/>
          </w:tcPr>
          <w:p w14:paraId="65E844D0"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Missing (%)</w:t>
            </w:r>
          </w:p>
        </w:tc>
        <w:tc>
          <w:tcPr>
            <w:tcW w:w="1831" w:type="dxa"/>
            <w:tcBorders>
              <w:top w:val="nil"/>
              <w:left w:val="nil"/>
              <w:bottom w:val="nil"/>
              <w:right w:val="nil"/>
            </w:tcBorders>
            <w:vAlign w:val="bottom"/>
          </w:tcPr>
          <w:p w14:paraId="2568A820" w14:textId="64CDBB38"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0 (0%)</w:t>
            </w:r>
          </w:p>
        </w:tc>
        <w:tc>
          <w:tcPr>
            <w:tcW w:w="1832" w:type="dxa"/>
            <w:tcBorders>
              <w:top w:val="nil"/>
              <w:left w:val="nil"/>
              <w:bottom w:val="nil"/>
              <w:right w:val="nil"/>
            </w:tcBorders>
            <w:vAlign w:val="bottom"/>
          </w:tcPr>
          <w:p w14:paraId="3B06A1B3" w14:textId="43944649"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0 (0%)</w:t>
            </w:r>
          </w:p>
        </w:tc>
        <w:tc>
          <w:tcPr>
            <w:tcW w:w="897" w:type="dxa"/>
            <w:tcBorders>
              <w:top w:val="nil"/>
              <w:left w:val="nil"/>
              <w:bottom w:val="nil"/>
              <w:right w:val="nil"/>
            </w:tcBorders>
            <w:vAlign w:val="bottom"/>
          </w:tcPr>
          <w:p w14:paraId="08763436" w14:textId="681F4099"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1AA4DDAB" w14:textId="0C3D440F"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0 (0%)</w:t>
            </w:r>
          </w:p>
        </w:tc>
      </w:tr>
      <w:tr w:rsidR="003A7F8B" w:rsidRPr="003A7F8B" w14:paraId="41D2A4F6" w14:textId="77777777" w:rsidTr="00733FE1">
        <w:trPr>
          <w:trHeight w:val="288"/>
        </w:trPr>
        <w:tc>
          <w:tcPr>
            <w:tcW w:w="3000" w:type="dxa"/>
            <w:tcBorders>
              <w:top w:val="nil"/>
              <w:left w:val="nil"/>
              <w:bottom w:val="nil"/>
              <w:right w:val="nil"/>
            </w:tcBorders>
            <w:shd w:val="clear" w:color="auto" w:fill="auto"/>
            <w:noWrap/>
            <w:vAlign w:val="bottom"/>
            <w:hideMark/>
          </w:tcPr>
          <w:p w14:paraId="0C5BBC28"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Social class</w:t>
            </w:r>
          </w:p>
        </w:tc>
        <w:tc>
          <w:tcPr>
            <w:tcW w:w="1831" w:type="dxa"/>
            <w:tcBorders>
              <w:top w:val="nil"/>
              <w:left w:val="nil"/>
              <w:bottom w:val="nil"/>
              <w:right w:val="nil"/>
            </w:tcBorders>
            <w:vAlign w:val="bottom"/>
          </w:tcPr>
          <w:p w14:paraId="3C1B6717"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832" w:type="dxa"/>
            <w:tcBorders>
              <w:top w:val="nil"/>
              <w:left w:val="nil"/>
              <w:bottom w:val="nil"/>
              <w:right w:val="nil"/>
            </w:tcBorders>
            <w:vAlign w:val="bottom"/>
          </w:tcPr>
          <w:p w14:paraId="024EB8EC"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897" w:type="dxa"/>
            <w:tcBorders>
              <w:top w:val="nil"/>
              <w:left w:val="nil"/>
              <w:bottom w:val="nil"/>
              <w:right w:val="nil"/>
            </w:tcBorders>
            <w:vAlign w:val="bottom"/>
          </w:tcPr>
          <w:p w14:paraId="2118E7DD"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364DFDEF" w14:textId="39BDA979" w:rsidR="003A7F8B" w:rsidRPr="003A7F8B" w:rsidRDefault="003A7F8B" w:rsidP="003A7F8B">
            <w:pPr>
              <w:spacing w:after="0" w:line="240" w:lineRule="auto"/>
              <w:rPr>
                <w:rFonts w:eastAsia="Times New Roman" w:cs="Times New Roman"/>
                <w:color w:val="000000"/>
                <w:szCs w:val="24"/>
                <w:lang w:val="en-GB" w:eastAsia="en-GB"/>
              </w:rPr>
            </w:pPr>
          </w:p>
        </w:tc>
      </w:tr>
      <w:tr w:rsidR="003A7F8B" w:rsidRPr="003A7F8B" w14:paraId="30FF708B" w14:textId="77777777" w:rsidTr="00733FE1">
        <w:trPr>
          <w:trHeight w:val="288"/>
        </w:trPr>
        <w:tc>
          <w:tcPr>
            <w:tcW w:w="3000" w:type="dxa"/>
            <w:tcBorders>
              <w:top w:val="nil"/>
              <w:left w:val="nil"/>
              <w:bottom w:val="nil"/>
              <w:right w:val="nil"/>
            </w:tcBorders>
            <w:shd w:val="clear" w:color="auto" w:fill="auto"/>
            <w:noWrap/>
            <w:vAlign w:val="bottom"/>
            <w:hideMark/>
          </w:tcPr>
          <w:p w14:paraId="490F51F3"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lower-class</w:t>
            </w:r>
          </w:p>
        </w:tc>
        <w:tc>
          <w:tcPr>
            <w:tcW w:w="1831" w:type="dxa"/>
            <w:tcBorders>
              <w:top w:val="nil"/>
              <w:left w:val="nil"/>
              <w:bottom w:val="nil"/>
              <w:right w:val="nil"/>
            </w:tcBorders>
            <w:vAlign w:val="bottom"/>
          </w:tcPr>
          <w:p w14:paraId="02E72B3F" w14:textId="39BD4B26"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11 (14.86%)</w:t>
            </w:r>
          </w:p>
        </w:tc>
        <w:tc>
          <w:tcPr>
            <w:tcW w:w="1832" w:type="dxa"/>
            <w:tcBorders>
              <w:top w:val="nil"/>
              <w:left w:val="nil"/>
              <w:bottom w:val="nil"/>
              <w:right w:val="nil"/>
            </w:tcBorders>
            <w:vAlign w:val="bottom"/>
          </w:tcPr>
          <w:p w14:paraId="7972CE4C" w14:textId="2DF8C972"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7 (17.5%)</w:t>
            </w:r>
          </w:p>
        </w:tc>
        <w:tc>
          <w:tcPr>
            <w:tcW w:w="897" w:type="dxa"/>
            <w:tcBorders>
              <w:top w:val="nil"/>
              <w:left w:val="nil"/>
              <w:bottom w:val="nil"/>
              <w:right w:val="nil"/>
            </w:tcBorders>
            <w:vAlign w:val="bottom"/>
          </w:tcPr>
          <w:p w14:paraId="44614594"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6BC7B649" w14:textId="5383D09E"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5 (4.39%)</w:t>
            </w:r>
          </w:p>
        </w:tc>
      </w:tr>
      <w:tr w:rsidR="003A7F8B" w:rsidRPr="003A7F8B" w14:paraId="63AE4D5C" w14:textId="77777777" w:rsidTr="00733FE1">
        <w:trPr>
          <w:trHeight w:val="288"/>
        </w:trPr>
        <w:tc>
          <w:tcPr>
            <w:tcW w:w="3000" w:type="dxa"/>
            <w:tcBorders>
              <w:top w:val="nil"/>
              <w:left w:val="nil"/>
              <w:bottom w:val="nil"/>
              <w:right w:val="nil"/>
            </w:tcBorders>
            <w:shd w:val="clear" w:color="auto" w:fill="auto"/>
            <w:noWrap/>
            <w:vAlign w:val="bottom"/>
            <w:hideMark/>
          </w:tcPr>
          <w:p w14:paraId="528D4E86"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lower middle-class</w:t>
            </w:r>
          </w:p>
        </w:tc>
        <w:tc>
          <w:tcPr>
            <w:tcW w:w="1831" w:type="dxa"/>
            <w:tcBorders>
              <w:top w:val="nil"/>
              <w:left w:val="nil"/>
              <w:bottom w:val="nil"/>
              <w:right w:val="nil"/>
            </w:tcBorders>
            <w:vAlign w:val="bottom"/>
          </w:tcPr>
          <w:p w14:paraId="24ADCA31" w14:textId="3C54EFAF"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21 (28.38%)</w:t>
            </w:r>
          </w:p>
        </w:tc>
        <w:tc>
          <w:tcPr>
            <w:tcW w:w="1832" w:type="dxa"/>
            <w:tcBorders>
              <w:top w:val="nil"/>
              <w:left w:val="nil"/>
              <w:bottom w:val="nil"/>
              <w:right w:val="nil"/>
            </w:tcBorders>
            <w:vAlign w:val="bottom"/>
          </w:tcPr>
          <w:p w14:paraId="3A3272D2" w14:textId="217BDB2D"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13 (32.5%)</w:t>
            </w:r>
          </w:p>
        </w:tc>
        <w:tc>
          <w:tcPr>
            <w:tcW w:w="897" w:type="dxa"/>
            <w:tcBorders>
              <w:top w:val="nil"/>
              <w:left w:val="nil"/>
              <w:bottom w:val="nil"/>
              <w:right w:val="nil"/>
            </w:tcBorders>
            <w:vAlign w:val="bottom"/>
          </w:tcPr>
          <w:p w14:paraId="3C6BC4E5"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120A5634" w14:textId="62B71502"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21 (18.42%)</w:t>
            </w:r>
          </w:p>
        </w:tc>
      </w:tr>
      <w:tr w:rsidR="003A7F8B" w:rsidRPr="003A7F8B" w14:paraId="2F97F4BF" w14:textId="77777777" w:rsidTr="00733FE1">
        <w:trPr>
          <w:trHeight w:val="288"/>
        </w:trPr>
        <w:tc>
          <w:tcPr>
            <w:tcW w:w="3000" w:type="dxa"/>
            <w:tcBorders>
              <w:top w:val="nil"/>
              <w:left w:val="nil"/>
              <w:bottom w:val="nil"/>
              <w:right w:val="nil"/>
            </w:tcBorders>
            <w:shd w:val="clear" w:color="auto" w:fill="auto"/>
            <w:noWrap/>
            <w:vAlign w:val="bottom"/>
            <w:hideMark/>
          </w:tcPr>
          <w:p w14:paraId="30DABE21"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middle middle-class</w:t>
            </w:r>
          </w:p>
        </w:tc>
        <w:tc>
          <w:tcPr>
            <w:tcW w:w="1831" w:type="dxa"/>
            <w:tcBorders>
              <w:top w:val="nil"/>
              <w:left w:val="nil"/>
              <w:bottom w:val="nil"/>
              <w:right w:val="nil"/>
            </w:tcBorders>
            <w:vAlign w:val="bottom"/>
          </w:tcPr>
          <w:p w14:paraId="381D04FE" w14:textId="27941595"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40 (54.05%)</w:t>
            </w:r>
          </w:p>
        </w:tc>
        <w:tc>
          <w:tcPr>
            <w:tcW w:w="1832" w:type="dxa"/>
            <w:tcBorders>
              <w:top w:val="nil"/>
              <w:left w:val="nil"/>
              <w:bottom w:val="nil"/>
              <w:right w:val="nil"/>
            </w:tcBorders>
            <w:vAlign w:val="bottom"/>
          </w:tcPr>
          <w:p w14:paraId="4C5557F8" w14:textId="770CAC7F"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27 (67.5%)</w:t>
            </w:r>
          </w:p>
        </w:tc>
        <w:tc>
          <w:tcPr>
            <w:tcW w:w="897" w:type="dxa"/>
            <w:tcBorders>
              <w:top w:val="nil"/>
              <w:left w:val="nil"/>
              <w:bottom w:val="nil"/>
              <w:right w:val="nil"/>
            </w:tcBorders>
            <w:vAlign w:val="bottom"/>
          </w:tcPr>
          <w:p w14:paraId="011C9AD1"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52BCCD8E" w14:textId="0D6D6088"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54 (47.37%)</w:t>
            </w:r>
          </w:p>
        </w:tc>
      </w:tr>
      <w:tr w:rsidR="003A7F8B" w:rsidRPr="003A7F8B" w14:paraId="6EB2C583" w14:textId="77777777" w:rsidTr="00733FE1">
        <w:trPr>
          <w:trHeight w:val="288"/>
        </w:trPr>
        <w:tc>
          <w:tcPr>
            <w:tcW w:w="3000" w:type="dxa"/>
            <w:tcBorders>
              <w:top w:val="nil"/>
              <w:left w:val="nil"/>
              <w:bottom w:val="nil"/>
              <w:right w:val="nil"/>
            </w:tcBorders>
            <w:shd w:val="clear" w:color="auto" w:fill="auto"/>
            <w:noWrap/>
            <w:vAlign w:val="bottom"/>
            <w:hideMark/>
          </w:tcPr>
          <w:p w14:paraId="7395009A"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upper middle-class</w:t>
            </w:r>
          </w:p>
        </w:tc>
        <w:tc>
          <w:tcPr>
            <w:tcW w:w="1831" w:type="dxa"/>
            <w:tcBorders>
              <w:top w:val="nil"/>
              <w:left w:val="nil"/>
              <w:bottom w:val="nil"/>
              <w:right w:val="nil"/>
            </w:tcBorders>
            <w:vAlign w:val="bottom"/>
          </w:tcPr>
          <w:p w14:paraId="64D4098A" w14:textId="3C428D42"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26 (35.14%)</w:t>
            </w:r>
          </w:p>
        </w:tc>
        <w:tc>
          <w:tcPr>
            <w:tcW w:w="1832" w:type="dxa"/>
            <w:tcBorders>
              <w:top w:val="nil"/>
              <w:left w:val="nil"/>
              <w:bottom w:val="nil"/>
              <w:right w:val="nil"/>
            </w:tcBorders>
            <w:vAlign w:val="bottom"/>
          </w:tcPr>
          <w:p w14:paraId="357EDE95" w14:textId="6031E009"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8 (20%)</w:t>
            </w:r>
          </w:p>
        </w:tc>
        <w:tc>
          <w:tcPr>
            <w:tcW w:w="897" w:type="dxa"/>
            <w:tcBorders>
              <w:top w:val="nil"/>
              <w:left w:val="nil"/>
              <w:bottom w:val="nil"/>
              <w:right w:val="nil"/>
            </w:tcBorders>
            <w:vAlign w:val="bottom"/>
          </w:tcPr>
          <w:p w14:paraId="5F2DBFBC" w14:textId="7812D195"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0.179</w:t>
            </w:r>
          </w:p>
        </w:tc>
        <w:tc>
          <w:tcPr>
            <w:tcW w:w="1520" w:type="dxa"/>
            <w:tcBorders>
              <w:top w:val="nil"/>
              <w:left w:val="nil"/>
              <w:bottom w:val="nil"/>
              <w:right w:val="nil"/>
            </w:tcBorders>
            <w:shd w:val="clear" w:color="auto" w:fill="auto"/>
            <w:noWrap/>
            <w:vAlign w:val="bottom"/>
            <w:hideMark/>
          </w:tcPr>
          <w:p w14:paraId="3644FD25" w14:textId="416BEF9C"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21 (18.42%)</w:t>
            </w:r>
          </w:p>
        </w:tc>
      </w:tr>
      <w:tr w:rsidR="003A7F8B" w:rsidRPr="003A7F8B" w14:paraId="4A29A3B1" w14:textId="77777777" w:rsidTr="00733FE1">
        <w:trPr>
          <w:trHeight w:val="288"/>
        </w:trPr>
        <w:tc>
          <w:tcPr>
            <w:tcW w:w="3000" w:type="dxa"/>
            <w:tcBorders>
              <w:top w:val="nil"/>
              <w:left w:val="nil"/>
              <w:bottom w:val="nil"/>
              <w:right w:val="nil"/>
            </w:tcBorders>
            <w:shd w:val="clear" w:color="auto" w:fill="auto"/>
            <w:noWrap/>
            <w:vAlign w:val="bottom"/>
            <w:hideMark/>
          </w:tcPr>
          <w:p w14:paraId="5B5027C7"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Missing (%)</w:t>
            </w:r>
          </w:p>
        </w:tc>
        <w:tc>
          <w:tcPr>
            <w:tcW w:w="1831" w:type="dxa"/>
            <w:tcBorders>
              <w:top w:val="nil"/>
              <w:left w:val="nil"/>
              <w:bottom w:val="nil"/>
              <w:right w:val="nil"/>
            </w:tcBorders>
            <w:vAlign w:val="bottom"/>
          </w:tcPr>
          <w:p w14:paraId="1612641E" w14:textId="746CA8E9"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8 (10.81%)</w:t>
            </w:r>
          </w:p>
        </w:tc>
        <w:tc>
          <w:tcPr>
            <w:tcW w:w="1832" w:type="dxa"/>
            <w:tcBorders>
              <w:top w:val="nil"/>
              <w:left w:val="nil"/>
              <w:bottom w:val="nil"/>
              <w:right w:val="nil"/>
            </w:tcBorders>
            <w:vAlign w:val="bottom"/>
          </w:tcPr>
          <w:p w14:paraId="5A9788C5" w14:textId="0798E53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5 (12.5%)</w:t>
            </w:r>
          </w:p>
        </w:tc>
        <w:tc>
          <w:tcPr>
            <w:tcW w:w="897" w:type="dxa"/>
            <w:tcBorders>
              <w:top w:val="nil"/>
              <w:left w:val="nil"/>
              <w:bottom w:val="nil"/>
              <w:right w:val="nil"/>
            </w:tcBorders>
            <w:vAlign w:val="bottom"/>
          </w:tcPr>
          <w:p w14:paraId="0266DE6A" w14:textId="11FE2911"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2D12DA6E" w14:textId="792185AE"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13 (11.4%)</w:t>
            </w:r>
          </w:p>
        </w:tc>
      </w:tr>
      <w:tr w:rsidR="003A7F8B" w:rsidRPr="003A7F8B" w14:paraId="02961A0E" w14:textId="77777777" w:rsidTr="00733FE1">
        <w:trPr>
          <w:trHeight w:val="288"/>
        </w:trPr>
        <w:tc>
          <w:tcPr>
            <w:tcW w:w="3000" w:type="dxa"/>
            <w:tcBorders>
              <w:top w:val="nil"/>
              <w:left w:val="nil"/>
              <w:bottom w:val="nil"/>
              <w:right w:val="nil"/>
            </w:tcBorders>
            <w:shd w:val="clear" w:color="auto" w:fill="auto"/>
            <w:noWrap/>
            <w:vAlign w:val="bottom"/>
            <w:hideMark/>
          </w:tcPr>
          <w:p w14:paraId="3A79975E"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Country of Origin</w:t>
            </w:r>
          </w:p>
        </w:tc>
        <w:tc>
          <w:tcPr>
            <w:tcW w:w="1831" w:type="dxa"/>
            <w:tcBorders>
              <w:top w:val="nil"/>
              <w:left w:val="nil"/>
              <w:bottom w:val="nil"/>
              <w:right w:val="nil"/>
            </w:tcBorders>
            <w:vAlign w:val="bottom"/>
          </w:tcPr>
          <w:p w14:paraId="26C7E1F8"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832" w:type="dxa"/>
            <w:tcBorders>
              <w:top w:val="nil"/>
              <w:left w:val="nil"/>
              <w:bottom w:val="nil"/>
              <w:right w:val="nil"/>
            </w:tcBorders>
            <w:vAlign w:val="bottom"/>
          </w:tcPr>
          <w:p w14:paraId="5D34A5E2"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897" w:type="dxa"/>
            <w:tcBorders>
              <w:top w:val="nil"/>
              <w:left w:val="nil"/>
              <w:bottom w:val="nil"/>
              <w:right w:val="nil"/>
            </w:tcBorders>
            <w:vAlign w:val="bottom"/>
          </w:tcPr>
          <w:p w14:paraId="47CCB12F"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65B0B15C" w14:textId="3F6F2AC0" w:rsidR="003A7F8B" w:rsidRPr="003A7F8B" w:rsidRDefault="003A7F8B" w:rsidP="003A7F8B">
            <w:pPr>
              <w:spacing w:after="0" w:line="240" w:lineRule="auto"/>
              <w:rPr>
                <w:rFonts w:eastAsia="Times New Roman" w:cs="Times New Roman"/>
                <w:color w:val="000000"/>
                <w:szCs w:val="24"/>
                <w:lang w:val="en-GB" w:eastAsia="en-GB"/>
              </w:rPr>
            </w:pPr>
          </w:p>
        </w:tc>
      </w:tr>
      <w:tr w:rsidR="003A7F8B" w:rsidRPr="003A7F8B" w14:paraId="59F7F9C1" w14:textId="77777777" w:rsidTr="00733FE1">
        <w:trPr>
          <w:trHeight w:val="288"/>
        </w:trPr>
        <w:tc>
          <w:tcPr>
            <w:tcW w:w="3000" w:type="dxa"/>
            <w:tcBorders>
              <w:top w:val="nil"/>
              <w:left w:val="nil"/>
              <w:bottom w:val="nil"/>
              <w:right w:val="nil"/>
            </w:tcBorders>
            <w:shd w:val="clear" w:color="auto" w:fill="auto"/>
            <w:noWrap/>
            <w:vAlign w:val="bottom"/>
            <w:hideMark/>
          </w:tcPr>
          <w:p w14:paraId="53724B39"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Germany</w:t>
            </w:r>
          </w:p>
        </w:tc>
        <w:tc>
          <w:tcPr>
            <w:tcW w:w="1831" w:type="dxa"/>
            <w:tcBorders>
              <w:top w:val="nil"/>
              <w:left w:val="nil"/>
              <w:bottom w:val="nil"/>
              <w:right w:val="nil"/>
            </w:tcBorders>
            <w:vAlign w:val="bottom"/>
          </w:tcPr>
          <w:p w14:paraId="714F9F11" w14:textId="3F100606"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69 (93.24%)</w:t>
            </w:r>
          </w:p>
        </w:tc>
        <w:tc>
          <w:tcPr>
            <w:tcW w:w="1832" w:type="dxa"/>
            <w:tcBorders>
              <w:top w:val="nil"/>
              <w:left w:val="nil"/>
              <w:bottom w:val="nil"/>
              <w:right w:val="nil"/>
            </w:tcBorders>
            <w:vAlign w:val="bottom"/>
          </w:tcPr>
          <w:p w14:paraId="1696469D" w14:textId="64C3E6D3"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35 (87.5%)</w:t>
            </w:r>
          </w:p>
        </w:tc>
        <w:tc>
          <w:tcPr>
            <w:tcW w:w="897" w:type="dxa"/>
            <w:tcBorders>
              <w:top w:val="nil"/>
              <w:left w:val="nil"/>
              <w:bottom w:val="nil"/>
              <w:right w:val="nil"/>
            </w:tcBorders>
            <w:vAlign w:val="bottom"/>
          </w:tcPr>
          <w:p w14:paraId="1E1FBD32"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62BCB621" w14:textId="12B62900"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92 (80.7%)</w:t>
            </w:r>
          </w:p>
        </w:tc>
      </w:tr>
      <w:tr w:rsidR="003A7F8B" w:rsidRPr="003A7F8B" w14:paraId="2581388C" w14:textId="77777777" w:rsidTr="00733FE1">
        <w:trPr>
          <w:trHeight w:val="288"/>
        </w:trPr>
        <w:tc>
          <w:tcPr>
            <w:tcW w:w="3000" w:type="dxa"/>
            <w:tcBorders>
              <w:top w:val="nil"/>
              <w:left w:val="nil"/>
              <w:bottom w:val="nil"/>
              <w:right w:val="nil"/>
            </w:tcBorders>
            <w:shd w:val="clear" w:color="auto" w:fill="auto"/>
            <w:noWrap/>
            <w:vAlign w:val="bottom"/>
            <w:hideMark/>
          </w:tcPr>
          <w:p w14:paraId="193544D8"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Other</w:t>
            </w:r>
          </w:p>
        </w:tc>
        <w:tc>
          <w:tcPr>
            <w:tcW w:w="1831" w:type="dxa"/>
            <w:tcBorders>
              <w:top w:val="nil"/>
              <w:left w:val="nil"/>
              <w:bottom w:val="nil"/>
              <w:right w:val="nil"/>
            </w:tcBorders>
            <w:vAlign w:val="bottom"/>
          </w:tcPr>
          <w:p w14:paraId="08BFBC8E" w14:textId="4A7B13E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13 (17.57%)</w:t>
            </w:r>
          </w:p>
        </w:tc>
        <w:tc>
          <w:tcPr>
            <w:tcW w:w="1832" w:type="dxa"/>
            <w:tcBorders>
              <w:top w:val="nil"/>
              <w:left w:val="nil"/>
              <w:bottom w:val="nil"/>
              <w:right w:val="nil"/>
            </w:tcBorders>
            <w:vAlign w:val="bottom"/>
          </w:tcPr>
          <w:p w14:paraId="3EB1561F" w14:textId="6EB76A4B"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9 (22.5%)</w:t>
            </w:r>
          </w:p>
        </w:tc>
        <w:tc>
          <w:tcPr>
            <w:tcW w:w="897" w:type="dxa"/>
            <w:tcBorders>
              <w:top w:val="nil"/>
              <w:left w:val="nil"/>
              <w:bottom w:val="nil"/>
              <w:right w:val="nil"/>
            </w:tcBorders>
            <w:vAlign w:val="bottom"/>
          </w:tcPr>
          <w:p w14:paraId="3441C87E" w14:textId="04FF3F50"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0.499</w:t>
            </w:r>
          </w:p>
        </w:tc>
        <w:tc>
          <w:tcPr>
            <w:tcW w:w="1520" w:type="dxa"/>
            <w:tcBorders>
              <w:top w:val="nil"/>
              <w:left w:val="nil"/>
              <w:bottom w:val="nil"/>
              <w:right w:val="nil"/>
            </w:tcBorders>
            <w:shd w:val="clear" w:color="auto" w:fill="auto"/>
            <w:noWrap/>
            <w:vAlign w:val="bottom"/>
            <w:hideMark/>
          </w:tcPr>
          <w:p w14:paraId="2B9EE33E" w14:textId="42A9D791"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10 (8.77%)</w:t>
            </w:r>
          </w:p>
        </w:tc>
      </w:tr>
      <w:tr w:rsidR="003A7F8B" w:rsidRPr="003A7F8B" w14:paraId="5BC4227F" w14:textId="77777777" w:rsidTr="00733FE1">
        <w:trPr>
          <w:trHeight w:val="288"/>
        </w:trPr>
        <w:tc>
          <w:tcPr>
            <w:tcW w:w="3000" w:type="dxa"/>
            <w:tcBorders>
              <w:top w:val="nil"/>
              <w:left w:val="nil"/>
              <w:bottom w:val="nil"/>
              <w:right w:val="nil"/>
            </w:tcBorders>
            <w:shd w:val="clear" w:color="auto" w:fill="auto"/>
            <w:noWrap/>
            <w:vAlign w:val="bottom"/>
            <w:hideMark/>
          </w:tcPr>
          <w:p w14:paraId="69631E76"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Missing (%)</w:t>
            </w:r>
          </w:p>
        </w:tc>
        <w:tc>
          <w:tcPr>
            <w:tcW w:w="1831" w:type="dxa"/>
            <w:tcBorders>
              <w:top w:val="nil"/>
              <w:left w:val="nil"/>
              <w:bottom w:val="nil"/>
              <w:right w:val="nil"/>
            </w:tcBorders>
            <w:vAlign w:val="bottom"/>
          </w:tcPr>
          <w:p w14:paraId="784317AA" w14:textId="0D75B63C"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8 (10.81%)</w:t>
            </w:r>
          </w:p>
        </w:tc>
        <w:tc>
          <w:tcPr>
            <w:tcW w:w="1832" w:type="dxa"/>
            <w:tcBorders>
              <w:top w:val="nil"/>
              <w:left w:val="nil"/>
              <w:bottom w:val="nil"/>
              <w:right w:val="nil"/>
            </w:tcBorders>
            <w:vAlign w:val="bottom"/>
          </w:tcPr>
          <w:p w14:paraId="40EFDBEE" w14:textId="77DCE05A"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4 (10%)</w:t>
            </w:r>
          </w:p>
        </w:tc>
        <w:tc>
          <w:tcPr>
            <w:tcW w:w="897" w:type="dxa"/>
            <w:tcBorders>
              <w:top w:val="nil"/>
              <w:left w:val="nil"/>
              <w:bottom w:val="nil"/>
              <w:right w:val="nil"/>
            </w:tcBorders>
            <w:vAlign w:val="bottom"/>
          </w:tcPr>
          <w:p w14:paraId="4CD50703" w14:textId="5E7A3D4D"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1A947946" w14:textId="5AB54C75"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12 (10.53%)</w:t>
            </w:r>
          </w:p>
        </w:tc>
      </w:tr>
      <w:tr w:rsidR="003A7F8B" w:rsidRPr="003A7F8B" w14:paraId="5E5A87F0" w14:textId="77777777" w:rsidTr="00733FE1">
        <w:trPr>
          <w:trHeight w:val="288"/>
        </w:trPr>
        <w:tc>
          <w:tcPr>
            <w:tcW w:w="3000" w:type="dxa"/>
            <w:tcBorders>
              <w:top w:val="nil"/>
              <w:left w:val="nil"/>
              <w:bottom w:val="nil"/>
              <w:right w:val="nil"/>
            </w:tcBorders>
            <w:shd w:val="clear" w:color="auto" w:fill="auto"/>
            <w:noWrap/>
            <w:vAlign w:val="bottom"/>
            <w:hideMark/>
          </w:tcPr>
          <w:p w14:paraId="0E6C3862"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Ethnicity</w:t>
            </w:r>
          </w:p>
        </w:tc>
        <w:tc>
          <w:tcPr>
            <w:tcW w:w="1831" w:type="dxa"/>
            <w:tcBorders>
              <w:top w:val="nil"/>
              <w:left w:val="nil"/>
              <w:bottom w:val="nil"/>
              <w:right w:val="nil"/>
            </w:tcBorders>
            <w:vAlign w:val="bottom"/>
          </w:tcPr>
          <w:p w14:paraId="3AB7B743"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832" w:type="dxa"/>
            <w:tcBorders>
              <w:top w:val="nil"/>
              <w:left w:val="nil"/>
              <w:bottom w:val="nil"/>
              <w:right w:val="nil"/>
            </w:tcBorders>
            <w:vAlign w:val="bottom"/>
          </w:tcPr>
          <w:p w14:paraId="34FE62DA"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897" w:type="dxa"/>
            <w:tcBorders>
              <w:top w:val="nil"/>
              <w:left w:val="nil"/>
              <w:bottom w:val="nil"/>
              <w:right w:val="nil"/>
            </w:tcBorders>
            <w:vAlign w:val="bottom"/>
          </w:tcPr>
          <w:p w14:paraId="1E23130C"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68BBBDB3" w14:textId="237AD7DB" w:rsidR="003A7F8B" w:rsidRPr="003A7F8B" w:rsidRDefault="003A7F8B" w:rsidP="003A7F8B">
            <w:pPr>
              <w:spacing w:after="0" w:line="240" w:lineRule="auto"/>
              <w:rPr>
                <w:rFonts w:eastAsia="Times New Roman" w:cs="Times New Roman"/>
                <w:color w:val="000000"/>
                <w:szCs w:val="24"/>
                <w:lang w:val="en-GB" w:eastAsia="en-GB"/>
              </w:rPr>
            </w:pPr>
          </w:p>
        </w:tc>
      </w:tr>
      <w:tr w:rsidR="003A7F8B" w:rsidRPr="003A7F8B" w14:paraId="401C2D54" w14:textId="77777777" w:rsidTr="00733FE1">
        <w:trPr>
          <w:trHeight w:val="288"/>
        </w:trPr>
        <w:tc>
          <w:tcPr>
            <w:tcW w:w="3000" w:type="dxa"/>
            <w:tcBorders>
              <w:top w:val="nil"/>
              <w:left w:val="nil"/>
              <w:bottom w:val="nil"/>
              <w:right w:val="nil"/>
            </w:tcBorders>
            <w:shd w:val="clear" w:color="auto" w:fill="auto"/>
            <w:noWrap/>
            <w:vAlign w:val="bottom"/>
            <w:hideMark/>
          </w:tcPr>
          <w:p w14:paraId="521DFC3F"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German</w:t>
            </w:r>
          </w:p>
        </w:tc>
        <w:tc>
          <w:tcPr>
            <w:tcW w:w="1831" w:type="dxa"/>
            <w:tcBorders>
              <w:top w:val="nil"/>
              <w:left w:val="nil"/>
              <w:bottom w:val="nil"/>
              <w:right w:val="nil"/>
            </w:tcBorders>
            <w:vAlign w:val="bottom"/>
          </w:tcPr>
          <w:p w14:paraId="5606616F" w14:textId="312A480F"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67 (90.54%)</w:t>
            </w:r>
          </w:p>
        </w:tc>
        <w:tc>
          <w:tcPr>
            <w:tcW w:w="1832" w:type="dxa"/>
            <w:tcBorders>
              <w:top w:val="nil"/>
              <w:left w:val="nil"/>
              <w:bottom w:val="nil"/>
              <w:right w:val="nil"/>
            </w:tcBorders>
            <w:vAlign w:val="bottom"/>
          </w:tcPr>
          <w:p w14:paraId="4DD4BE55" w14:textId="3E1B2604"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36 (90%)</w:t>
            </w:r>
          </w:p>
        </w:tc>
        <w:tc>
          <w:tcPr>
            <w:tcW w:w="897" w:type="dxa"/>
            <w:tcBorders>
              <w:top w:val="nil"/>
              <w:left w:val="nil"/>
              <w:bottom w:val="nil"/>
              <w:right w:val="nil"/>
            </w:tcBorders>
            <w:vAlign w:val="bottom"/>
          </w:tcPr>
          <w:p w14:paraId="7596A901"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6362D29A" w14:textId="429E82A2"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91 (79.82%)</w:t>
            </w:r>
          </w:p>
        </w:tc>
      </w:tr>
      <w:tr w:rsidR="003A7F8B" w:rsidRPr="003A7F8B" w14:paraId="2C2C189D" w14:textId="77777777" w:rsidTr="00733FE1">
        <w:trPr>
          <w:trHeight w:val="288"/>
        </w:trPr>
        <w:tc>
          <w:tcPr>
            <w:tcW w:w="3000" w:type="dxa"/>
            <w:tcBorders>
              <w:top w:val="nil"/>
              <w:left w:val="nil"/>
              <w:bottom w:val="nil"/>
              <w:right w:val="nil"/>
            </w:tcBorders>
            <w:shd w:val="clear" w:color="auto" w:fill="auto"/>
            <w:noWrap/>
            <w:vAlign w:val="bottom"/>
            <w:hideMark/>
          </w:tcPr>
          <w:p w14:paraId="1403D74B"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Other</w:t>
            </w:r>
          </w:p>
        </w:tc>
        <w:tc>
          <w:tcPr>
            <w:tcW w:w="1831" w:type="dxa"/>
            <w:tcBorders>
              <w:top w:val="nil"/>
              <w:left w:val="nil"/>
              <w:bottom w:val="nil"/>
              <w:right w:val="nil"/>
            </w:tcBorders>
            <w:vAlign w:val="bottom"/>
          </w:tcPr>
          <w:p w14:paraId="052D4791" w14:textId="328E34A1"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15 (20.27%)</w:t>
            </w:r>
          </w:p>
        </w:tc>
        <w:tc>
          <w:tcPr>
            <w:tcW w:w="1832" w:type="dxa"/>
            <w:tcBorders>
              <w:top w:val="nil"/>
              <w:left w:val="nil"/>
              <w:bottom w:val="nil"/>
              <w:right w:val="nil"/>
            </w:tcBorders>
            <w:vAlign w:val="bottom"/>
          </w:tcPr>
          <w:p w14:paraId="351F2C31" w14:textId="1485E1C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8 (20%)</w:t>
            </w:r>
          </w:p>
        </w:tc>
        <w:tc>
          <w:tcPr>
            <w:tcW w:w="897" w:type="dxa"/>
            <w:tcBorders>
              <w:top w:val="nil"/>
              <w:left w:val="nil"/>
              <w:bottom w:val="nil"/>
              <w:right w:val="nil"/>
            </w:tcBorders>
            <w:vAlign w:val="bottom"/>
          </w:tcPr>
          <w:p w14:paraId="07EF1538" w14:textId="4F2C8F0B"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1</w:t>
            </w:r>
          </w:p>
        </w:tc>
        <w:tc>
          <w:tcPr>
            <w:tcW w:w="1520" w:type="dxa"/>
            <w:tcBorders>
              <w:top w:val="nil"/>
              <w:left w:val="nil"/>
              <w:bottom w:val="nil"/>
              <w:right w:val="nil"/>
            </w:tcBorders>
            <w:shd w:val="clear" w:color="auto" w:fill="auto"/>
            <w:noWrap/>
            <w:vAlign w:val="bottom"/>
            <w:hideMark/>
          </w:tcPr>
          <w:p w14:paraId="726721AC" w14:textId="2FDE7B4F"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11 (9.65%)</w:t>
            </w:r>
          </w:p>
        </w:tc>
      </w:tr>
      <w:tr w:rsidR="003A7F8B" w:rsidRPr="003A7F8B" w14:paraId="7D579046" w14:textId="77777777" w:rsidTr="00733FE1">
        <w:trPr>
          <w:trHeight w:val="288"/>
        </w:trPr>
        <w:tc>
          <w:tcPr>
            <w:tcW w:w="3000" w:type="dxa"/>
            <w:tcBorders>
              <w:top w:val="nil"/>
              <w:left w:val="nil"/>
              <w:bottom w:val="nil"/>
              <w:right w:val="nil"/>
            </w:tcBorders>
            <w:shd w:val="clear" w:color="auto" w:fill="auto"/>
            <w:noWrap/>
            <w:vAlign w:val="bottom"/>
            <w:hideMark/>
          </w:tcPr>
          <w:p w14:paraId="32B8F8F5"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Missing (%)</w:t>
            </w:r>
          </w:p>
        </w:tc>
        <w:tc>
          <w:tcPr>
            <w:tcW w:w="1831" w:type="dxa"/>
            <w:tcBorders>
              <w:top w:val="nil"/>
              <w:left w:val="nil"/>
              <w:bottom w:val="nil"/>
              <w:right w:val="nil"/>
            </w:tcBorders>
            <w:vAlign w:val="bottom"/>
          </w:tcPr>
          <w:p w14:paraId="79029E48" w14:textId="6F33483C"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8 (10.81%)</w:t>
            </w:r>
          </w:p>
        </w:tc>
        <w:tc>
          <w:tcPr>
            <w:tcW w:w="1832" w:type="dxa"/>
            <w:tcBorders>
              <w:top w:val="nil"/>
              <w:left w:val="nil"/>
              <w:bottom w:val="nil"/>
              <w:right w:val="nil"/>
            </w:tcBorders>
            <w:vAlign w:val="bottom"/>
          </w:tcPr>
          <w:p w14:paraId="747F1DC6" w14:textId="1D6727CD"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4 (10%)</w:t>
            </w:r>
          </w:p>
        </w:tc>
        <w:tc>
          <w:tcPr>
            <w:tcW w:w="897" w:type="dxa"/>
            <w:tcBorders>
              <w:top w:val="nil"/>
              <w:left w:val="nil"/>
              <w:bottom w:val="nil"/>
              <w:right w:val="nil"/>
            </w:tcBorders>
            <w:vAlign w:val="bottom"/>
          </w:tcPr>
          <w:p w14:paraId="4BA62B3E" w14:textId="128EA1CB"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7D339223" w14:textId="7A0DA868"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12 (10.53%)</w:t>
            </w:r>
          </w:p>
        </w:tc>
      </w:tr>
      <w:tr w:rsidR="003A7F8B" w:rsidRPr="003A7F8B" w14:paraId="7AE72331" w14:textId="77777777" w:rsidTr="00733FE1">
        <w:trPr>
          <w:trHeight w:val="288"/>
        </w:trPr>
        <w:tc>
          <w:tcPr>
            <w:tcW w:w="3000" w:type="dxa"/>
            <w:tcBorders>
              <w:top w:val="nil"/>
              <w:left w:val="nil"/>
              <w:bottom w:val="nil"/>
              <w:right w:val="nil"/>
            </w:tcBorders>
            <w:shd w:val="clear" w:color="auto" w:fill="auto"/>
            <w:noWrap/>
            <w:vAlign w:val="bottom"/>
            <w:hideMark/>
          </w:tcPr>
          <w:p w14:paraId="2346C445"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Employment status</w:t>
            </w:r>
          </w:p>
        </w:tc>
        <w:tc>
          <w:tcPr>
            <w:tcW w:w="1831" w:type="dxa"/>
            <w:tcBorders>
              <w:top w:val="nil"/>
              <w:left w:val="nil"/>
              <w:bottom w:val="nil"/>
              <w:right w:val="nil"/>
            </w:tcBorders>
            <w:vAlign w:val="bottom"/>
          </w:tcPr>
          <w:p w14:paraId="62A0A4DF"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832" w:type="dxa"/>
            <w:tcBorders>
              <w:top w:val="nil"/>
              <w:left w:val="nil"/>
              <w:bottom w:val="nil"/>
              <w:right w:val="nil"/>
            </w:tcBorders>
            <w:vAlign w:val="bottom"/>
          </w:tcPr>
          <w:p w14:paraId="47E1E464"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897" w:type="dxa"/>
            <w:tcBorders>
              <w:top w:val="nil"/>
              <w:left w:val="nil"/>
              <w:bottom w:val="nil"/>
              <w:right w:val="nil"/>
            </w:tcBorders>
            <w:vAlign w:val="bottom"/>
          </w:tcPr>
          <w:p w14:paraId="4003A0F4"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6CE441D6" w14:textId="40D5BC2B" w:rsidR="003A7F8B" w:rsidRPr="003A7F8B" w:rsidRDefault="003A7F8B" w:rsidP="003A7F8B">
            <w:pPr>
              <w:spacing w:after="0" w:line="240" w:lineRule="auto"/>
              <w:rPr>
                <w:rFonts w:eastAsia="Times New Roman" w:cs="Times New Roman"/>
                <w:color w:val="000000"/>
                <w:szCs w:val="24"/>
                <w:lang w:val="en-GB" w:eastAsia="en-GB"/>
              </w:rPr>
            </w:pPr>
          </w:p>
        </w:tc>
      </w:tr>
      <w:tr w:rsidR="003A7F8B" w:rsidRPr="003A7F8B" w14:paraId="1AB3FAB7" w14:textId="77777777" w:rsidTr="00733FE1">
        <w:trPr>
          <w:trHeight w:val="288"/>
        </w:trPr>
        <w:tc>
          <w:tcPr>
            <w:tcW w:w="3000" w:type="dxa"/>
            <w:tcBorders>
              <w:top w:val="nil"/>
              <w:left w:val="nil"/>
              <w:bottom w:val="nil"/>
              <w:right w:val="nil"/>
            </w:tcBorders>
            <w:shd w:val="clear" w:color="auto" w:fill="auto"/>
            <w:noWrap/>
            <w:vAlign w:val="bottom"/>
            <w:hideMark/>
          </w:tcPr>
          <w:p w14:paraId="103E0FFB"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Employed</w:t>
            </w:r>
          </w:p>
        </w:tc>
        <w:tc>
          <w:tcPr>
            <w:tcW w:w="1831" w:type="dxa"/>
            <w:tcBorders>
              <w:top w:val="nil"/>
              <w:left w:val="nil"/>
              <w:bottom w:val="nil"/>
              <w:right w:val="nil"/>
            </w:tcBorders>
            <w:vAlign w:val="bottom"/>
          </w:tcPr>
          <w:p w14:paraId="1E970716" w14:textId="437C301F"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49 (66.22%)</w:t>
            </w:r>
          </w:p>
        </w:tc>
        <w:tc>
          <w:tcPr>
            <w:tcW w:w="1832" w:type="dxa"/>
            <w:tcBorders>
              <w:top w:val="nil"/>
              <w:left w:val="nil"/>
              <w:bottom w:val="nil"/>
              <w:right w:val="nil"/>
            </w:tcBorders>
            <w:vAlign w:val="bottom"/>
          </w:tcPr>
          <w:p w14:paraId="22F79D80" w14:textId="0E4EE85C"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26 (65%)</w:t>
            </w:r>
          </w:p>
        </w:tc>
        <w:tc>
          <w:tcPr>
            <w:tcW w:w="897" w:type="dxa"/>
            <w:tcBorders>
              <w:top w:val="nil"/>
              <w:left w:val="nil"/>
              <w:bottom w:val="nil"/>
              <w:right w:val="nil"/>
            </w:tcBorders>
            <w:vAlign w:val="bottom"/>
          </w:tcPr>
          <w:p w14:paraId="10620E6C"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37F7C95B" w14:textId="66427533"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58 (50.88%)</w:t>
            </w:r>
          </w:p>
        </w:tc>
      </w:tr>
      <w:tr w:rsidR="003A7F8B" w:rsidRPr="003A7F8B" w14:paraId="1E92629F" w14:textId="77777777" w:rsidTr="00733FE1">
        <w:trPr>
          <w:trHeight w:val="288"/>
        </w:trPr>
        <w:tc>
          <w:tcPr>
            <w:tcW w:w="3000" w:type="dxa"/>
            <w:tcBorders>
              <w:top w:val="nil"/>
              <w:left w:val="nil"/>
              <w:bottom w:val="nil"/>
              <w:right w:val="nil"/>
            </w:tcBorders>
            <w:shd w:val="clear" w:color="auto" w:fill="auto"/>
            <w:noWrap/>
            <w:vAlign w:val="bottom"/>
            <w:hideMark/>
          </w:tcPr>
          <w:p w14:paraId="05A6115B"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Retired</w:t>
            </w:r>
          </w:p>
        </w:tc>
        <w:tc>
          <w:tcPr>
            <w:tcW w:w="1831" w:type="dxa"/>
            <w:tcBorders>
              <w:top w:val="nil"/>
              <w:left w:val="nil"/>
              <w:bottom w:val="nil"/>
              <w:right w:val="nil"/>
            </w:tcBorders>
            <w:vAlign w:val="bottom"/>
          </w:tcPr>
          <w:p w14:paraId="6FD04372" w14:textId="0434D5C3"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13 (17.57%)</w:t>
            </w:r>
          </w:p>
        </w:tc>
        <w:tc>
          <w:tcPr>
            <w:tcW w:w="1832" w:type="dxa"/>
            <w:tcBorders>
              <w:top w:val="nil"/>
              <w:left w:val="nil"/>
              <w:bottom w:val="nil"/>
              <w:right w:val="nil"/>
            </w:tcBorders>
            <w:vAlign w:val="bottom"/>
          </w:tcPr>
          <w:p w14:paraId="23B85265" w14:textId="79F94020"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8 (20%)</w:t>
            </w:r>
          </w:p>
        </w:tc>
        <w:tc>
          <w:tcPr>
            <w:tcW w:w="897" w:type="dxa"/>
            <w:tcBorders>
              <w:top w:val="nil"/>
              <w:left w:val="nil"/>
              <w:bottom w:val="nil"/>
              <w:right w:val="nil"/>
            </w:tcBorders>
            <w:vAlign w:val="bottom"/>
          </w:tcPr>
          <w:p w14:paraId="713DA868"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4EF47F7D" w14:textId="1CCFED53"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4 (3.51%)</w:t>
            </w:r>
          </w:p>
        </w:tc>
      </w:tr>
      <w:tr w:rsidR="003A7F8B" w:rsidRPr="003A7F8B" w14:paraId="1E97D2E7" w14:textId="77777777" w:rsidTr="00733FE1">
        <w:trPr>
          <w:trHeight w:val="288"/>
        </w:trPr>
        <w:tc>
          <w:tcPr>
            <w:tcW w:w="3000" w:type="dxa"/>
            <w:tcBorders>
              <w:top w:val="nil"/>
              <w:left w:val="nil"/>
              <w:bottom w:val="nil"/>
              <w:right w:val="nil"/>
            </w:tcBorders>
            <w:shd w:val="clear" w:color="auto" w:fill="auto"/>
            <w:noWrap/>
            <w:vAlign w:val="bottom"/>
            <w:hideMark/>
          </w:tcPr>
          <w:p w14:paraId="70DE39E3"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Unemployed</w:t>
            </w:r>
          </w:p>
        </w:tc>
        <w:tc>
          <w:tcPr>
            <w:tcW w:w="1831" w:type="dxa"/>
            <w:tcBorders>
              <w:top w:val="nil"/>
              <w:left w:val="nil"/>
              <w:bottom w:val="nil"/>
              <w:right w:val="nil"/>
            </w:tcBorders>
            <w:vAlign w:val="bottom"/>
          </w:tcPr>
          <w:p w14:paraId="77CD8D9B" w14:textId="6A1E04DB"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32 (43.24%)</w:t>
            </w:r>
          </w:p>
        </w:tc>
        <w:tc>
          <w:tcPr>
            <w:tcW w:w="1832" w:type="dxa"/>
            <w:tcBorders>
              <w:top w:val="nil"/>
              <w:left w:val="nil"/>
              <w:bottom w:val="nil"/>
              <w:right w:val="nil"/>
            </w:tcBorders>
            <w:vAlign w:val="bottom"/>
          </w:tcPr>
          <w:p w14:paraId="23BE6ABF" w14:textId="1CAD41DE"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20 (50%)</w:t>
            </w:r>
          </w:p>
        </w:tc>
        <w:tc>
          <w:tcPr>
            <w:tcW w:w="897" w:type="dxa"/>
            <w:tcBorders>
              <w:top w:val="nil"/>
              <w:left w:val="nil"/>
              <w:bottom w:val="nil"/>
              <w:right w:val="nil"/>
            </w:tcBorders>
            <w:vAlign w:val="bottom"/>
          </w:tcPr>
          <w:p w14:paraId="5B11E98B" w14:textId="7B786E90"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0.844</w:t>
            </w:r>
          </w:p>
        </w:tc>
        <w:tc>
          <w:tcPr>
            <w:tcW w:w="1520" w:type="dxa"/>
            <w:tcBorders>
              <w:top w:val="nil"/>
              <w:left w:val="nil"/>
              <w:bottom w:val="nil"/>
              <w:right w:val="nil"/>
            </w:tcBorders>
            <w:shd w:val="clear" w:color="auto" w:fill="auto"/>
            <w:noWrap/>
            <w:vAlign w:val="bottom"/>
            <w:hideMark/>
          </w:tcPr>
          <w:p w14:paraId="185FA849" w14:textId="65729511"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35 (30.7%)</w:t>
            </w:r>
          </w:p>
        </w:tc>
      </w:tr>
      <w:tr w:rsidR="003A7F8B" w:rsidRPr="003A7F8B" w14:paraId="50FEE619" w14:textId="77777777" w:rsidTr="00733FE1">
        <w:trPr>
          <w:trHeight w:val="288"/>
        </w:trPr>
        <w:tc>
          <w:tcPr>
            <w:tcW w:w="3000" w:type="dxa"/>
            <w:tcBorders>
              <w:top w:val="nil"/>
              <w:left w:val="nil"/>
              <w:bottom w:val="nil"/>
              <w:right w:val="nil"/>
            </w:tcBorders>
            <w:shd w:val="clear" w:color="auto" w:fill="auto"/>
            <w:noWrap/>
            <w:vAlign w:val="bottom"/>
            <w:hideMark/>
          </w:tcPr>
          <w:p w14:paraId="4182A163"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Missing (%)</w:t>
            </w:r>
          </w:p>
        </w:tc>
        <w:tc>
          <w:tcPr>
            <w:tcW w:w="1831" w:type="dxa"/>
            <w:tcBorders>
              <w:top w:val="nil"/>
              <w:left w:val="nil"/>
              <w:bottom w:val="nil"/>
              <w:right w:val="nil"/>
            </w:tcBorders>
            <w:vAlign w:val="bottom"/>
          </w:tcPr>
          <w:p w14:paraId="06C90138" w14:textId="3DC4A23D"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10 (13.51%)</w:t>
            </w:r>
          </w:p>
        </w:tc>
        <w:tc>
          <w:tcPr>
            <w:tcW w:w="1832" w:type="dxa"/>
            <w:tcBorders>
              <w:top w:val="nil"/>
              <w:left w:val="nil"/>
              <w:bottom w:val="nil"/>
              <w:right w:val="nil"/>
            </w:tcBorders>
            <w:vAlign w:val="bottom"/>
          </w:tcPr>
          <w:p w14:paraId="684083E1" w14:textId="3B90C7AA"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7 (17.5%)</w:t>
            </w:r>
          </w:p>
        </w:tc>
        <w:tc>
          <w:tcPr>
            <w:tcW w:w="897" w:type="dxa"/>
            <w:tcBorders>
              <w:top w:val="nil"/>
              <w:left w:val="nil"/>
              <w:bottom w:val="nil"/>
              <w:right w:val="nil"/>
            </w:tcBorders>
            <w:vAlign w:val="bottom"/>
          </w:tcPr>
          <w:p w14:paraId="0E1033F8" w14:textId="04E1B507"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4B763904" w14:textId="59395043"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17 (14.91%)</w:t>
            </w:r>
          </w:p>
        </w:tc>
      </w:tr>
      <w:tr w:rsidR="003A7F8B" w:rsidRPr="003A7F8B" w14:paraId="49B9A17C" w14:textId="77777777" w:rsidTr="00733FE1">
        <w:trPr>
          <w:trHeight w:val="288"/>
        </w:trPr>
        <w:tc>
          <w:tcPr>
            <w:tcW w:w="3000" w:type="dxa"/>
            <w:tcBorders>
              <w:top w:val="nil"/>
              <w:left w:val="nil"/>
              <w:bottom w:val="nil"/>
              <w:right w:val="nil"/>
            </w:tcBorders>
            <w:shd w:val="clear" w:color="auto" w:fill="auto"/>
            <w:noWrap/>
            <w:vAlign w:val="bottom"/>
            <w:hideMark/>
          </w:tcPr>
          <w:p w14:paraId="5DCE3156"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BDI</w:t>
            </w:r>
          </w:p>
        </w:tc>
        <w:tc>
          <w:tcPr>
            <w:tcW w:w="1831" w:type="dxa"/>
            <w:tcBorders>
              <w:top w:val="nil"/>
              <w:left w:val="nil"/>
              <w:bottom w:val="nil"/>
              <w:right w:val="nil"/>
            </w:tcBorders>
            <w:vAlign w:val="bottom"/>
          </w:tcPr>
          <w:p w14:paraId="72B48C74"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832" w:type="dxa"/>
            <w:tcBorders>
              <w:top w:val="nil"/>
              <w:left w:val="nil"/>
              <w:bottom w:val="nil"/>
              <w:right w:val="nil"/>
            </w:tcBorders>
            <w:vAlign w:val="bottom"/>
          </w:tcPr>
          <w:p w14:paraId="137D4550"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897" w:type="dxa"/>
            <w:tcBorders>
              <w:top w:val="nil"/>
              <w:left w:val="nil"/>
              <w:bottom w:val="nil"/>
              <w:right w:val="nil"/>
            </w:tcBorders>
            <w:vAlign w:val="bottom"/>
          </w:tcPr>
          <w:p w14:paraId="47D8DB9D"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4A478B6E" w14:textId="1EA673C8" w:rsidR="003A7F8B" w:rsidRPr="003A7F8B" w:rsidRDefault="003A7F8B" w:rsidP="003A7F8B">
            <w:pPr>
              <w:spacing w:after="0" w:line="240" w:lineRule="auto"/>
              <w:rPr>
                <w:rFonts w:eastAsia="Times New Roman" w:cs="Times New Roman"/>
                <w:color w:val="000000"/>
                <w:szCs w:val="24"/>
                <w:lang w:val="en-GB" w:eastAsia="en-GB"/>
              </w:rPr>
            </w:pPr>
          </w:p>
        </w:tc>
      </w:tr>
      <w:tr w:rsidR="003A7F8B" w:rsidRPr="003A7F8B" w14:paraId="006D6EC4" w14:textId="77777777" w:rsidTr="00733FE1">
        <w:trPr>
          <w:trHeight w:val="288"/>
        </w:trPr>
        <w:tc>
          <w:tcPr>
            <w:tcW w:w="3000" w:type="dxa"/>
            <w:tcBorders>
              <w:top w:val="nil"/>
              <w:left w:val="nil"/>
              <w:bottom w:val="nil"/>
              <w:right w:val="nil"/>
            </w:tcBorders>
            <w:shd w:val="clear" w:color="auto" w:fill="auto"/>
            <w:noWrap/>
            <w:vAlign w:val="bottom"/>
            <w:hideMark/>
          </w:tcPr>
          <w:p w14:paraId="7174EAC2"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Mean (SD)</w:t>
            </w:r>
          </w:p>
        </w:tc>
        <w:tc>
          <w:tcPr>
            <w:tcW w:w="1831" w:type="dxa"/>
            <w:tcBorders>
              <w:top w:val="nil"/>
              <w:left w:val="nil"/>
              <w:bottom w:val="nil"/>
              <w:right w:val="nil"/>
            </w:tcBorders>
            <w:vAlign w:val="bottom"/>
          </w:tcPr>
          <w:p w14:paraId="4595562D" w14:textId="4A0FF8B5"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32.15 (7.87)</w:t>
            </w:r>
          </w:p>
        </w:tc>
        <w:tc>
          <w:tcPr>
            <w:tcW w:w="1832" w:type="dxa"/>
            <w:tcBorders>
              <w:top w:val="nil"/>
              <w:left w:val="nil"/>
              <w:bottom w:val="nil"/>
              <w:right w:val="nil"/>
            </w:tcBorders>
            <w:vAlign w:val="bottom"/>
          </w:tcPr>
          <w:p w14:paraId="0D17D9DD" w14:textId="61C52765"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32.8 (7.83)</w:t>
            </w:r>
          </w:p>
        </w:tc>
        <w:tc>
          <w:tcPr>
            <w:tcW w:w="897" w:type="dxa"/>
            <w:tcBorders>
              <w:top w:val="nil"/>
              <w:left w:val="nil"/>
              <w:bottom w:val="nil"/>
              <w:right w:val="nil"/>
            </w:tcBorders>
            <w:vAlign w:val="bottom"/>
          </w:tcPr>
          <w:p w14:paraId="670D9AC5"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2D5F1714" w14:textId="656DEFCC"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32.38 (7.82)</w:t>
            </w:r>
          </w:p>
        </w:tc>
      </w:tr>
      <w:tr w:rsidR="003A7F8B" w:rsidRPr="003A7F8B" w14:paraId="1FD20C63" w14:textId="77777777" w:rsidTr="00733FE1">
        <w:trPr>
          <w:trHeight w:val="288"/>
        </w:trPr>
        <w:tc>
          <w:tcPr>
            <w:tcW w:w="3000" w:type="dxa"/>
            <w:tcBorders>
              <w:top w:val="nil"/>
              <w:left w:val="nil"/>
              <w:bottom w:val="nil"/>
              <w:right w:val="nil"/>
            </w:tcBorders>
            <w:shd w:val="clear" w:color="auto" w:fill="auto"/>
            <w:noWrap/>
            <w:vAlign w:val="bottom"/>
            <w:hideMark/>
          </w:tcPr>
          <w:p w14:paraId="013F1678"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lastRenderedPageBreak/>
              <w:t xml:space="preserve">   Median (IQR)</w:t>
            </w:r>
          </w:p>
        </w:tc>
        <w:tc>
          <w:tcPr>
            <w:tcW w:w="1831" w:type="dxa"/>
            <w:tcBorders>
              <w:top w:val="nil"/>
              <w:left w:val="nil"/>
              <w:bottom w:val="nil"/>
              <w:right w:val="nil"/>
            </w:tcBorders>
            <w:vAlign w:val="bottom"/>
          </w:tcPr>
          <w:p w14:paraId="2225447A" w14:textId="63854041"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32 (27-37.75)</w:t>
            </w:r>
          </w:p>
        </w:tc>
        <w:tc>
          <w:tcPr>
            <w:tcW w:w="1832" w:type="dxa"/>
            <w:tcBorders>
              <w:top w:val="nil"/>
              <w:left w:val="nil"/>
              <w:bottom w:val="nil"/>
              <w:right w:val="nil"/>
            </w:tcBorders>
            <w:vAlign w:val="bottom"/>
          </w:tcPr>
          <w:p w14:paraId="0AC0B4F8" w14:textId="09FEF36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32.5 (27-38.25)</w:t>
            </w:r>
          </w:p>
        </w:tc>
        <w:tc>
          <w:tcPr>
            <w:tcW w:w="897" w:type="dxa"/>
            <w:tcBorders>
              <w:top w:val="nil"/>
              <w:left w:val="nil"/>
              <w:bottom w:val="nil"/>
              <w:right w:val="nil"/>
            </w:tcBorders>
            <w:vAlign w:val="bottom"/>
          </w:tcPr>
          <w:p w14:paraId="1DEB4DDC" w14:textId="563674C9"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0.673</w:t>
            </w:r>
          </w:p>
        </w:tc>
        <w:tc>
          <w:tcPr>
            <w:tcW w:w="1520" w:type="dxa"/>
            <w:tcBorders>
              <w:top w:val="nil"/>
              <w:left w:val="nil"/>
              <w:bottom w:val="nil"/>
              <w:right w:val="nil"/>
            </w:tcBorders>
            <w:shd w:val="clear" w:color="auto" w:fill="auto"/>
            <w:noWrap/>
            <w:vAlign w:val="bottom"/>
            <w:hideMark/>
          </w:tcPr>
          <w:p w14:paraId="6C4DB516" w14:textId="0FF76D35"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32 (27-38)</w:t>
            </w:r>
          </w:p>
        </w:tc>
      </w:tr>
      <w:tr w:rsidR="003A7F8B" w:rsidRPr="003A7F8B" w14:paraId="670F37BD" w14:textId="77777777" w:rsidTr="00733FE1">
        <w:trPr>
          <w:trHeight w:val="288"/>
        </w:trPr>
        <w:tc>
          <w:tcPr>
            <w:tcW w:w="3000" w:type="dxa"/>
            <w:tcBorders>
              <w:top w:val="nil"/>
              <w:left w:val="nil"/>
              <w:bottom w:val="nil"/>
              <w:right w:val="nil"/>
            </w:tcBorders>
            <w:shd w:val="clear" w:color="auto" w:fill="auto"/>
            <w:noWrap/>
            <w:vAlign w:val="bottom"/>
            <w:hideMark/>
          </w:tcPr>
          <w:p w14:paraId="5831E48A"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Missing (%)</w:t>
            </w:r>
          </w:p>
        </w:tc>
        <w:tc>
          <w:tcPr>
            <w:tcW w:w="1831" w:type="dxa"/>
            <w:tcBorders>
              <w:top w:val="nil"/>
              <w:left w:val="nil"/>
              <w:bottom w:val="nil"/>
              <w:right w:val="nil"/>
            </w:tcBorders>
            <w:vAlign w:val="bottom"/>
          </w:tcPr>
          <w:p w14:paraId="6DFDA893" w14:textId="14CC7E94"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0 (0%)</w:t>
            </w:r>
          </w:p>
        </w:tc>
        <w:tc>
          <w:tcPr>
            <w:tcW w:w="1832" w:type="dxa"/>
            <w:tcBorders>
              <w:top w:val="nil"/>
              <w:left w:val="nil"/>
              <w:bottom w:val="nil"/>
              <w:right w:val="nil"/>
            </w:tcBorders>
            <w:vAlign w:val="bottom"/>
          </w:tcPr>
          <w:p w14:paraId="3738F4B5" w14:textId="0420A42C"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0 (0%)</w:t>
            </w:r>
          </w:p>
        </w:tc>
        <w:tc>
          <w:tcPr>
            <w:tcW w:w="897" w:type="dxa"/>
            <w:tcBorders>
              <w:top w:val="nil"/>
              <w:left w:val="nil"/>
              <w:bottom w:val="nil"/>
              <w:right w:val="nil"/>
            </w:tcBorders>
            <w:vAlign w:val="bottom"/>
          </w:tcPr>
          <w:p w14:paraId="1F108D69" w14:textId="61EA7D92"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0D197347" w14:textId="6716BA80"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0 (0%)</w:t>
            </w:r>
          </w:p>
        </w:tc>
      </w:tr>
      <w:tr w:rsidR="003A7F8B" w:rsidRPr="003A7F8B" w14:paraId="08907FE1" w14:textId="77777777" w:rsidTr="00733FE1">
        <w:trPr>
          <w:trHeight w:val="288"/>
        </w:trPr>
        <w:tc>
          <w:tcPr>
            <w:tcW w:w="3000" w:type="dxa"/>
            <w:tcBorders>
              <w:top w:val="nil"/>
              <w:left w:val="nil"/>
              <w:bottom w:val="nil"/>
              <w:right w:val="nil"/>
            </w:tcBorders>
            <w:shd w:val="clear" w:color="auto" w:fill="auto"/>
            <w:noWrap/>
            <w:vAlign w:val="bottom"/>
            <w:hideMark/>
          </w:tcPr>
          <w:p w14:paraId="4DDA3E6D"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MADRS</w:t>
            </w:r>
          </w:p>
        </w:tc>
        <w:tc>
          <w:tcPr>
            <w:tcW w:w="1831" w:type="dxa"/>
            <w:tcBorders>
              <w:top w:val="nil"/>
              <w:left w:val="nil"/>
              <w:bottom w:val="nil"/>
              <w:right w:val="nil"/>
            </w:tcBorders>
            <w:vAlign w:val="bottom"/>
          </w:tcPr>
          <w:p w14:paraId="7F3828D5"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832" w:type="dxa"/>
            <w:tcBorders>
              <w:top w:val="nil"/>
              <w:left w:val="nil"/>
              <w:bottom w:val="nil"/>
              <w:right w:val="nil"/>
            </w:tcBorders>
            <w:vAlign w:val="bottom"/>
          </w:tcPr>
          <w:p w14:paraId="288363C6"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897" w:type="dxa"/>
            <w:tcBorders>
              <w:top w:val="nil"/>
              <w:left w:val="nil"/>
              <w:bottom w:val="nil"/>
              <w:right w:val="nil"/>
            </w:tcBorders>
            <w:vAlign w:val="bottom"/>
          </w:tcPr>
          <w:p w14:paraId="53976816"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4899C399" w14:textId="590DBDD3" w:rsidR="003A7F8B" w:rsidRPr="003A7F8B" w:rsidRDefault="003A7F8B" w:rsidP="003A7F8B">
            <w:pPr>
              <w:spacing w:after="0" w:line="240" w:lineRule="auto"/>
              <w:rPr>
                <w:rFonts w:eastAsia="Times New Roman" w:cs="Times New Roman"/>
                <w:color w:val="000000"/>
                <w:szCs w:val="24"/>
                <w:lang w:val="en-GB" w:eastAsia="en-GB"/>
              </w:rPr>
            </w:pPr>
          </w:p>
        </w:tc>
      </w:tr>
      <w:tr w:rsidR="003A7F8B" w:rsidRPr="003A7F8B" w14:paraId="4650BBEF" w14:textId="77777777" w:rsidTr="00733FE1">
        <w:trPr>
          <w:trHeight w:val="288"/>
        </w:trPr>
        <w:tc>
          <w:tcPr>
            <w:tcW w:w="3000" w:type="dxa"/>
            <w:tcBorders>
              <w:top w:val="nil"/>
              <w:left w:val="nil"/>
              <w:bottom w:val="nil"/>
              <w:right w:val="nil"/>
            </w:tcBorders>
            <w:shd w:val="clear" w:color="auto" w:fill="auto"/>
            <w:noWrap/>
            <w:vAlign w:val="bottom"/>
            <w:hideMark/>
          </w:tcPr>
          <w:p w14:paraId="2A869303"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Mean (SD)</w:t>
            </w:r>
          </w:p>
        </w:tc>
        <w:tc>
          <w:tcPr>
            <w:tcW w:w="1831" w:type="dxa"/>
            <w:tcBorders>
              <w:top w:val="nil"/>
              <w:left w:val="nil"/>
              <w:bottom w:val="nil"/>
              <w:right w:val="nil"/>
            </w:tcBorders>
            <w:vAlign w:val="bottom"/>
          </w:tcPr>
          <w:p w14:paraId="5AF3CABA" w14:textId="02EBAD0A"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26.85 (5.01)</w:t>
            </w:r>
          </w:p>
        </w:tc>
        <w:tc>
          <w:tcPr>
            <w:tcW w:w="1832" w:type="dxa"/>
            <w:tcBorders>
              <w:top w:val="nil"/>
              <w:left w:val="nil"/>
              <w:bottom w:val="nil"/>
              <w:right w:val="nil"/>
            </w:tcBorders>
            <w:vAlign w:val="bottom"/>
          </w:tcPr>
          <w:p w14:paraId="55B51B8F" w14:textId="265A1780"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24.92 (6.09)</w:t>
            </w:r>
          </w:p>
        </w:tc>
        <w:tc>
          <w:tcPr>
            <w:tcW w:w="897" w:type="dxa"/>
            <w:tcBorders>
              <w:top w:val="nil"/>
              <w:left w:val="nil"/>
              <w:bottom w:val="nil"/>
              <w:right w:val="nil"/>
            </w:tcBorders>
            <w:vAlign w:val="bottom"/>
          </w:tcPr>
          <w:p w14:paraId="1FEF1C8F"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07C29D61" w14:textId="728106EE"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26.21 (5.44)</w:t>
            </w:r>
          </w:p>
        </w:tc>
      </w:tr>
      <w:tr w:rsidR="003A7F8B" w:rsidRPr="003A7F8B" w14:paraId="3C3A5A9B" w14:textId="77777777" w:rsidTr="00733FE1">
        <w:trPr>
          <w:trHeight w:val="288"/>
        </w:trPr>
        <w:tc>
          <w:tcPr>
            <w:tcW w:w="3000" w:type="dxa"/>
            <w:tcBorders>
              <w:top w:val="nil"/>
              <w:left w:val="nil"/>
              <w:bottom w:val="nil"/>
              <w:right w:val="nil"/>
            </w:tcBorders>
            <w:shd w:val="clear" w:color="auto" w:fill="auto"/>
            <w:noWrap/>
            <w:vAlign w:val="bottom"/>
            <w:hideMark/>
          </w:tcPr>
          <w:p w14:paraId="2246A581"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Median (IQR)</w:t>
            </w:r>
          </w:p>
        </w:tc>
        <w:tc>
          <w:tcPr>
            <w:tcW w:w="1831" w:type="dxa"/>
            <w:tcBorders>
              <w:top w:val="nil"/>
              <w:left w:val="nil"/>
              <w:bottom w:val="nil"/>
              <w:right w:val="nil"/>
            </w:tcBorders>
            <w:vAlign w:val="bottom"/>
          </w:tcPr>
          <w:p w14:paraId="0A446D0F" w14:textId="69444C30"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27 (23-30)</w:t>
            </w:r>
          </w:p>
        </w:tc>
        <w:tc>
          <w:tcPr>
            <w:tcW w:w="1832" w:type="dxa"/>
            <w:tcBorders>
              <w:top w:val="nil"/>
              <w:left w:val="nil"/>
              <w:bottom w:val="nil"/>
              <w:right w:val="nil"/>
            </w:tcBorders>
            <w:vAlign w:val="bottom"/>
          </w:tcPr>
          <w:p w14:paraId="7E189D28" w14:textId="7C2BB13D"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24 (22-27)</w:t>
            </w:r>
          </w:p>
        </w:tc>
        <w:tc>
          <w:tcPr>
            <w:tcW w:w="897" w:type="dxa"/>
            <w:tcBorders>
              <w:top w:val="nil"/>
              <w:left w:val="nil"/>
              <w:bottom w:val="nil"/>
              <w:right w:val="nil"/>
            </w:tcBorders>
            <w:vAlign w:val="bottom"/>
          </w:tcPr>
          <w:p w14:paraId="1151F707" w14:textId="022B2135"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0.078</w:t>
            </w:r>
          </w:p>
        </w:tc>
        <w:tc>
          <w:tcPr>
            <w:tcW w:w="1520" w:type="dxa"/>
            <w:tcBorders>
              <w:top w:val="nil"/>
              <w:left w:val="nil"/>
              <w:bottom w:val="nil"/>
              <w:right w:val="nil"/>
            </w:tcBorders>
            <w:shd w:val="clear" w:color="auto" w:fill="auto"/>
            <w:noWrap/>
            <w:vAlign w:val="bottom"/>
            <w:hideMark/>
          </w:tcPr>
          <w:p w14:paraId="0B480C00" w14:textId="33276B19"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26 (22.5-30)</w:t>
            </w:r>
          </w:p>
        </w:tc>
      </w:tr>
      <w:tr w:rsidR="003A7F8B" w:rsidRPr="003A7F8B" w14:paraId="2C6FB70D" w14:textId="77777777" w:rsidTr="00733FE1">
        <w:trPr>
          <w:trHeight w:val="288"/>
        </w:trPr>
        <w:tc>
          <w:tcPr>
            <w:tcW w:w="3000" w:type="dxa"/>
            <w:tcBorders>
              <w:top w:val="nil"/>
              <w:left w:val="nil"/>
              <w:bottom w:val="nil"/>
              <w:right w:val="nil"/>
            </w:tcBorders>
            <w:shd w:val="clear" w:color="auto" w:fill="auto"/>
            <w:noWrap/>
            <w:vAlign w:val="bottom"/>
            <w:hideMark/>
          </w:tcPr>
          <w:p w14:paraId="25B2C241"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Missing (%)</w:t>
            </w:r>
          </w:p>
        </w:tc>
        <w:tc>
          <w:tcPr>
            <w:tcW w:w="1831" w:type="dxa"/>
            <w:tcBorders>
              <w:top w:val="nil"/>
              <w:left w:val="nil"/>
              <w:bottom w:val="nil"/>
              <w:right w:val="nil"/>
            </w:tcBorders>
            <w:vAlign w:val="bottom"/>
          </w:tcPr>
          <w:p w14:paraId="60E02DDD" w14:textId="333B6F44"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0 (0%)</w:t>
            </w:r>
          </w:p>
        </w:tc>
        <w:tc>
          <w:tcPr>
            <w:tcW w:w="1832" w:type="dxa"/>
            <w:tcBorders>
              <w:top w:val="nil"/>
              <w:left w:val="nil"/>
              <w:bottom w:val="nil"/>
              <w:right w:val="nil"/>
            </w:tcBorders>
            <w:vAlign w:val="bottom"/>
          </w:tcPr>
          <w:p w14:paraId="134C650F" w14:textId="0A285228"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3 (7.5%)</w:t>
            </w:r>
          </w:p>
        </w:tc>
        <w:tc>
          <w:tcPr>
            <w:tcW w:w="897" w:type="dxa"/>
            <w:tcBorders>
              <w:top w:val="nil"/>
              <w:left w:val="nil"/>
              <w:bottom w:val="nil"/>
              <w:right w:val="nil"/>
            </w:tcBorders>
            <w:vAlign w:val="bottom"/>
          </w:tcPr>
          <w:p w14:paraId="74CDA7E5" w14:textId="7BE0346F"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55D2F833" w14:textId="107E85D0"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3 (2.63%)</w:t>
            </w:r>
          </w:p>
        </w:tc>
      </w:tr>
      <w:tr w:rsidR="003A7F8B" w:rsidRPr="003A7F8B" w14:paraId="180E6459" w14:textId="77777777" w:rsidTr="00733FE1">
        <w:trPr>
          <w:trHeight w:val="288"/>
        </w:trPr>
        <w:tc>
          <w:tcPr>
            <w:tcW w:w="3000" w:type="dxa"/>
            <w:tcBorders>
              <w:top w:val="nil"/>
              <w:left w:val="nil"/>
              <w:bottom w:val="nil"/>
              <w:right w:val="nil"/>
            </w:tcBorders>
            <w:shd w:val="clear" w:color="auto" w:fill="auto"/>
            <w:noWrap/>
            <w:vAlign w:val="bottom"/>
            <w:hideMark/>
          </w:tcPr>
          <w:p w14:paraId="54CE39EC"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BSI: Depression</w:t>
            </w:r>
          </w:p>
        </w:tc>
        <w:tc>
          <w:tcPr>
            <w:tcW w:w="1831" w:type="dxa"/>
            <w:tcBorders>
              <w:top w:val="nil"/>
              <w:left w:val="nil"/>
              <w:bottom w:val="nil"/>
              <w:right w:val="nil"/>
            </w:tcBorders>
            <w:vAlign w:val="bottom"/>
          </w:tcPr>
          <w:p w14:paraId="20B7273D"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832" w:type="dxa"/>
            <w:tcBorders>
              <w:top w:val="nil"/>
              <w:left w:val="nil"/>
              <w:bottom w:val="nil"/>
              <w:right w:val="nil"/>
            </w:tcBorders>
            <w:vAlign w:val="bottom"/>
          </w:tcPr>
          <w:p w14:paraId="2D6911D9"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897" w:type="dxa"/>
            <w:tcBorders>
              <w:top w:val="nil"/>
              <w:left w:val="nil"/>
              <w:bottom w:val="nil"/>
              <w:right w:val="nil"/>
            </w:tcBorders>
            <w:vAlign w:val="bottom"/>
          </w:tcPr>
          <w:p w14:paraId="32DE7EA2"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06910887" w14:textId="10AEE5EB" w:rsidR="003A7F8B" w:rsidRPr="003A7F8B" w:rsidRDefault="003A7F8B" w:rsidP="003A7F8B">
            <w:pPr>
              <w:spacing w:after="0" w:line="240" w:lineRule="auto"/>
              <w:rPr>
                <w:rFonts w:eastAsia="Times New Roman" w:cs="Times New Roman"/>
                <w:color w:val="000000"/>
                <w:szCs w:val="24"/>
                <w:lang w:val="en-GB" w:eastAsia="en-GB"/>
              </w:rPr>
            </w:pPr>
          </w:p>
        </w:tc>
      </w:tr>
      <w:tr w:rsidR="003A7F8B" w:rsidRPr="003A7F8B" w14:paraId="3D9B95B8" w14:textId="77777777" w:rsidTr="00733FE1">
        <w:trPr>
          <w:trHeight w:val="288"/>
        </w:trPr>
        <w:tc>
          <w:tcPr>
            <w:tcW w:w="3000" w:type="dxa"/>
            <w:tcBorders>
              <w:top w:val="nil"/>
              <w:left w:val="nil"/>
              <w:bottom w:val="nil"/>
              <w:right w:val="nil"/>
            </w:tcBorders>
            <w:shd w:val="clear" w:color="auto" w:fill="auto"/>
            <w:noWrap/>
            <w:vAlign w:val="bottom"/>
            <w:hideMark/>
          </w:tcPr>
          <w:p w14:paraId="7B2C6932"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Mean (SD)</w:t>
            </w:r>
          </w:p>
        </w:tc>
        <w:tc>
          <w:tcPr>
            <w:tcW w:w="1831" w:type="dxa"/>
            <w:tcBorders>
              <w:top w:val="nil"/>
              <w:left w:val="nil"/>
              <w:bottom w:val="nil"/>
              <w:right w:val="nil"/>
            </w:tcBorders>
            <w:vAlign w:val="bottom"/>
          </w:tcPr>
          <w:p w14:paraId="312639F2" w14:textId="247BBEA2"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2.68 (0.91)</w:t>
            </w:r>
          </w:p>
        </w:tc>
        <w:tc>
          <w:tcPr>
            <w:tcW w:w="1832" w:type="dxa"/>
            <w:tcBorders>
              <w:top w:val="nil"/>
              <w:left w:val="nil"/>
              <w:bottom w:val="nil"/>
              <w:right w:val="nil"/>
            </w:tcBorders>
            <w:vAlign w:val="bottom"/>
          </w:tcPr>
          <w:p w14:paraId="2289D2AE" w14:textId="3A4D087F"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2.89 (0.8)</w:t>
            </w:r>
          </w:p>
        </w:tc>
        <w:tc>
          <w:tcPr>
            <w:tcW w:w="897" w:type="dxa"/>
            <w:tcBorders>
              <w:top w:val="nil"/>
              <w:left w:val="nil"/>
              <w:bottom w:val="nil"/>
              <w:right w:val="nil"/>
            </w:tcBorders>
            <w:vAlign w:val="bottom"/>
          </w:tcPr>
          <w:p w14:paraId="1C6427EB"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71CC8C36" w14:textId="1CACEDA9"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2.76 (0.88)</w:t>
            </w:r>
          </w:p>
        </w:tc>
      </w:tr>
      <w:tr w:rsidR="003A7F8B" w:rsidRPr="003A7F8B" w14:paraId="098E963F" w14:textId="77777777" w:rsidTr="00733FE1">
        <w:trPr>
          <w:trHeight w:val="288"/>
        </w:trPr>
        <w:tc>
          <w:tcPr>
            <w:tcW w:w="3000" w:type="dxa"/>
            <w:tcBorders>
              <w:top w:val="nil"/>
              <w:left w:val="nil"/>
              <w:bottom w:val="nil"/>
              <w:right w:val="nil"/>
            </w:tcBorders>
            <w:shd w:val="clear" w:color="auto" w:fill="auto"/>
            <w:noWrap/>
            <w:vAlign w:val="bottom"/>
            <w:hideMark/>
          </w:tcPr>
          <w:p w14:paraId="14CB77E2"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Median (IQR)</w:t>
            </w:r>
          </w:p>
        </w:tc>
        <w:tc>
          <w:tcPr>
            <w:tcW w:w="1831" w:type="dxa"/>
            <w:tcBorders>
              <w:top w:val="nil"/>
              <w:left w:val="nil"/>
              <w:bottom w:val="nil"/>
              <w:right w:val="nil"/>
            </w:tcBorders>
            <w:vAlign w:val="bottom"/>
          </w:tcPr>
          <w:p w14:paraId="6D4BD12A" w14:textId="384BBA1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2.75 (1.83-3.33)</w:t>
            </w:r>
          </w:p>
        </w:tc>
        <w:tc>
          <w:tcPr>
            <w:tcW w:w="1832" w:type="dxa"/>
            <w:tcBorders>
              <w:top w:val="nil"/>
              <w:left w:val="nil"/>
              <w:bottom w:val="nil"/>
              <w:right w:val="nil"/>
            </w:tcBorders>
            <w:vAlign w:val="bottom"/>
          </w:tcPr>
          <w:p w14:paraId="10A42DE6" w14:textId="4C2EE8E9"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3 (2.29-3.38)</w:t>
            </w:r>
          </w:p>
        </w:tc>
        <w:tc>
          <w:tcPr>
            <w:tcW w:w="897" w:type="dxa"/>
            <w:tcBorders>
              <w:top w:val="nil"/>
              <w:left w:val="nil"/>
              <w:bottom w:val="nil"/>
              <w:right w:val="nil"/>
            </w:tcBorders>
            <w:vAlign w:val="bottom"/>
          </w:tcPr>
          <w:p w14:paraId="05818AED" w14:textId="4BA5AE18"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0.23</w:t>
            </w:r>
          </w:p>
        </w:tc>
        <w:tc>
          <w:tcPr>
            <w:tcW w:w="1520" w:type="dxa"/>
            <w:tcBorders>
              <w:top w:val="nil"/>
              <w:left w:val="nil"/>
              <w:bottom w:val="nil"/>
              <w:right w:val="nil"/>
            </w:tcBorders>
            <w:shd w:val="clear" w:color="auto" w:fill="auto"/>
            <w:noWrap/>
            <w:vAlign w:val="bottom"/>
            <w:hideMark/>
          </w:tcPr>
          <w:p w14:paraId="5CC2C9E1" w14:textId="495C1985"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2.83 (2.04-3.33)</w:t>
            </w:r>
          </w:p>
        </w:tc>
      </w:tr>
      <w:tr w:rsidR="003A7F8B" w:rsidRPr="003A7F8B" w14:paraId="14C00628" w14:textId="77777777" w:rsidTr="00733FE1">
        <w:trPr>
          <w:trHeight w:val="288"/>
        </w:trPr>
        <w:tc>
          <w:tcPr>
            <w:tcW w:w="3000" w:type="dxa"/>
            <w:tcBorders>
              <w:top w:val="nil"/>
              <w:left w:val="nil"/>
              <w:bottom w:val="nil"/>
              <w:right w:val="nil"/>
            </w:tcBorders>
            <w:shd w:val="clear" w:color="auto" w:fill="auto"/>
            <w:noWrap/>
            <w:vAlign w:val="bottom"/>
            <w:hideMark/>
          </w:tcPr>
          <w:p w14:paraId="3E26AFDA"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Missing (%)</w:t>
            </w:r>
          </w:p>
        </w:tc>
        <w:tc>
          <w:tcPr>
            <w:tcW w:w="1831" w:type="dxa"/>
            <w:tcBorders>
              <w:top w:val="nil"/>
              <w:left w:val="nil"/>
              <w:bottom w:val="nil"/>
              <w:right w:val="nil"/>
            </w:tcBorders>
            <w:vAlign w:val="bottom"/>
          </w:tcPr>
          <w:p w14:paraId="12452D19" w14:textId="3EAA0358"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0 (0%)</w:t>
            </w:r>
          </w:p>
        </w:tc>
        <w:tc>
          <w:tcPr>
            <w:tcW w:w="1832" w:type="dxa"/>
            <w:tcBorders>
              <w:top w:val="nil"/>
              <w:left w:val="nil"/>
              <w:bottom w:val="nil"/>
              <w:right w:val="nil"/>
            </w:tcBorders>
            <w:vAlign w:val="bottom"/>
          </w:tcPr>
          <w:p w14:paraId="02DFE26A" w14:textId="1B4F1280"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0 (0%)</w:t>
            </w:r>
          </w:p>
        </w:tc>
        <w:tc>
          <w:tcPr>
            <w:tcW w:w="897" w:type="dxa"/>
            <w:tcBorders>
              <w:top w:val="nil"/>
              <w:left w:val="nil"/>
              <w:bottom w:val="nil"/>
              <w:right w:val="nil"/>
            </w:tcBorders>
            <w:vAlign w:val="bottom"/>
          </w:tcPr>
          <w:p w14:paraId="61FDB72D" w14:textId="634883D4"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6D35042D" w14:textId="55BB6CAE"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0 (0%)</w:t>
            </w:r>
          </w:p>
        </w:tc>
      </w:tr>
      <w:tr w:rsidR="003A7F8B" w:rsidRPr="003A7F8B" w14:paraId="45C874B3" w14:textId="77777777" w:rsidTr="00733FE1">
        <w:trPr>
          <w:trHeight w:val="288"/>
        </w:trPr>
        <w:tc>
          <w:tcPr>
            <w:tcW w:w="3000" w:type="dxa"/>
            <w:tcBorders>
              <w:top w:val="nil"/>
              <w:left w:val="nil"/>
              <w:bottom w:val="nil"/>
              <w:right w:val="nil"/>
            </w:tcBorders>
            <w:shd w:val="clear" w:color="auto" w:fill="auto"/>
            <w:noWrap/>
            <w:vAlign w:val="bottom"/>
            <w:hideMark/>
          </w:tcPr>
          <w:p w14:paraId="25B8DF56"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Hospitalisation in</w:t>
            </w:r>
          </w:p>
        </w:tc>
        <w:tc>
          <w:tcPr>
            <w:tcW w:w="1831" w:type="dxa"/>
            <w:tcBorders>
              <w:top w:val="nil"/>
              <w:left w:val="nil"/>
              <w:bottom w:val="nil"/>
              <w:right w:val="nil"/>
            </w:tcBorders>
            <w:vAlign w:val="bottom"/>
          </w:tcPr>
          <w:p w14:paraId="245C923E"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832" w:type="dxa"/>
            <w:tcBorders>
              <w:top w:val="nil"/>
              <w:left w:val="nil"/>
              <w:bottom w:val="nil"/>
              <w:right w:val="nil"/>
            </w:tcBorders>
            <w:vAlign w:val="bottom"/>
          </w:tcPr>
          <w:p w14:paraId="0E63174A"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897" w:type="dxa"/>
            <w:tcBorders>
              <w:top w:val="nil"/>
              <w:left w:val="nil"/>
              <w:bottom w:val="nil"/>
              <w:right w:val="nil"/>
            </w:tcBorders>
            <w:vAlign w:val="bottom"/>
          </w:tcPr>
          <w:p w14:paraId="0A811F4B"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405C9F90" w14:textId="5D691BCE" w:rsidR="003A7F8B" w:rsidRPr="003A7F8B" w:rsidRDefault="003A7F8B" w:rsidP="003A7F8B">
            <w:pPr>
              <w:spacing w:after="0" w:line="240" w:lineRule="auto"/>
              <w:rPr>
                <w:rFonts w:eastAsia="Times New Roman" w:cs="Times New Roman"/>
                <w:color w:val="000000"/>
                <w:szCs w:val="24"/>
                <w:lang w:val="en-GB" w:eastAsia="en-GB"/>
              </w:rPr>
            </w:pPr>
          </w:p>
        </w:tc>
      </w:tr>
      <w:tr w:rsidR="003A7F8B" w:rsidRPr="003A7F8B" w14:paraId="676D1DC8" w14:textId="77777777" w:rsidTr="00733FE1">
        <w:trPr>
          <w:trHeight w:val="288"/>
        </w:trPr>
        <w:tc>
          <w:tcPr>
            <w:tcW w:w="3000" w:type="dxa"/>
            <w:tcBorders>
              <w:top w:val="nil"/>
              <w:left w:val="nil"/>
              <w:bottom w:val="nil"/>
              <w:right w:val="nil"/>
            </w:tcBorders>
            <w:shd w:val="clear" w:color="auto" w:fill="auto"/>
            <w:noWrap/>
            <w:vAlign w:val="bottom"/>
            <w:hideMark/>
          </w:tcPr>
          <w:p w14:paraId="3631C70D"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Day-clinic</w:t>
            </w:r>
          </w:p>
        </w:tc>
        <w:tc>
          <w:tcPr>
            <w:tcW w:w="1831" w:type="dxa"/>
            <w:tcBorders>
              <w:top w:val="nil"/>
              <w:left w:val="nil"/>
              <w:bottom w:val="nil"/>
              <w:right w:val="nil"/>
            </w:tcBorders>
            <w:vAlign w:val="bottom"/>
          </w:tcPr>
          <w:p w14:paraId="352C4CF7" w14:textId="71162148"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15 (20.27%)</w:t>
            </w:r>
          </w:p>
        </w:tc>
        <w:tc>
          <w:tcPr>
            <w:tcW w:w="1832" w:type="dxa"/>
            <w:tcBorders>
              <w:top w:val="nil"/>
              <w:left w:val="nil"/>
              <w:bottom w:val="nil"/>
              <w:right w:val="nil"/>
            </w:tcBorders>
            <w:vAlign w:val="bottom"/>
          </w:tcPr>
          <w:p w14:paraId="7F9175F8" w14:textId="7907C0E9"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14 (35%)</w:t>
            </w:r>
          </w:p>
        </w:tc>
        <w:tc>
          <w:tcPr>
            <w:tcW w:w="897" w:type="dxa"/>
            <w:tcBorders>
              <w:top w:val="nil"/>
              <w:left w:val="nil"/>
              <w:bottom w:val="nil"/>
              <w:right w:val="nil"/>
            </w:tcBorders>
            <w:vAlign w:val="bottom"/>
          </w:tcPr>
          <w:p w14:paraId="0A67ADEC"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2EAE1743" w14:textId="169A3692"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29 (25.44%)</w:t>
            </w:r>
          </w:p>
        </w:tc>
      </w:tr>
      <w:tr w:rsidR="003A7F8B" w:rsidRPr="003A7F8B" w14:paraId="131B4107" w14:textId="77777777" w:rsidTr="00733FE1">
        <w:trPr>
          <w:trHeight w:val="288"/>
        </w:trPr>
        <w:tc>
          <w:tcPr>
            <w:tcW w:w="3000" w:type="dxa"/>
            <w:tcBorders>
              <w:top w:val="nil"/>
              <w:left w:val="nil"/>
              <w:bottom w:val="nil"/>
              <w:right w:val="nil"/>
            </w:tcBorders>
            <w:shd w:val="clear" w:color="auto" w:fill="auto"/>
            <w:noWrap/>
            <w:vAlign w:val="bottom"/>
            <w:hideMark/>
          </w:tcPr>
          <w:p w14:paraId="601C79B1"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Ward</w:t>
            </w:r>
          </w:p>
        </w:tc>
        <w:tc>
          <w:tcPr>
            <w:tcW w:w="1831" w:type="dxa"/>
            <w:tcBorders>
              <w:top w:val="nil"/>
              <w:left w:val="nil"/>
              <w:bottom w:val="nil"/>
              <w:right w:val="nil"/>
            </w:tcBorders>
            <w:vAlign w:val="bottom"/>
          </w:tcPr>
          <w:p w14:paraId="680B6175" w14:textId="3980B14B"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59 (79.73%)</w:t>
            </w:r>
          </w:p>
        </w:tc>
        <w:tc>
          <w:tcPr>
            <w:tcW w:w="1832" w:type="dxa"/>
            <w:tcBorders>
              <w:top w:val="nil"/>
              <w:left w:val="nil"/>
              <w:bottom w:val="nil"/>
              <w:right w:val="nil"/>
            </w:tcBorders>
            <w:vAlign w:val="bottom"/>
          </w:tcPr>
          <w:p w14:paraId="17A6BEF7" w14:textId="191E4D76"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26 (65%)</w:t>
            </w:r>
          </w:p>
        </w:tc>
        <w:tc>
          <w:tcPr>
            <w:tcW w:w="897" w:type="dxa"/>
            <w:tcBorders>
              <w:top w:val="nil"/>
              <w:left w:val="nil"/>
              <w:bottom w:val="nil"/>
              <w:right w:val="nil"/>
            </w:tcBorders>
            <w:vAlign w:val="bottom"/>
          </w:tcPr>
          <w:p w14:paraId="72F8CE10" w14:textId="2E149F45"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0.134</w:t>
            </w:r>
          </w:p>
        </w:tc>
        <w:tc>
          <w:tcPr>
            <w:tcW w:w="1520" w:type="dxa"/>
            <w:tcBorders>
              <w:top w:val="nil"/>
              <w:left w:val="nil"/>
              <w:bottom w:val="nil"/>
              <w:right w:val="nil"/>
            </w:tcBorders>
            <w:shd w:val="clear" w:color="auto" w:fill="auto"/>
            <w:noWrap/>
            <w:vAlign w:val="bottom"/>
            <w:hideMark/>
          </w:tcPr>
          <w:p w14:paraId="3F7554B1" w14:textId="4687EFE8"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85 (74.56%)</w:t>
            </w:r>
          </w:p>
        </w:tc>
      </w:tr>
      <w:tr w:rsidR="003A7F8B" w:rsidRPr="003A7F8B" w14:paraId="17E9CCE1" w14:textId="77777777" w:rsidTr="00733FE1">
        <w:trPr>
          <w:trHeight w:val="288"/>
        </w:trPr>
        <w:tc>
          <w:tcPr>
            <w:tcW w:w="3000" w:type="dxa"/>
            <w:tcBorders>
              <w:top w:val="nil"/>
              <w:left w:val="nil"/>
              <w:bottom w:val="nil"/>
              <w:right w:val="nil"/>
            </w:tcBorders>
            <w:shd w:val="clear" w:color="auto" w:fill="auto"/>
            <w:noWrap/>
            <w:vAlign w:val="bottom"/>
            <w:hideMark/>
          </w:tcPr>
          <w:p w14:paraId="179A65A3"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Missing (%)</w:t>
            </w:r>
          </w:p>
        </w:tc>
        <w:tc>
          <w:tcPr>
            <w:tcW w:w="1831" w:type="dxa"/>
            <w:tcBorders>
              <w:top w:val="nil"/>
              <w:left w:val="nil"/>
              <w:bottom w:val="nil"/>
              <w:right w:val="nil"/>
            </w:tcBorders>
            <w:vAlign w:val="bottom"/>
          </w:tcPr>
          <w:p w14:paraId="5E3F4DF6" w14:textId="3A8E58B9"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0 (0%)</w:t>
            </w:r>
          </w:p>
        </w:tc>
        <w:tc>
          <w:tcPr>
            <w:tcW w:w="1832" w:type="dxa"/>
            <w:tcBorders>
              <w:top w:val="nil"/>
              <w:left w:val="nil"/>
              <w:bottom w:val="nil"/>
              <w:right w:val="nil"/>
            </w:tcBorders>
            <w:vAlign w:val="bottom"/>
          </w:tcPr>
          <w:p w14:paraId="3D9EB321" w14:textId="01EE752C"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0 (0%)</w:t>
            </w:r>
          </w:p>
        </w:tc>
        <w:tc>
          <w:tcPr>
            <w:tcW w:w="897" w:type="dxa"/>
            <w:tcBorders>
              <w:top w:val="nil"/>
              <w:left w:val="nil"/>
              <w:bottom w:val="nil"/>
              <w:right w:val="nil"/>
            </w:tcBorders>
            <w:vAlign w:val="bottom"/>
          </w:tcPr>
          <w:p w14:paraId="0C4ACDE3" w14:textId="6FF63F71"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1939EB9E" w14:textId="4E062ED4"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0 (0%)</w:t>
            </w:r>
          </w:p>
        </w:tc>
      </w:tr>
      <w:tr w:rsidR="003A7F8B" w:rsidRPr="003A7F8B" w14:paraId="0C7655A8" w14:textId="77777777" w:rsidTr="00733FE1">
        <w:trPr>
          <w:trHeight w:val="288"/>
        </w:trPr>
        <w:tc>
          <w:tcPr>
            <w:tcW w:w="3000" w:type="dxa"/>
            <w:tcBorders>
              <w:top w:val="nil"/>
              <w:left w:val="nil"/>
              <w:bottom w:val="nil"/>
              <w:right w:val="nil"/>
            </w:tcBorders>
            <w:shd w:val="clear" w:color="auto" w:fill="auto"/>
            <w:noWrap/>
            <w:vAlign w:val="bottom"/>
            <w:hideMark/>
          </w:tcPr>
          <w:p w14:paraId="7F657F7E"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Number of psychiatric diagnoses</w:t>
            </w:r>
          </w:p>
        </w:tc>
        <w:tc>
          <w:tcPr>
            <w:tcW w:w="1831" w:type="dxa"/>
            <w:tcBorders>
              <w:top w:val="nil"/>
              <w:left w:val="nil"/>
              <w:bottom w:val="nil"/>
              <w:right w:val="nil"/>
            </w:tcBorders>
            <w:vAlign w:val="bottom"/>
          </w:tcPr>
          <w:p w14:paraId="3C3F4C8B"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832" w:type="dxa"/>
            <w:tcBorders>
              <w:top w:val="nil"/>
              <w:left w:val="nil"/>
              <w:bottom w:val="nil"/>
              <w:right w:val="nil"/>
            </w:tcBorders>
            <w:vAlign w:val="bottom"/>
          </w:tcPr>
          <w:p w14:paraId="63684C5B"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897" w:type="dxa"/>
            <w:tcBorders>
              <w:top w:val="nil"/>
              <w:left w:val="nil"/>
              <w:bottom w:val="nil"/>
              <w:right w:val="nil"/>
            </w:tcBorders>
            <w:vAlign w:val="bottom"/>
          </w:tcPr>
          <w:p w14:paraId="3346336C"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73D907F8" w14:textId="2CC92939" w:rsidR="003A7F8B" w:rsidRPr="003A7F8B" w:rsidRDefault="003A7F8B" w:rsidP="003A7F8B">
            <w:pPr>
              <w:spacing w:after="0" w:line="240" w:lineRule="auto"/>
              <w:rPr>
                <w:rFonts w:eastAsia="Times New Roman" w:cs="Times New Roman"/>
                <w:color w:val="000000"/>
                <w:szCs w:val="24"/>
                <w:lang w:val="en-GB" w:eastAsia="en-GB"/>
              </w:rPr>
            </w:pPr>
          </w:p>
        </w:tc>
      </w:tr>
      <w:tr w:rsidR="003A7F8B" w:rsidRPr="003A7F8B" w14:paraId="670E3DE4" w14:textId="77777777" w:rsidTr="00733FE1">
        <w:trPr>
          <w:trHeight w:val="288"/>
        </w:trPr>
        <w:tc>
          <w:tcPr>
            <w:tcW w:w="3000" w:type="dxa"/>
            <w:tcBorders>
              <w:top w:val="nil"/>
              <w:left w:val="nil"/>
              <w:bottom w:val="nil"/>
              <w:right w:val="nil"/>
            </w:tcBorders>
            <w:shd w:val="clear" w:color="auto" w:fill="auto"/>
            <w:noWrap/>
            <w:vAlign w:val="bottom"/>
            <w:hideMark/>
          </w:tcPr>
          <w:p w14:paraId="32C0C448"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Mean (SD)</w:t>
            </w:r>
          </w:p>
        </w:tc>
        <w:tc>
          <w:tcPr>
            <w:tcW w:w="1831" w:type="dxa"/>
            <w:tcBorders>
              <w:top w:val="nil"/>
              <w:left w:val="nil"/>
              <w:bottom w:val="nil"/>
              <w:right w:val="nil"/>
            </w:tcBorders>
            <w:vAlign w:val="bottom"/>
          </w:tcPr>
          <w:p w14:paraId="673854C1" w14:textId="286ACD3A"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5.21 (3.12)</w:t>
            </w:r>
          </w:p>
        </w:tc>
        <w:tc>
          <w:tcPr>
            <w:tcW w:w="1832" w:type="dxa"/>
            <w:tcBorders>
              <w:top w:val="nil"/>
              <w:left w:val="nil"/>
              <w:bottom w:val="nil"/>
              <w:right w:val="nil"/>
            </w:tcBorders>
            <w:vAlign w:val="bottom"/>
          </w:tcPr>
          <w:p w14:paraId="77184FDE" w14:textId="244FEEA2"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5.11 (2.46)</w:t>
            </w:r>
          </w:p>
        </w:tc>
        <w:tc>
          <w:tcPr>
            <w:tcW w:w="897" w:type="dxa"/>
            <w:tcBorders>
              <w:top w:val="nil"/>
              <w:left w:val="nil"/>
              <w:bottom w:val="nil"/>
              <w:right w:val="nil"/>
            </w:tcBorders>
            <w:vAlign w:val="bottom"/>
          </w:tcPr>
          <w:p w14:paraId="7ABCFD18"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2836C51D" w14:textId="272F9372"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5.17 (2.9)</w:t>
            </w:r>
          </w:p>
        </w:tc>
      </w:tr>
      <w:tr w:rsidR="003A7F8B" w:rsidRPr="003A7F8B" w14:paraId="5C055207" w14:textId="77777777" w:rsidTr="00733FE1">
        <w:trPr>
          <w:trHeight w:val="288"/>
        </w:trPr>
        <w:tc>
          <w:tcPr>
            <w:tcW w:w="3000" w:type="dxa"/>
            <w:tcBorders>
              <w:top w:val="nil"/>
              <w:left w:val="nil"/>
              <w:right w:val="nil"/>
            </w:tcBorders>
            <w:shd w:val="clear" w:color="auto" w:fill="auto"/>
            <w:noWrap/>
            <w:vAlign w:val="bottom"/>
            <w:hideMark/>
          </w:tcPr>
          <w:p w14:paraId="286953A8"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Median (IQR)</w:t>
            </w:r>
          </w:p>
        </w:tc>
        <w:tc>
          <w:tcPr>
            <w:tcW w:w="1831" w:type="dxa"/>
            <w:tcBorders>
              <w:top w:val="nil"/>
              <w:left w:val="nil"/>
              <w:right w:val="nil"/>
            </w:tcBorders>
            <w:vAlign w:val="bottom"/>
          </w:tcPr>
          <w:p w14:paraId="0C18ED55" w14:textId="2982780C"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5 (3-8)</w:t>
            </w:r>
          </w:p>
        </w:tc>
        <w:tc>
          <w:tcPr>
            <w:tcW w:w="1832" w:type="dxa"/>
            <w:tcBorders>
              <w:top w:val="nil"/>
              <w:left w:val="nil"/>
              <w:right w:val="nil"/>
            </w:tcBorders>
            <w:vAlign w:val="bottom"/>
          </w:tcPr>
          <w:p w14:paraId="33559AD0" w14:textId="0D442ADF"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5 (3-7)</w:t>
            </w:r>
          </w:p>
        </w:tc>
        <w:tc>
          <w:tcPr>
            <w:tcW w:w="897" w:type="dxa"/>
            <w:tcBorders>
              <w:top w:val="nil"/>
              <w:left w:val="nil"/>
              <w:right w:val="nil"/>
            </w:tcBorders>
            <w:vAlign w:val="bottom"/>
          </w:tcPr>
          <w:p w14:paraId="7620FB98" w14:textId="682EEEA9"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0.864</w:t>
            </w:r>
          </w:p>
        </w:tc>
        <w:tc>
          <w:tcPr>
            <w:tcW w:w="1520" w:type="dxa"/>
            <w:tcBorders>
              <w:top w:val="nil"/>
              <w:left w:val="nil"/>
              <w:right w:val="nil"/>
            </w:tcBorders>
            <w:shd w:val="clear" w:color="auto" w:fill="auto"/>
            <w:noWrap/>
            <w:vAlign w:val="bottom"/>
            <w:hideMark/>
          </w:tcPr>
          <w:p w14:paraId="6BBB2939" w14:textId="3F466EE4"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5 (3-7)</w:t>
            </w:r>
          </w:p>
        </w:tc>
      </w:tr>
      <w:tr w:rsidR="003A7F8B" w:rsidRPr="003A7F8B" w14:paraId="56189A19" w14:textId="77777777" w:rsidTr="00733FE1">
        <w:trPr>
          <w:trHeight w:val="288"/>
        </w:trPr>
        <w:tc>
          <w:tcPr>
            <w:tcW w:w="3000" w:type="dxa"/>
            <w:tcBorders>
              <w:top w:val="nil"/>
              <w:left w:val="nil"/>
              <w:bottom w:val="single" w:sz="4" w:space="0" w:color="auto"/>
              <w:right w:val="nil"/>
            </w:tcBorders>
            <w:shd w:val="clear" w:color="auto" w:fill="auto"/>
            <w:noWrap/>
            <w:vAlign w:val="bottom"/>
            <w:hideMark/>
          </w:tcPr>
          <w:p w14:paraId="5328BBFF"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Missing (%)</w:t>
            </w:r>
          </w:p>
        </w:tc>
        <w:tc>
          <w:tcPr>
            <w:tcW w:w="1831" w:type="dxa"/>
            <w:tcBorders>
              <w:top w:val="nil"/>
              <w:left w:val="nil"/>
              <w:bottom w:val="single" w:sz="4" w:space="0" w:color="auto"/>
              <w:right w:val="nil"/>
            </w:tcBorders>
            <w:vAlign w:val="bottom"/>
          </w:tcPr>
          <w:p w14:paraId="249E01C6" w14:textId="0B2D5D92"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1 (1.35%)</w:t>
            </w:r>
          </w:p>
        </w:tc>
        <w:tc>
          <w:tcPr>
            <w:tcW w:w="1832" w:type="dxa"/>
            <w:tcBorders>
              <w:top w:val="nil"/>
              <w:left w:val="nil"/>
              <w:bottom w:val="single" w:sz="4" w:space="0" w:color="auto"/>
              <w:right w:val="nil"/>
            </w:tcBorders>
            <w:vAlign w:val="bottom"/>
          </w:tcPr>
          <w:p w14:paraId="5CB6D3B5" w14:textId="666B5220"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2 (5%)</w:t>
            </w:r>
          </w:p>
        </w:tc>
        <w:tc>
          <w:tcPr>
            <w:tcW w:w="897" w:type="dxa"/>
            <w:tcBorders>
              <w:top w:val="nil"/>
              <w:left w:val="nil"/>
              <w:bottom w:val="single" w:sz="4" w:space="0" w:color="auto"/>
              <w:right w:val="nil"/>
            </w:tcBorders>
            <w:vAlign w:val="bottom"/>
          </w:tcPr>
          <w:p w14:paraId="6CE4AB3B" w14:textId="54ECD3AD"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single" w:sz="4" w:space="0" w:color="auto"/>
              <w:right w:val="nil"/>
            </w:tcBorders>
            <w:shd w:val="clear" w:color="auto" w:fill="auto"/>
            <w:noWrap/>
            <w:vAlign w:val="bottom"/>
            <w:hideMark/>
          </w:tcPr>
          <w:p w14:paraId="5CC0FD3A" w14:textId="6A60F4D8"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3 (2.63%)</w:t>
            </w:r>
          </w:p>
        </w:tc>
      </w:tr>
    </w:tbl>
    <w:p w14:paraId="1ADFF970" w14:textId="1D5429F7" w:rsidR="00857C3B" w:rsidRPr="00C94E69" w:rsidRDefault="009D09DF" w:rsidP="009D09DF">
      <w:pPr>
        <w:spacing w:line="240" w:lineRule="auto"/>
        <w:rPr>
          <w:rFonts w:cs="Times New Roman"/>
          <w:szCs w:val="24"/>
          <w:lang w:val="en-GB"/>
        </w:rPr>
      </w:pPr>
      <w:r w:rsidRPr="009D09DF">
        <w:rPr>
          <w:rFonts w:cs="Times New Roman"/>
          <w:i/>
          <w:szCs w:val="24"/>
          <w:lang w:val="en-GB"/>
        </w:rPr>
        <w:t>Note</w:t>
      </w:r>
      <w:r>
        <w:rPr>
          <w:rFonts w:cs="Times New Roman"/>
          <w:szCs w:val="24"/>
          <w:lang w:val="en-GB"/>
        </w:rPr>
        <w:t xml:space="preserve">: </w:t>
      </w:r>
      <w:proofErr w:type="spellStart"/>
      <w:r w:rsidRPr="009D09DF">
        <w:rPr>
          <w:rFonts w:cs="Times New Roman"/>
          <w:szCs w:val="24"/>
          <w:vertAlign w:val="superscript"/>
          <w:lang w:val="en-GB"/>
        </w:rPr>
        <w:t>a</w:t>
      </w:r>
      <w:r>
        <w:rPr>
          <w:rFonts w:cs="Times New Roman"/>
          <w:szCs w:val="24"/>
          <w:lang w:val="en-GB"/>
        </w:rPr>
        <w:t>P</w:t>
      </w:r>
      <w:proofErr w:type="spellEnd"/>
      <w:r>
        <w:rPr>
          <w:rFonts w:cs="Times New Roman"/>
          <w:szCs w:val="24"/>
          <w:lang w:val="en-GB"/>
        </w:rPr>
        <w:t>-values are based on T-tests and χ</w:t>
      </w:r>
      <w:r w:rsidRPr="009D09DF">
        <w:rPr>
          <w:rFonts w:cs="Times New Roman"/>
          <w:szCs w:val="24"/>
          <w:vertAlign w:val="superscript"/>
          <w:lang w:val="en-GB"/>
        </w:rPr>
        <w:t>2</w:t>
      </w:r>
      <w:r>
        <w:rPr>
          <w:rFonts w:cs="Times New Roman"/>
          <w:szCs w:val="24"/>
          <w:lang w:val="en-GB"/>
        </w:rPr>
        <w:t xml:space="preserve">-tests for continuous and categorical variables, respectively. </w:t>
      </w:r>
    </w:p>
    <w:p w14:paraId="74E51178" w14:textId="7DE8E5D0" w:rsidR="00C94E69" w:rsidRDefault="00F655D7" w:rsidP="00F655D7">
      <w:pPr>
        <w:pStyle w:val="Heading2"/>
      </w:pPr>
      <w:r>
        <w:t>Treatment Prediction</w:t>
      </w:r>
    </w:p>
    <w:p w14:paraId="6AC54A2E" w14:textId="3E774E42" w:rsidR="00F655D7" w:rsidRDefault="007C1CE8" w:rsidP="00F655D7">
      <w:pPr>
        <w:rPr>
          <w:lang w:val="en-CA" w:eastAsia="en-CA"/>
        </w:rPr>
      </w:pPr>
      <w:r>
        <w:rPr>
          <w:lang w:val="en-CA" w:eastAsia="en-CA"/>
        </w:rPr>
        <w:t>T</w:t>
      </w:r>
      <w:r w:rsidR="00F655D7">
        <w:rPr>
          <w:lang w:val="en-CA" w:eastAsia="en-CA"/>
        </w:rPr>
        <w:t>bc</w:t>
      </w:r>
    </w:p>
    <w:p w14:paraId="75410FA1" w14:textId="77777777" w:rsidR="00C1511D" w:rsidRDefault="00C1511D" w:rsidP="00C1511D">
      <w:pPr>
        <w:spacing w:line="240" w:lineRule="auto"/>
        <w:rPr>
          <w:b/>
          <w:lang w:val="en-CA" w:eastAsia="en-CA"/>
        </w:rPr>
        <w:sectPr w:rsidR="00C1511D">
          <w:pgSz w:w="12240" w:h="15840"/>
          <w:pgMar w:top="1417" w:right="1417" w:bottom="1134" w:left="1417" w:header="708" w:footer="708" w:gutter="0"/>
          <w:cols w:space="708"/>
          <w:docGrid w:linePitch="360"/>
        </w:sectPr>
      </w:pPr>
    </w:p>
    <w:p w14:paraId="26604933" w14:textId="21E5502A" w:rsidR="00C1511D" w:rsidRPr="00C1511D" w:rsidRDefault="00C1511D" w:rsidP="00C1511D">
      <w:pPr>
        <w:spacing w:line="240" w:lineRule="auto"/>
        <w:rPr>
          <w:b/>
          <w:lang w:val="en-CA" w:eastAsia="en-CA"/>
        </w:rPr>
      </w:pPr>
      <w:r w:rsidRPr="00C1511D">
        <w:rPr>
          <w:b/>
          <w:lang w:val="en-CA" w:eastAsia="en-CA"/>
        </w:rPr>
        <w:lastRenderedPageBreak/>
        <w:t>Table 2</w:t>
      </w:r>
    </w:p>
    <w:p w14:paraId="02020848" w14:textId="6BDA57AA" w:rsidR="00EA27B2" w:rsidRPr="00C1511D" w:rsidRDefault="00C1511D" w:rsidP="00C1511D">
      <w:pPr>
        <w:spacing w:line="240" w:lineRule="auto"/>
        <w:rPr>
          <w:i/>
          <w:lang w:val="en-CA" w:eastAsia="en-CA"/>
        </w:rPr>
      </w:pPr>
      <w:r w:rsidRPr="00C1511D">
        <w:rPr>
          <w:i/>
          <w:lang w:val="en-CA" w:eastAsia="en-CA"/>
        </w:rPr>
        <w:t>Treatment Prediction Results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972"/>
        <w:gridCol w:w="1635"/>
        <w:gridCol w:w="1636"/>
        <w:gridCol w:w="1636"/>
        <w:gridCol w:w="1635"/>
        <w:gridCol w:w="1636"/>
        <w:gridCol w:w="1636"/>
      </w:tblGrid>
      <w:tr w:rsidR="00DB0DAC" w:rsidRPr="007B3622" w14:paraId="5EA59760" w14:textId="77777777" w:rsidTr="00815C76">
        <w:trPr>
          <w:trHeight w:val="385"/>
        </w:trPr>
        <w:tc>
          <w:tcPr>
            <w:tcW w:w="2972" w:type="dxa"/>
            <w:tcBorders>
              <w:top w:val="single" w:sz="4" w:space="0" w:color="auto"/>
            </w:tcBorders>
          </w:tcPr>
          <w:p w14:paraId="75CAB658" w14:textId="77777777" w:rsidR="00DB0DAC" w:rsidRDefault="00DB0DAC" w:rsidP="00C1511D">
            <w:pPr>
              <w:spacing w:line="240" w:lineRule="auto"/>
              <w:rPr>
                <w:lang w:val="en-CA" w:eastAsia="en-CA"/>
              </w:rPr>
            </w:pPr>
          </w:p>
        </w:tc>
        <w:tc>
          <w:tcPr>
            <w:tcW w:w="4907" w:type="dxa"/>
            <w:gridSpan w:val="3"/>
            <w:tcBorders>
              <w:top w:val="single" w:sz="4" w:space="0" w:color="auto"/>
              <w:bottom w:val="single" w:sz="4" w:space="0" w:color="auto"/>
            </w:tcBorders>
            <w:vAlign w:val="bottom"/>
          </w:tcPr>
          <w:p w14:paraId="6D6DBDCB" w14:textId="5CD6CC06" w:rsidR="00DB0DAC" w:rsidRDefault="00DB0DAC" w:rsidP="00C1511D">
            <w:pPr>
              <w:spacing w:line="240" w:lineRule="auto"/>
              <w:jc w:val="center"/>
              <w:rPr>
                <w:lang w:val="en-CA" w:eastAsia="en-CA"/>
              </w:rPr>
            </w:pPr>
            <w:r>
              <w:rPr>
                <w:lang w:val="en-CA" w:eastAsia="en-CA"/>
              </w:rPr>
              <w:t xml:space="preserve">Baseline </w:t>
            </w:r>
            <w:r w:rsidR="00CF3EBA">
              <w:rPr>
                <w:lang w:val="en-CA" w:eastAsia="en-CA"/>
              </w:rPr>
              <w:t>feature set</w:t>
            </w:r>
          </w:p>
        </w:tc>
        <w:tc>
          <w:tcPr>
            <w:tcW w:w="4907" w:type="dxa"/>
            <w:gridSpan w:val="3"/>
            <w:tcBorders>
              <w:top w:val="single" w:sz="4" w:space="0" w:color="auto"/>
              <w:bottom w:val="single" w:sz="4" w:space="0" w:color="auto"/>
            </w:tcBorders>
            <w:vAlign w:val="bottom"/>
          </w:tcPr>
          <w:p w14:paraId="5A21D2EC" w14:textId="7763B4F4" w:rsidR="00DB0DAC" w:rsidRDefault="00CF3EBA" w:rsidP="00C1511D">
            <w:pPr>
              <w:spacing w:line="240" w:lineRule="auto"/>
              <w:jc w:val="center"/>
              <w:rPr>
                <w:lang w:val="en-CA" w:eastAsia="en-CA"/>
              </w:rPr>
            </w:pPr>
            <w:r>
              <w:rPr>
                <w:lang w:val="en-CA" w:eastAsia="en-CA"/>
              </w:rPr>
              <w:t>Feature set</w:t>
            </w:r>
            <w:r w:rsidR="00DB0DAC">
              <w:rPr>
                <w:lang w:val="en-CA" w:eastAsia="en-CA"/>
              </w:rPr>
              <w:t xml:space="preserve"> including age, sex, baseline symptom severity</w:t>
            </w:r>
            <w:r w:rsidR="00B92172">
              <w:rPr>
                <w:lang w:val="en-CA" w:eastAsia="en-CA"/>
              </w:rPr>
              <w:t>, and BMI</w:t>
            </w:r>
          </w:p>
        </w:tc>
      </w:tr>
      <w:tr w:rsidR="00C1511D" w14:paraId="6778C4B7" w14:textId="77777777" w:rsidTr="00815C76">
        <w:trPr>
          <w:trHeight w:val="385"/>
        </w:trPr>
        <w:tc>
          <w:tcPr>
            <w:tcW w:w="2972" w:type="dxa"/>
            <w:tcBorders>
              <w:bottom w:val="single" w:sz="4" w:space="0" w:color="auto"/>
            </w:tcBorders>
            <w:vAlign w:val="bottom"/>
          </w:tcPr>
          <w:p w14:paraId="36EC3779" w14:textId="17551097" w:rsidR="00FE12E4" w:rsidRDefault="00E427CC" w:rsidP="00DB0DAC">
            <w:pPr>
              <w:spacing w:line="240" w:lineRule="auto"/>
              <w:rPr>
                <w:lang w:val="en-CA" w:eastAsia="en-CA"/>
              </w:rPr>
            </w:pPr>
            <w:r>
              <w:rPr>
                <w:lang w:val="en-CA" w:eastAsia="en-CA"/>
              </w:rPr>
              <w:t>Feature s</w:t>
            </w:r>
            <w:r w:rsidR="00666973">
              <w:rPr>
                <w:lang w:val="en-CA" w:eastAsia="en-CA"/>
              </w:rPr>
              <w:t>et</w:t>
            </w:r>
          </w:p>
        </w:tc>
        <w:tc>
          <w:tcPr>
            <w:tcW w:w="1635" w:type="dxa"/>
            <w:tcBorders>
              <w:top w:val="single" w:sz="4" w:space="0" w:color="auto"/>
              <w:bottom w:val="single" w:sz="4" w:space="0" w:color="auto"/>
            </w:tcBorders>
            <w:vAlign w:val="bottom"/>
          </w:tcPr>
          <w:p w14:paraId="1F18E8A3" w14:textId="5D4F214A" w:rsidR="00FE12E4" w:rsidRDefault="00FE12E4" w:rsidP="00C1511D">
            <w:pPr>
              <w:spacing w:line="240" w:lineRule="auto"/>
              <w:rPr>
                <w:lang w:val="en-CA" w:eastAsia="en-CA"/>
              </w:rPr>
            </w:pPr>
            <w:r>
              <w:rPr>
                <w:lang w:val="en-CA" w:eastAsia="en-CA"/>
              </w:rPr>
              <w:t>RMSEA</w:t>
            </w:r>
          </w:p>
        </w:tc>
        <w:tc>
          <w:tcPr>
            <w:tcW w:w="1636" w:type="dxa"/>
            <w:tcBorders>
              <w:top w:val="single" w:sz="4" w:space="0" w:color="auto"/>
              <w:bottom w:val="single" w:sz="4" w:space="0" w:color="auto"/>
            </w:tcBorders>
            <w:vAlign w:val="bottom"/>
          </w:tcPr>
          <w:p w14:paraId="19A17A3A" w14:textId="3FBCFB5C" w:rsidR="00FE12E4" w:rsidRDefault="00FE12E4" w:rsidP="00C1511D">
            <w:pPr>
              <w:spacing w:line="240" w:lineRule="auto"/>
              <w:rPr>
                <w:lang w:val="en-CA" w:eastAsia="en-CA"/>
              </w:rPr>
            </w:pPr>
            <w:r>
              <w:rPr>
                <w:lang w:val="en-CA" w:eastAsia="en-CA"/>
              </w:rPr>
              <w:t>R</w:t>
            </w:r>
            <w:r w:rsidRPr="00EA27B2">
              <w:rPr>
                <w:vertAlign w:val="superscript"/>
                <w:lang w:val="en-CA" w:eastAsia="en-CA"/>
              </w:rPr>
              <w:t>2</w:t>
            </w:r>
          </w:p>
        </w:tc>
        <w:tc>
          <w:tcPr>
            <w:tcW w:w="1636" w:type="dxa"/>
            <w:tcBorders>
              <w:top w:val="single" w:sz="4" w:space="0" w:color="auto"/>
              <w:bottom w:val="single" w:sz="4" w:space="0" w:color="auto"/>
            </w:tcBorders>
            <w:vAlign w:val="bottom"/>
          </w:tcPr>
          <w:p w14:paraId="62DAC1B5" w14:textId="27867537" w:rsidR="00FE12E4" w:rsidRDefault="00FE12E4" w:rsidP="00C1511D">
            <w:pPr>
              <w:spacing w:line="240" w:lineRule="auto"/>
              <w:rPr>
                <w:lang w:val="en-CA" w:eastAsia="en-CA"/>
              </w:rPr>
            </w:pPr>
            <w:r>
              <w:rPr>
                <w:lang w:val="en-CA" w:eastAsia="en-CA"/>
              </w:rPr>
              <w:t xml:space="preserve">Permutation </w:t>
            </w:r>
            <w:proofErr w:type="spellStart"/>
            <w:r w:rsidR="00CF3EBA">
              <w:rPr>
                <w:lang w:val="en-CA" w:eastAsia="en-CA"/>
              </w:rPr>
              <w:t>t</w:t>
            </w:r>
            <w:r>
              <w:rPr>
                <w:lang w:val="en-CA" w:eastAsia="en-CA"/>
              </w:rPr>
              <w:t>est</w:t>
            </w:r>
            <w:r w:rsidRPr="00EA27B2">
              <w:rPr>
                <w:vertAlign w:val="superscript"/>
                <w:lang w:val="en-CA" w:eastAsia="en-CA"/>
              </w:rPr>
              <w:t>a</w:t>
            </w:r>
            <w:proofErr w:type="spellEnd"/>
          </w:p>
        </w:tc>
        <w:tc>
          <w:tcPr>
            <w:tcW w:w="1635" w:type="dxa"/>
            <w:tcBorders>
              <w:top w:val="single" w:sz="4" w:space="0" w:color="auto"/>
              <w:bottom w:val="single" w:sz="4" w:space="0" w:color="auto"/>
            </w:tcBorders>
            <w:vAlign w:val="bottom"/>
          </w:tcPr>
          <w:p w14:paraId="7D463742" w14:textId="15A62823" w:rsidR="00FE12E4" w:rsidRDefault="00FE12E4" w:rsidP="00C1511D">
            <w:pPr>
              <w:spacing w:line="240" w:lineRule="auto"/>
              <w:rPr>
                <w:lang w:val="en-CA" w:eastAsia="en-CA"/>
              </w:rPr>
            </w:pPr>
            <w:r>
              <w:rPr>
                <w:lang w:val="en-CA" w:eastAsia="en-CA"/>
              </w:rPr>
              <w:t>RMSEA</w:t>
            </w:r>
          </w:p>
        </w:tc>
        <w:tc>
          <w:tcPr>
            <w:tcW w:w="1636" w:type="dxa"/>
            <w:tcBorders>
              <w:top w:val="single" w:sz="4" w:space="0" w:color="auto"/>
              <w:bottom w:val="single" w:sz="4" w:space="0" w:color="auto"/>
            </w:tcBorders>
            <w:vAlign w:val="bottom"/>
          </w:tcPr>
          <w:p w14:paraId="09C2DE82" w14:textId="225E7F4A" w:rsidR="00FE12E4" w:rsidRDefault="00FE12E4" w:rsidP="00C1511D">
            <w:pPr>
              <w:spacing w:line="240" w:lineRule="auto"/>
              <w:rPr>
                <w:lang w:val="en-CA" w:eastAsia="en-CA"/>
              </w:rPr>
            </w:pPr>
            <w:r>
              <w:rPr>
                <w:lang w:val="en-CA" w:eastAsia="en-CA"/>
              </w:rPr>
              <w:t>R</w:t>
            </w:r>
            <w:r w:rsidRPr="00EA27B2">
              <w:rPr>
                <w:vertAlign w:val="superscript"/>
                <w:lang w:val="en-CA" w:eastAsia="en-CA"/>
              </w:rPr>
              <w:t>2</w:t>
            </w:r>
          </w:p>
        </w:tc>
        <w:tc>
          <w:tcPr>
            <w:tcW w:w="1636" w:type="dxa"/>
            <w:tcBorders>
              <w:top w:val="single" w:sz="4" w:space="0" w:color="auto"/>
              <w:bottom w:val="single" w:sz="4" w:space="0" w:color="auto"/>
            </w:tcBorders>
            <w:vAlign w:val="bottom"/>
          </w:tcPr>
          <w:p w14:paraId="13DEDAB3" w14:textId="26197CAD" w:rsidR="00FE12E4" w:rsidRDefault="00FE12E4" w:rsidP="00C1511D">
            <w:pPr>
              <w:spacing w:line="240" w:lineRule="auto"/>
              <w:rPr>
                <w:lang w:val="en-CA" w:eastAsia="en-CA"/>
              </w:rPr>
            </w:pPr>
            <w:r>
              <w:rPr>
                <w:lang w:val="en-CA" w:eastAsia="en-CA"/>
              </w:rPr>
              <w:t xml:space="preserve">Permutation </w:t>
            </w:r>
            <w:proofErr w:type="spellStart"/>
            <w:r w:rsidR="00CF3EBA">
              <w:rPr>
                <w:lang w:val="en-CA" w:eastAsia="en-CA"/>
              </w:rPr>
              <w:t>t</w:t>
            </w:r>
            <w:r>
              <w:rPr>
                <w:lang w:val="en-CA" w:eastAsia="en-CA"/>
              </w:rPr>
              <w:t>est</w:t>
            </w:r>
            <w:r w:rsidRPr="00EA27B2">
              <w:rPr>
                <w:vertAlign w:val="superscript"/>
                <w:lang w:val="en-CA" w:eastAsia="en-CA"/>
              </w:rPr>
              <w:t>a</w:t>
            </w:r>
            <w:proofErr w:type="spellEnd"/>
          </w:p>
        </w:tc>
      </w:tr>
      <w:tr w:rsidR="00C1511D" w:rsidRPr="007B3622" w14:paraId="161038A7" w14:textId="77777777" w:rsidTr="00E8344C">
        <w:trPr>
          <w:trHeight w:val="184"/>
        </w:trPr>
        <w:tc>
          <w:tcPr>
            <w:tcW w:w="2972" w:type="dxa"/>
            <w:tcBorders>
              <w:top w:val="single" w:sz="4" w:space="0" w:color="auto"/>
            </w:tcBorders>
          </w:tcPr>
          <w:p w14:paraId="2AC22173" w14:textId="366ED807" w:rsidR="00EA27B2" w:rsidRPr="00DE35DB" w:rsidRDefault="00E0450E" w:rsidP="00EA27B2">
            <w:pPr>
              <w:spacing w:line="240" w:lineRule="auto"/>
              <w:rPr>
                <w:u w:val="single"/>
                <w:lang w:val="en-CA" w:eastAsia="en-CA"/>
              </w:rPr>
            </w:pPr>
            <w:r w:rsidRPr="00DE35DB">
              <w:rPr>
                <w:u w:val="single"/>
                <w:lang w:val="en-CA" w:eastAsia="en-CA"/>
              </w:rPr>
              <w:t>Age, sex,</w:t>
            </w:r>
            <w:r w:rsidR="00143173">
              <w:rPr>
                <w:u w:val="single"/>
                <w:lang w:val="en-CA" w:eastAsia="en-CA"/>
              </w:rPr>
              <w:t xml:space="preserve"> </w:t>
            </w:r>
            <w:r w:rsidRPr="00DE35DB">
              <w:rPr>
                <w:u w:val="single"/>
                <w:lang w:val="en-CA" w:eastAsia="en-CA"/>
              </w:rPr>
              <w:t>baseline symptom severity</w:t>
            </w:r>
            <w:r w:rsidR="00143173">
              <w:rPr>
                <w:u w:val="single"/>
                <w:lang w:val="en-CA" w:eastAsia="en-CA"/>
              </w:rPr>
              <w:t>, &amp; BMI</w:t>
            </w:r>
          </w:p>
        </w:tc>
        <w:tc>
          <w:tcPr>
            <w:tcW w:w="1635" w:type="dxa"/>
            <w:tcBorders>
              <w:top w:val="single" w:sz="4" w:space="0" w:color="auto"/>
            </w:tcBorders>
          </w:tcPr>
          <w:p w14:paraId="7489FE88" w14:textId="77777777" w:rsidR="00EA27B2" w:rsidRDefault="00EA27B2" w:rsidP="00EA27B2">
            <w:pPr>
              <w:spacing w:line="240" w:lineRule="auto"/>
              <w:rPr>
                <w:lang w:val="en-CA" w:eastAsia="en-CA"/>
              </w:rPr>
            </w:pPr>
          </w:p>
        </w:tc>
        <w:tc>
          <w:tcPr>
            <w:tcW w:w="1636" w:type="dxa"/>
            <w:tcBorders>
              <w:top w:val="single" w:sz="4" w:space="0" w:color="auto"/>
            </w:tcBorders>
          </w:tcPr>
          <w:p w14:paraId="6CF6ABBA" w14:textId="77777777" w:rsidR="00EA27B2" w:rsidRDefault="00EA27B2" w:rsidP="00EA27B2">
            <w:pPr>
              <w:spacing w:line="240" w:lineRule="auto"/>
              <w:rPr>
                <w:lang w:val="en-CA" w:eastAsia="en-CA"/>
              </w:rPr>
            </w:pPr>
          </w:p>
        </w:tc>
        <w:tc>
          <w:tcPr>
            <w:tcW w:w="1636" w:type="dxa"/>
            <w:tcBorders>
              <w:top w:val="single" w:sz="4" w:space="0" w:color="auto"/>
            </w:tcBorders>
          </w:tcPr>
          <w:p w14:paraId="4E26F661" w14:textId="77777777" w:rsidR="00EA27B2" w:rsidRDefault="00EA27B2" w:rsidP="00EA27B2">
            <w:pPr>
              <w:spacing w:line="240" w:lineRule="auto"/>
              <w:rPr>
                <w:lang w:val="en-CA" w:eastAsia="en-CA"/>
              </w:rPr>
            </w:pPr>
          </w:p>
        </w:tc>
        <w:tc>
          <w:tcPr>
            <w:tcW w:w="1635" w:type="dxa"/>
            <w:tcBorders>
              <w:top w:val="single" w:sz="4" w:space="0" w:color="auto"/>
            </w:tcBorders>
          </w:tcPr>
          <w:p w14:paraId="47C6D229" w14:textId="4FE528F3" w:rsidR="00EA27B2" w:rsidRDefault="00EA27B2" w:rsidP="00EA27B2">
            <w:pPr>
              <w:spacing w:line="240" w:lineRule="auto"/>
              <w:rPr>
                <w:lang w:val="en-CA" w:eastAsia="en-CA"/>
              </w:rPr>
            </w:pPr>
          </w:p>
        </w:tc>
        <w:tc>
          <w:tcPr>
            <w:tcW w:w="1636" w:type="dxa"/>
            <w:tcBorders>
              <w:top w:val="single" w:sz="4" w:space="0" w:color="auto"/>
            </w:tcBorders>
          </w:tcPr>
          <w:p w14:paraId="27683636" w14:textId="0F58774B" w:rsidR="00EA27B2" w:rsidRDefault="00EA27B2" w:rsidP="00EA27B2">
            <w:pPr>
              <w:spacing w:line="240" w:lineRule="auto"/>
              <w:rPr>
                <w:lang w:val="en-CA" w:eastAsia="en-CA"/>
              </w:rPr>
            </w:pPr>
          </w:p>
        </w:tc>
        <w:tc>
          <w:tcPr>
            <w:tcW w:w="1636" w:type="dxa"/>
            <w:tcBorders>
              <w:top w:val="single" w:sz="4" w:space="0" w:color="auto"/>
            </w:tcBorders>
          </w:tcPr>
          <w:p w14:paraId="31795074" w14:textId="2228B946" w:rsidR="00EA27B2" w:rsidRDefault="00EA27B2" w:rsidP="00EA27B2">
            <w:pPr>
              <w:spacing w:line="240" w:lineRule="auto"/>
              <w:rPr>
                <w:lang w:val="en-CA" w:eastAsia="en-CA"/>
              </w:rPr>
            </w:pPr>
          </w:p>
        </w:tc>
      </w:tr>
      <w:tr w:rsidR="00CF3EBA" w14:paraId="5464BB78" w14:textId="77777777" w:rsidTr="00E8344C">
        <w:trPr>
          <w:trHeight w:val="184"/>
        </w:trPr>
        <w:tc>
          <w:tcPr>
            <w:tcW w:w="2972" w:type="dxa"/>
          </w:tcPr>
          <w:p w14:paraId="3E7FDD16" w14:textId="3483E977" w:rsidR="00CF3EBA" w:rsidRDefault="00CF3EBA" w:rsidP="00CF3EBA">
            <w:pPr>
              <w:spacing w:line="240" w:lineRule="auto"/>
              <w:rPr>
                <w:lang w:val="en-CA" w:eastAsia="en-CA"/>
              </w:rPr>
            </w:pPr>
            <w:r>
              <w:rPr>
                <w:lang w:val="en-CA" w:eastAsia="en-CA"/>
              </w:rPr>
              <w:t xml:space="preserve">   Elastic net regression</w:t>
            </w:r>
          </w:p>
        </w:tc>
        <w:tc>
          <w:tcPr>
            <w:tcW w:w="1635" w:type="dxa"/>
          </w:tcPr>
          <w:p w14:paraId="4A516757" w14:textId="77777777" w:rsidR="00CF3EBA" w:rsidRDefault="00CF3EBA" w:rsidP="00CF3EBA">
            <w:pPr>
              <w:spacing w:line="240" w:lineRule="auto"/>
              <w:rPr>
                <w:lang w:val="en-CA" w:eastAsia="en-CA"/>
              </w:rPr>
            </w:pPr>
          </w:p>
        </w:tc>
        <w:tc>
          <w:tcPr>
            <w:tcW w:w="1636" w:type="dxa"/>
          </w:tcPr>
          <w:p w14:paraId="2FF63FFC" w14:textId="77777777" w:rsidR="00CF3EBA" w:rsidRDefault="00CF3EBA" w:rsidP="00CF3EBA">
            <w:pPr>
              <w:spacing w:line="240" w:lineRule="auto"/>
              <w:rPr>
                <w:lang w:val="en-CA" w:eastAsia="en-CA"/>
              </w:rPr>
            </w:pPr>
          </w:p>
        </w:tc>
        <w:tc>
          <w:tcPr>
            <w:tcW w:w="1636" w:type="dxa"/>
          </w:tcPr>
          <w:p w14:paraId="1501760C" w14:textId="77777777" w:rsidR="00CF3EBA" w:rsidRDefault="00CF3EBA" w:rsidP="00CF3EBA">
            <w:pPr>
              <w:spacing w:line="240" w:lineRule="auto"/>
              <w:rPr>
                <w:lang w:val="en-CA" w:eastAsia="en-CA"/>
              </w:rPr>
            </w:pPr>
          </w:p>
        </w:tc>
        <w:tc>
          <w:tcPr>
            <w:tcW w:w="1635" w:type="dxa"/>
          </w:tcPr>
          <w:p w14:paraId="741A797B" w14:textId="5A979FBC" w:rsidR="00CF3EBA" w:rsidRDefault="00CF3EBA" w:rsidP="00CF3EBA">
            <w:pPr>
              <w:spacing w:line="240" w:lineRule="auto"/>
              <w:rPr>
                <w:lang w:val="en-CA" w:eastAsia="en-CA"/>
              </w:rPr>
            </w:pPr>
            <w:r>
              <w:rPr>
                <w:lang w:val="en-CA" w:eastAsia="en-CA"/>
              </w:rPr>
              <w:t>-</w:t>
            </w:r>
          </w:p>
        </w:tc>
        <w:tc>
          <w:tcPr>
            <w:tcW w:w="1636" w:type="dxa"/>
          </w:tcPr>
          <w:p w14:paraId="36B35CB2" w14:textId="05D7D79A" w:rsidR="00CF3EBA" w:rsidRDefault="00CF3EBA" w:rsidP="00CF3EBA">
            <w:pPr>
              <w:spacing w:line="240" w:lineRule="auto"/>
              <w:rPr>
                <w:lang w:val="en-CA" w:eastAsia="en-CA"/>
              </w:rPr>
            </w:pPr>
            <w:r>
              <w:rPr>
                <w:lang w:val="en-CA" w:eastAsia="en-CA"/>
              </w:rPr>
              <w:t>-</w:t>
            </w:r>
          </w:p>
        </w:tc>
        <w:tc>
          <w:tcPr>
            <w:tcW w:w="1636" w:type="dxa"/>
          </w:tcPr>
          <w:p w14:paraId="19F7D9A1" w14:textId="4476DC6D" w:rsidR="00CF3EBA" w:rsidRDefault="00CF3EBA" w:rsidP="00CF3EBA">
            <w:pPr>
              <w:spacing w:line="240" w:lineRule="auto"/>
              <w:rPr>
                <w:lang w:val="en-CA" w:eastAsia="en-CA"/>
              </w:rPr>
            </w:pPr>
            <w:r>
              <w:rPr>
                <w:lang w:val="en-CA" w:eastAsia="en-CA"/>
              </w:rPr>
              <w:t>-</w:t>
            </w:r>
          </w:p>
        </w:tc>
      </w:tr>
      <w:tr w:rsidR="00CF3EBA" w14:paraId="315E2825" w14:textId="77777777" w:rsidTr="00E8344C">
        <w:trPr>
          <w:trHeight w:val="184"/>
        </w:trPr>
        <w:tc>
          <w:tcPr>
            <w:tcW w:w="2972" w:type="dxa"/>
          </w:tcPr>
          <w:p w14:paraId="186A27D5" w14:textId="2DDA9046" w:rsidR="00CF3EBA" w:rsidRDefault="00CF3EBA" w:rsidP="00CF3EBA">
            <w:pPr>
              <w:spacing w:line="240" w:lineRule="auto"/>
              <w:rPr>
                <w:lang w:val="en-CA" w:eastAsia="en-CA"/>
              </w:rPr>
            </w:pPr>
            <w:r>
              <w:rPr>
                <w:lang w:val="en-CA" w:eastAsia="en-CA"/>
              </w:rPr>
              <w:t xml:space="preserve">   Random forest</w:t>
            </w:r>
          </w:p>
        </w:tc>
        <w:tc>
          <w:tcPr>
            <w:tcW w:w="1635" w:type="dxa"/>
          </w:tcPr>
          <w:p w14:paraId="3B86C6B5" w14:textId="77777777" w:rsidR="00CF3EBA" w:rsidRDefault="00CF3EBA" w:rsidP="00CF3EBA">
            <w:pPr>
              <w:spacing w:line="240" w:lineRule="auto"/>
              <w:rPr>
                <w:lang w:val="en-CA" w:eastAsia="en-CA"/>
              </w:rPr>
            </w:pPr>
          </w:p>
        </w:tc>
        <w:tc>
          <w:tcPr>
            <w:tcW w:w="1636" w:type="dxa"/>
          </w:tcPr>
          <w:p w14:paraId="3C81EDAA" w14:textId="77777777" w:rsidR="00CF3EBA" w:rsidRDefault="00CF3EBA" w:rsidP="00CF3EBA">
            <w:pPr>
              <w:spacing w:line="240" w:lineRule="auto"/>
              <w:rPr>
                <w:lang w:val="en-CA" w:eastAsia="en-CA"/>
              </w:rPr>
            </w:pPr>
          </w:p>
        </w:tc>
        <w:tc>
          <w:tcPr>
            <w:tcW w:w="1636" w:type="dxa"/>
          </w:tcPr>
          <w:p w14:paraId="5F87596A" w14:textId="77777777" w:rsidR="00CF3EBA" w:rsidRDefault="00CF3EBA" w:rsidP="00CF3EBA">
            <w:pPr>
              <w:spacing w:line="240" w:lineRule="auto"/>
              <w:rPr>
                <w:lang w:val="en-CA" w:eastAsia="en-CA"/>
              </w:rPr>
            </w:pPr>
          </w:p>
        </w:tc>
        <w:tc>
          <w:tcPr>
            <w:tcW w:w="1635" w:type="dxa"/>
          </w:tcPr>
          <w:p w14:paraId="667E1C5C" w14:textId="1EF32541" w:rsidR="00CF3EBA" w:rsidRDefault="00CF3EBA" w:rsidP="00CF3EBA">
            <w:pPr>
              <w:spacing w:line="240" w:lineRule="auto"/>
              <w:rPr>
                <w:lang w:val="en-CA" w:eastAsia="en-CA"/>
              </w:rPr>
            </w:pPr>
            <w:r>
              <w:rPr>
                <w:lang w:val="en-CA" w:eastAsia="en-CA"/>
              </w:rPr>
              <w:t>-</w:t>
            </w:r>
          </w:p>
        </w:tc>
        <w:tc>
          <w:tcPr>
            <w:tcW w:w="1636" w:type="dxa"/>
          </w:tcPr>
          <w:p w14:paraId="0F12E1FF" w14:textId="70E8F86A" w:rsidR="00CF3EBA" w:rsidRDefault="00CF3EBA" w:rsidP="00CF3EBA">
            <w:pPr>
              <w:spacing w:line="240" w:lineRule="auto"/>
              <w:rPr>
                <w:lang w:val="en-CA" w:eastAsia="en-CA"/>
              </w:rPr>
            </w:pPr>
            <w:r>
              <w:rPr>
                <w:lang w:val="en-CA" w:eastAsia="en-CA"/>
              </w:rPr>
              <w:t>-</w:t>
            </w:r>
          </w:p>
        </w:tc>
        <w:tc>
          <w:tcPr>
            <w:tcW w:w="1636" w:type="dxa"/>
          </w:tcPr>
          <w:p w14:paraId="6274AEAE" w14:textId="348EF77D" w:rsidR="00CF3EBA" w:rsidRDefault="00CF3EBA" w:rsidP="00CF3EBA">
            <w:pPr>
              <w:spacing w:line="240" w:lineRule="auto"/>
              <w:rPr>
                <w:lang w:val="en-CA" w:eastAsia="en-CA"/>
              </w:rPr>
            </w:pPr>
            <w:r>
              <w:rPr>
                <w:lang w:val="en-CA" w:eastAsia="en-CA"/>
              </w:rPr>
              <w:t>-</w:t>
            </w:r>
          </w:p>
        </w:tc>
      </w:tr>
      <w:tr w:rsidR="00CF3EBA" w14:paraId="0238DCA1" w14:textId="77777777" w:rsidTr="00E8344C">
        <w:trPr>
          <w:trHeight w:val="184"/>
        </w:trPr>
        <w:tc>
          <w:tcPr>
            <w:tcW w:w="2972" w:type="dxa"/>
          </w:tcPr>
          <w:p w14:paraId="2303D1DB" w14:textId="2AFDA041" w:rsidR="00CF3EBA" w:rsidRDefault="00CF3EBA" w:rsidP="00CF3EBA">
            <w:pPr>
              <w:spacing w:line="240" w:lineRule="auto"/>
              <w:rPr>
                <w:lang w:val="en-CA" w:eastAsia="en-CA"/>
              </w:rPr>
            </w:pPr>
            <w:r>
              <w:rPr>
                <w:lang w:val="en-CA" w:eastAsia="en-CA"/>
              </w:rPr>
              <w:t xml:space="preserve">   BART</w:t>
            </w:r>
          </w:p>
        </w:tc>
        <w:tc>
          <w:tcPr>
            <w:tcW w:w="1635" w:type="dxa"/>
          </w:tcPr>
          <w:p w14:paraId="64967A6D" w14:textId="77777777" w:rsidR="00CF3EBA" w:rsidRDefault="00CF3EBA" w:rsidP="00CF3EBA">
            <w:pPr>
              <w:spacing w:line="240" w:lineRule="auto"/>
              <w:rPr>
                <w:lang w:val="en-CA" w:eastAsia="en-CA"/>
              </w:rPr>
            </w:pPr>
          </w:p>
        </w:tc>
        <w:tc>
          <w:tcPr>
            <w:tcW w:w="1636" w:type="dxa"/>
          </w:tcPr>
          <w:p w14:paraId="7BE38674" w14:textId="77777777" w:rsidR="00CF3EBA" w:rsidRDefault="00CF3EBA" w:rsidP="00CF3EBA">
            <w:pPr>
              <w:spacing w:line="240" w:lineRule="auto"/>
              <w:rPr>
                <w:lang w:val="en-CA" w:eastAsia="en-CA"/>
              </w:rPr>
            </w:pPr>
          </w:p>
        </w:tc>
        <w:tc>
          <w:tcPr>
            <w:tcW w:w="1636" w:type="dxa"/>
          </w:tcPr>
          <w:p w14:paraId="62AA0EB1" w14:textId="77777777" w:rsidR="00CF3EBA" w:rsidRDefault="00CF3EBA" w:rsidP="00CF3EBA">
            <w:pPr>
              <w:spacing w:line="240" w:lineRule="auto"/>
              <w:rPr>
                <w:lang w:val="en-CA" w:eastAsia="en-CA"/>
              </w:rPr>
            </w:pPr>
          </w:p>
        </w:tc>
        <w:tc>
          <w:tcPr>
            <w:tcW w:w="1635" w:type="dxa"/>
          </w:tcPr>
          <w:p w14:paraId="31029490" w14:textId="6BB94F59" w:rsidR="00CF3EBA" w:rsidRDefault="00CF3EBA" w:rsidP="00CF3EBA">
            <w:pPr>
              <w:spacing w:line="240" w:lineRule="auto"/>
              <w:rPr>
                <w:lang w:val="en-CA" w:eastAsia="en-CA"/>
              </w:rPr>
            </w:pPr>
            <w:r>
              <w:rPr>
                <w:lang w:val="en-CA" w:eastAsia="en-CA"/>
              </w:rPr>
              <w:t>-</w:t>
            </w:r>
          </w:p>
        </w:tc>
        <w:tc>
          <w:tcPr>
            <w:tcW w:w="1636" w:type="dxa"/>
          </w:tcPr>
          <w:p w14:paraId="4B0A203E" w14:textId="3F25FA79" w:rsidR="00CF3EBA" w:rsidRDefault="00CF3EBA" w:rsidP="00CF3EBA">
            <w:pPr>
              <w:spacing w:line="240" w:lineRule="auto"/>
              <w:rPr>
                <w:lang w:val="en-CA" w:eastAsia="en-CA"/>
              </w:rPr>
            </w:pPr>
            <w:r>
              <w:rPr>
                <w:lang w:val="en-CA" w:eastAsia="en-CA"/>
              </w:rPr>
              <w:t>-</w:t>
            </w:r>
          </w:p>
        </w:tc>
        <w:tc>
          <w:tcPr>
            <w:tcW w:w="1636" w:type="dxa"/>
          </w:tcPr>
          <w:p w14:paraId="5E83D2BF" w14:textId="2F06D896" w:rsidR="00CF3EBA" w:rsidRDefault="00CF3EBA" w:rsidP="00CF3EBA">
            <w:pPr>
              <w:spacing w:line="240" w:lineRule="auto"/>
              <w:rPr>
                <w:lang w:val="en-CA" w:eastAsia="en-CA"/>
              </w:rPr>
            </w:pPr>
            <w:r>
              <w:rPr>
                <w:lang w:val="en-CA" w:eastAsia="en-CA"/>
              </w:rPr>
              <w:t>-</w:t>
            </w:r>
          </w:p>
        </w:tc>
      </w:tr>
      <w:tr w:rsidR="009772D6" w14:paraId="3B6C97D6" w14:textId="77777777" w:rsidTr="00DB0DAC">
        <w:trPr>
          <w:trHeight w:val="192"/>
        </w:trPr>
        <w:tc>
          <w:tcPr>
            <w:tcW w:w="2972" w:type="dxa"/>
          </w:tcPr>
          <w:p w14:paraId="075A0F3A" w14:textId="20009043" w:rsidR="009772D6" w:rsidRPr="00DE35DB" w:rsidRDefault="009772D6" w:rsidP="009772D6">
            <w:pPr>
              <w:spacing w:line="240" w:lineRule="auto"/>
              <w:rPr>
                <w:u w:val="single"/>
                <w:lang w:val="en-CA" w:eastAsia="en-CA"/>
              </w:rPr>
            </w:pPr>
            <w:r w:rsidRPr="00DE35DB">
              <w:rPr>
                <w:u w:val="single"/>
                <w:lang w:val="en-CA" w:eastAsia="en-CA"/>
              </w:rPr>
              <w:t>Cytokines</w:t>
            </w:r>
          </w:p>
        </w:tc>
        <w:tc>
          <w:tcPr>
            <w:tcW w:w="1635" w:type="dxa"/>
          </w:tcPr>
          <w:p w14:paraId="2506CC29" w14:textId="77777777" w:rsidR="009772D6" w:rsidRDefault="009772D6" w:rsidP="009772D6">
            <w:pPr>
              <w:spacing w:line="240" w:lineRule="auto"/>
              <w:rPr>
                <w:lang w:val="en-CA" w:eastAsia="en-CA"/>
              </w:rPr>
            </w:pPr>
          </w:p>
        </w:tc>
        <w:tc>
          <w:tcPr>
            <w:tcW w:w="1636" w:type="dxa"/>
          </w:tcPr>
          <w:p w14:paraId="10D2FB31" w14:textId="77777777" w:rsidR="009772D6" w:rsidRDefault="009772D6" w:rsidP="009772D6">
            <w:pPr>
              <w:spacing w:line="240" w:lineRule="auto"/>
              <w:rPr>
                <w:lang w:val="en-CA" w:eastAsia="en-CA"/>
              </w:rPr>
            </w:pPr>
          </w:p>
        </w:tc>
        <w:tc>
          <w:tcPr>
            <w:tcW w:w="1636" w:type="dxa"/>
          </w:tcPr>
          <w:p w14:paraId="08FB466B" w14:textId="77777777" w:rsidR="009772D6" w:rsidRDefault="009772D6" w:rsidP="009772D6">
            <w:pPr>
              <w:spacing w:line="240" w:lineRule="auto"/>
              <w:rPr>
                <w:lang w:val="en-CA" w:eastAsia="en-CA"/>
              </w:rPr>
            </w:pPr>
          </w:p>
        </w:tc>
        <w:tc>
          <w:tcPr>
            <w:tcW w:w="1635" w:type="dxa"/>
          </w:tcPr>
          <w:p w14:paraId="2AC93284" w14:textId="77777777" w:rsidR="009772D6" w:rsidRDefault="009772D6" w:rsidP="009772D6">
            <w:pPr>
              <w:spacing w:line="240" w:lineRule="auto"/>
              <w:rPr>
                <w:lang w:val="en-CA" w:eastAsia="en-CA"/>
              </w:rPr>
            </w:pPr>
          </w:p>
        </w:tc>
        <w:tc>
          <w:tcPr>
            <w:tcW w:w="1636" w:type="dxa"/>
          </w:tcPr>
          <w:p w14:paraId="36F6FB46" w14:textId="77777777" w:rsidR="009772D6" w:rsidRDefault="009772D6" w:rsidP="009772D6">
            <w:pPr>
              <w:spacing w:line="240" w:lineRule="auto"/>
              <w:rPr>
                <w:lang w:val="en-CA" w:eastAsia="en-CA"/>
              </w:rPr>
            </w:pPr>
          </w:p>
        </w:tc>
        <w:tc>
          <w:tcPr>
            <w:tcW w:w="1636" w:type="dxa"/>
          </w:tcPr>
          <w:p w14:paraId="03A3BBE9" w14:textId="63F4874A" w:rsidR="009772D6" w:rsidRDefault="009772D6" w:rsidP="009772D6">
            <w:pPr>
              <w:spacing w:line="240" w:lineRule="auto"/>
              <w:rPr>
                <w:lang w:val="en-CA" w:eastAsia="en-CA"/>
              </w:rPr>
            </w:pPr>
          </w:p>
        </w:tc>
      </w:tr>
      <w:tr w:rsidR="00DE35DB" w14:paraId="64A60FD0" w14:textId="77777777" w:rsidTr="00DB0DAC">
        <w:trPr>
          <w:trHeight w:val="192"/>
        </w:trPr>
        <w:tc>
          <w:tcPr>
            <w:tcW w:w="2972" w:type="dxa"/>
          </w:tcPr>
          <w:p w14:paraId="2ACB2062" w14:textId="5C998E21" w:rsidR="00DE35DB" w:rsidRDefault="00DE35DB" w:rsidP="00DE35DB">
            <w:pPr>
              <w:spacing w:line="240" w:lineRule="auto"/>
              <w:rPr>
                <w:lang w:val="en-CA" w:eastAsia="en-CA"/>
              </w:rPr>
            </w:pPr>
            <w:r>
              <w:rPr>
                <w:lang w:val="en-CA" w:eastAsia="en-CA"/>
              </w:rPr>
              <w:t xml:space="preserve">   Elastic net regression</w:t>
            </w:r>
          </w:p>
        </w:tc>
        <w:tc>
          <w:tcPr>
            <w:tcW w:w="1635" w:type="dxa"/>
          </w:tcPr>
          <w:p w14:paraId="4DA61F7A" w14:textId="77777777" w:rsidR="00DE35DB" w:rsidRDefault="00DE35DB" w:rsidP="00DE35DB">
            <w:pPr>
              <w:spacing w:line="240" w:lineRule="auto"/>
              <w:rPr>
                <w:lang w:val="en-CA" w:eastAsia="en-CA"/>
              </w:rPr>
            </w:pPr>
          </w:p>
        </w:tc>
        <w:tc>
          <w:tcPr>
            <w:tcW w:w="1636" w:type="dxa"/>
          </w:tcPr>
          <w:p w14:paraId="791256EB" w14:textId="77777777" w:rsidR="00DE35DB" w:rsidRDefault="00DE35DB" w:rsidP="00DE35DB">
            <w:pPr>
              <w:spacing w:line="240" w:lineRule="auto"/>
              <w:rPr>
                <w:lang w:val="en-CA" w:eastAsia="en-CA"/>
              </w:rPr>
            </w:pPr>
          </w:p>
        </w:tc>
        <w:tc>
          <w:tcPr>
            <w:tcW w:w="1636" w:type="dxa"/>
          </w:tcPr>
          <w:p w14:paraId="4F9D8023" w14:textId="77777777" w:rsidR="00DE35DB" w:rsidRDefault="00DE35DB" w:rsidP="00DE35DB">
            <w:pPr>
              <w:spacing w:line="240" w:lineRule="auto"/>
              <w:rPr>
                <w:lang w:val="en-CA" w:eastAsia="en-CA"/>
              </w:rPr>
            </w:pPr>
          </w:p>
        </w:tc>
        <w:tc>
          <w:tcPr>
            <w:tcW w:w="1635" w:type="dxa"/>
          </w:tcPr>
          <w:p w14:paraId="6849A7D6" w14:textId="77777777" w:rsidR="00DE35DB" w:rsidRDefault="00DE35DB" w:rsidP="00DE35DB">
            <w:pPr>
              <w:spacing w:line="240" w:lineRule="auto"/>
              <w:rPr>
                <w:lang w:val="en-CA" w:eastAsia="en-CA"/>
              </w:rPr>
            </w:pPr>
          </w:p>
        </w:tc>
        <w:tc>
          <w:tcPr>
            <w:tcW w:w="1636" w:type="dxa"/>
          </w:tcPr>
          <w:p w14:paraId="6CB8B6DF" w14:textId="77777777" w:rsidR="00DE35DB" w:rsidRDefault="00DE35DB" w:rsidP="00DE35DB">
            <w:pPr>
              <w:spacing w:line="240" w:lineRule="auto"/>
              <w:rPr>
                <w:lang w:val="en-CA" w:eastAsia="en-CA"/>
              </w:rPr>
            </w:pPr>
          </w:p>
        </w:tc>
        <w:tc>
          <w:tcPr>
            <w:tcW w:w="1636" w:type="dxa"/>
          </w:tcPr>
          <w:p w14:paraId="054C8C11" w14:textId="77777777" w:rsidR="00DE35DB" w:rsidRDefault="00DE35DB" w:rsidP="00DE35DB">
            <w:pPr>
              <w:spacing w:line="240" w:lineRule="auto"/>
              <w:rPr>
                <w:lang w:val="en-CA" w:eastAsia="en-CA"/>
              </w:rPr>
            </w:pPr>
          </w:p>
        </w:tc>
      </w:tr>
      <w:tr w:rsidR="00DE35DB" w14:paraId="70D7CCB6" w14:textId="77777777" w:rsidTr="00DB0DAC">
        <w:trPr>
          <w:trHeight w:val="192"/>
        </w:trPr>
        <w:tc>
          <w:tcPr>
            <w:tcW w:w="2972" w:type="dxa"/>
          </w:tcPr>
          <w:p w14:paraId="17D5F812" w14:textId="09EE72B1" w:rsidR="00DE35DB" w:rsidRDefault="00DE35DB" w:rsidP="00DE35DB">
            <w:pPr>
              <w:spacing w:line="240" w:lineRule="auto"/>
              <w:rPr>
                <w:lang w:val="en-CA" w:eastAsia="en-CA"/>
              </w:rPr>
            </w:pPr>
            <w:r>
              <w:rPr>
                <w:lang w:val="en-CA" w:eastAsia="en-CA"/>
              </w:rPr>
              <w:t xml:space="preserve">   Random forest</w:t>
            </w:r>
          </w:p>
        </w:tc>
        <w:tc>
          <w:tcPr>
            <w:tcW w:w="1635" w:type="dxa"/>
          </w:tcPr>
          <w:p w14:paraId="069A7C12" w14:textId="77777777" w:rsidR="00DE35DB" w:rsidRDefault="00DE35DB" w:rsidP="00DE35DB">
            <w:pPr>
              <w:spacing w:line="240" w:lineRule="auto"/>
              <w:rPr>
                <w:lang w:val="en-CA" w:eastAsia="en-CA"/>
              </w:rPr>
            </w:pPr>
          </w:p>
        </w:tc>
        <w:tc>
          <w:tcPr>
            <w:tcW w:w="1636" w:type="dxa"/>
          </w:tcPr>
          <w:p w14:paraId="6F96747C" w14:textId="77777777" w:rsidR="00DE35DB" w:rsidRDefault="00DE35DB" w:rsidP="00DE35DB">
            <w:pPr>
              <w:spacing w:line="240" w:lineRule="auto"/>
              <w:rPr>
                <w:lang w:val="en-CA" w:eastAsia="en-CA"/>
              </w:rPr>
            </w:pPr>
          </w:p>
        </w:tc>
        <w:tc>
          <w:tcPr>
            <w:tcW w:w="1636" w:type="dxa"/>
          </w:tcPr>
          <w:p w14:paraId="79FFB0DB" w14:textId="77777777" w:rsidR="00DE35DB" w:rsidRDefault="00DE35DB" w:rsidP="00DE35DB">
            <w:pPr>
              <w:spacing w:line="240" w:lineRule="auto"/>
              <w:rPr>
                <w:lang w:val="en-CA" w:eastAsia="en-CA"/>
              </w:rPr>
            </w:pPr>
          </w:p>
        </w:tc>
        <w:tc>
          <w:tcPr>
            <w:tcW w:w="1635" w:type="dxa"/>
          </w:tcPr>
          <w:p w14:paraId="6130AC7B" w14:textId="77777777" w:rsidR="00DE35DB" w:rsidRDefault="00DE35DB" w:rsidP="00DE35DB">
            <w:pPr>
              <w:spacing w:line="240" w:lineRule="auto"/>
              <w:rPr>
                <w:lang w:val="en-CA" w:eastAsia="en-CA"/>
              </w:rPr>
            </w:pPr>
          </w:p>
        </w:tc>
        <w:tc>
          <w:tcPr>
            <w:tcW w:w="1636" w:type="dxa"/>
          </w:tcPr>
          <w:p w14:paraId="2355CC51" w14:textId="77777777" w:rsidR="00DE35DB" w:rsidRDefault="00DE35DB" w:rsidP="00DE35DB">
            <w:pPr>
              <w:spacing w:line="240" w:lineRule="auto"/>
              <w:rPr>
                <w:lang w:val="en-CA" w:eastAsia="en-CA"/>
              </w:rPr>
            </w:pPr>
          </w:p>
        </w:tc>
        <w:tc>
          <w:tcPr>
            <w:tcW w:w="1636" w:type="dxa"/>
          </w:tcPr>
          <w:p w14:paraId="2D8C0CE7" w14:textId="77777777" w:rsidR="00DE35DB" w:rsidRDefault="00DE35DB" w:rsidP="00DE35DB">
            <w:pPr>
              <w:spacing w:line="240" w:lineRule="auto"/>
              <w:rPr>
                <w:lang w:val="en-CA" w:eastAsia="en-CA"/>
              </w:rPr>
            </w:pPr>
          </w:p>
        </w:tc>
      </w:tr>
      <w:tr w:rsidR="00DE35DB" w14:paraId="77420E69" w14:textId="77777777" w:rsidTr="00DB0DAC">
        <w:trPr>
          <w:trHeight w:val="192"/>
        </w:trPr>
        <w:tc>
          <w:tcPr>
            <w:tcW w:w="2972" w:type="dxa"/>
          </w:tcPr>
          <w:p w14:paraId="782FA78B" w14:textId="1BB29697" w:rsidR="00DE35DB" w:rsidRDefault="00DE35DB" w:rsidP="00DE35DB">
            <w:pPr>
              <w:spacing w:line="240" w:lineRule="auto"/>
              <w:rPr>
                <w:lang w:val="en-CA" w:eastAsia="en-CA"/>
              </w:rPr>
            </w:pPr>
            <w:r>
              <w:rPr>
                <w:lang w:val="en-CA" w:eastAsia="en-CA"/>
              </w:rPr>
              <w:t xml:space="preserve">   BART</w:t>
            </w:r>
          </w:p>
        </w:tc>
        <w:tc>
          <w:tcPr>
            <w:tcW w:w="1635" w:type="dxa"/>
          </w:tcPr>
          <w:p w14:paraId="573B79C7" w14:textId="77777777" w:rsidR="00DE35DB" w:rsidRDefault="00DE35DB" w:rsidP="00DE35DB">
            <w:pPr>
              <w:spacing w:line="240" w:lineRule="auto"/>
              <w:rPr>
                <w:lang w:val="en-CA" w:eastAsia="en-CA"/>
              </w:rPr>
            </w:pPr>
          </w:p>
        </w:tc>
        <w:tc>
          <w:tcPr>
            <w:tcW w:w="1636" w:type="dxa"/>
          </w:tcPr>
          <w:p w14:paraId="1FBBB1EB" w14:textId="77777777" w:rsidR="00DE35DB" w:rsidRDefault="00DE35DB" w:rsidP="00DE35DB">
            <w:pPr>
              <w:spacing w:line="240" w:lineRule="auto"/>
              <w:rPr>
                <w:lang w:val="en-CA" w:eastAsia="en-CA"/>
              </w:rPr>
            </w:pPr>
          </w:p>
        </w:tc>
        <w:tc>
          <w:tcPr>
            <w:tcW w:w="1636" w:type="dxa"/>
          </w:tcPr>
          <w:p w14:paraId="7EA54A0D" w14:textId="77777777" w:rsidR="00DE35DB" w:rsidRDefault="00DE35DB" w:rsidP="00DE35DB">
            <w:pPr>
              <w:spacing w:line="240" w:lineRule="auto"/>
              <w:rPr>
                <w:lang w:val="en-CA" w:eastAsia="en-CA"/>
              </w:rPr>
            </w:pPr>
          </w:p>
        </w:tc>
        <w:tc>
          <w:tcPr>
            <w:tcW w:w="1635" w:type="dxa"/>
          </w:tcPr>
          <w:p w14:paraId="2616D214" w14:textId="77777777" w:rsidR="00DE35DB" w:rsidRDefault="00DE35DB" w:rsidP="00DE35DB">
            <w:pPr>
              <w:spacing w:line="240" w:lineRule="auto"/>
              <w:rPr>
                <w:lang w:val="en-CA" w:eastAsia="en-CA"/>
              </w:rPr>
            </w:pPr>
          </w:p>
        </w:tc>
        <w:tc>
          <w:tcPr>
            <w:tcW w:w="1636" w:type="dxa"/>
          </w:tcPr>
          <w:p w14:paraId="54861EC2" w14:textId="77777777" w:rsidR="00DE35DB" w:rsidRDefault="00DE35DB" w:rsidP="00DE35DB">
            <w:pPr>
              <w:spacing w:line="240" w:lineRule="auto"/>
              <w:rPr>
                <w:lang w:val="en-CA" w:eastAsia="en-CA"/>
              </w:rPr>
            </w:pPr>
          </w:p>
        </w:tc>
        <w:tc>
          <w:tcPr>
            <w:tcW w:w="1636" w:type="dxa"/>
          </w:tcPr>
          <w:p w14:paraId="3856DBFB" w14:textId="77777777" w:rsidR="00DE35DB" w:rsidRDefault="00DE35DB" w:rsidP="00DE35DB">
            <w:pPr>
              <w:spacing w:line="240" w:lineRule="auto"/>
              <w:rPr>
                <w:lang w:val="en-CA" w:eastAsia="en-CA"/>
              </w:rPr>
            </w:pPr>
          </w:p>
        </w:tc>
      </w:tr>
      <w:tr w:rsidR="009772D6" w14:paraId="13BC3DE1" w14:textId="77777777" w:rsidTr="00DB0DAC">
        <w:trPr>
          <w:trHeight w:val="192"/>
        </w:trPr>
        <w:tc>
          <w:tcPr>
            <w:tcW w:w="2972" w:type="dxa"/>
          </w:tcPr>
          <w:p w14:paraId="761B6EA4" w14:textId="4324B0EA" w:rsidR="009772D6" w:rsidRPr="00DE35DB" w:rsidRDefault="009772D6" w:rsidP="009772D6">
            <w:pPr>
              <w:spacing w:line="240" w:lineRule="auto"/>
              <w:rPr>
                <w:u w:val="single"/>
                <w:lang w:val="en-CA" w:eastAsia="en-CA"/>
              </w:rPr>
            </w:pPr>
            <w:r w:rsidRPr="00DE35DB">
              <w:rPr>
                <w:u w:val="single"/>
                <w:lang w:val="en-CA" w:eastAsia="en-CA"/>
              </w:rPr>
              <w:t>Gene-</w:t>
            </w:r>
            <w:r w:rsidR="00E0450E" w:rsidRPr="00DE35DB">
              <w:rPr>
                <w:u w:val="single"/>
                <w:lang w:val="en-CA" w:eastAsia="en-CA"/>
              </w:rPr>
              <w:t>e</w:t>
            </w:r>
            <w:r w:rsidRPr="00DE35DB">
              <w:rPr>
                <w:u w:val="single"/>
                <w:lang w:val="en-CA" w:eastAsia="en-CA"/>
              </w:rPr>
              <w:t>xpression</w:t>
            </w:r>
          </w:p>
        </w:tc>
        <w:tc>
          <w:tcPr>
            <w:tcW w:w="1635" w:type="dxa"/>
          </w:tcPr>
          <w:p w14:paraId="15708E0E" w14:textId="77777777" w:rsidR="009772D6" w:rsidRDefault="009772D6" w:rsidP="009772D6">
            <w:pPr>
              <w:spacing w:line="240" w:lineRule="auto"/>
              <w:rPr>
                <w:lang w:val="en-CA" w:eastAsia="en-CA"/>
              </w:rPr>
            </w:pPr>
          </w:p>
        </w:tc>
        <w:tc>
          <w:tcPr>
            <w:tcW w:w="1636" w:type="dxa"/>
          </w:tcPr>
          <w:p w14:paraId="1A0667F6" w14:textId="77777777" w:rsidR="009772D6" w:rsidRDefault="009772D6" w:rsidP="009772D6">
            <w:pPr>
              <w:spacing w:line="240" w:lineRule="auto"/>
              <w:rPr>
                <w:lang w:val="en-CA" w:eastAsia="en-CA"/>
              </w:rPr>
            </w:pPr>
          </w:p>
        </w:tc>
        <w:tc>
          <w:tcPr>
            <w:tcW w:w="1636" w:type="dxa"/>
          </w:tcPr>
          <w:p w14:paraId="02CEF6AD" w14:textId="77777777" w:rsidR="009772D6" w:rsidRDefault="009772D6" w:rsidP="009772D6">
            <w:pPr>
              <w:spacing w:line="240" w:lineRule="auto"/>
              <w:rPr>
                <w:lang w:val="en-CA" w:eastAsia="en-CA"/>
              </w:rPr>
            </w:pPr>
          </w:p>
        </w:tc>
        <w:tc>
          <w:tcPr>
            <w:tcW w:w="1635" w:type="dxa"/>
          </w:tcPr>
          <w:p w14:paraId="58DA0810" w14:textId="77777777" w:rsidR="009772D6" w:rsidRDefault="009772D6" w:rsidP="009772D6">
            <w:pPr>
              <w:spacing w:line="240" w:lineRule="auto"/>
              <w:rPr>
                <w:lang w:val="en-CA" w:eastAsia="en-CA"/>
              </w:rPr>
            </w:pPr>
          </w:p>
        </w:tc>
        <w:tc>
          <w:tcPr>
            <w:tcW w:w="1636" w:type="dxa"/>
          </w:tcPr>
          <w:p w14:paraId="3F743704" w14:textId="77777777" w:rsidR="009772D6" w:rsidRDefault="009772D6" w:rsidP="009772D6">
            <w:pPr>
              <w:spacing w:line="240" w:lineRule="auto"/>
              <w:rPr>
                <w:lang w:val="en-CA" w:eastAsia="en-CA"/>
              </w:rPr>
            </w:pPr>
          </w:p>
        </w:tc>
        <w:tc>
          <w:tcPr>
            <w:tcW w:w="1636" w:type="dxa"/>
          </w:tcPr>
          <w:p w14:paraId="686F5FD4" w14:textId="77777777" w:rsidR="009772D6" w:rsidRDefault="009772D6" w:rsidP="009772D6">
            <w:pPr>
              <w:spacing w:line="240" w:lineRule="auto"/>
              <w:rPr>
                <w:lang w:val="en-CA" w:eastAsia="en-CA"/>
              </w:rPr>
            </w:pPr>
          </w:p>
        </w:tc>
      </w:tr>
      <w:tr w:rsidR="00DE35DB" w14:paraId="3C3E8E08" w14:textId="77777777" w:rsidTr="00DB0DAC">
        <w:trPr>
          <w:trHeight w:val="192"/>
        </w:trPr>
        <w:tc>
          <w:tcPr>
            <w:tcW w:w="2972" w:type="dxa"/>
          </w:tcPr>
          <w:p w14:paraId="5FB4C0CF" w14:textId="43F7B8C7" w:rsidR="00DE35DB" w:rsidRDefault="00DE35DB" w:rsidP="00DE35DB">
            <w:pPr>
              <w:spacing w:line="240" w:lineRule="auto"/>
              <w:rPr>
                <w:lang w:val="en-CA" w:eastAsia="en-CA"/>
              </w:rPr>
            </w:pPr>
            <w:r>
              <w:rPr>
                <w:lang w:val="en-CA" w:eastAsia="en-CA"/>
              </w:rPr>
              <w:t xml:space="preserve">   Elastic net regression</w:t>
            </w:r>
          </w:p>
        </w:tc>
        <w:tc>
          <w:tcPr>
            <w:tcW w:w="1635" w:type="dxa"/>
          </w:tcPr>
          <w:p w14:paraId="3455AD80" w14:textId="77777777" w:rsidR="00DE35DB" w:rsidRDefault="00DE35DB" w:rsidP="00DE35DB">
            <w:pPr>
              <w:spacing w:line="240" w:lineRule="auto"/>
              <w:rPr>
                <w:lang w:val="en-CA" w:eastAsia="en-CA"/>
              </w:rPr>
            </w:pPr>
          </w:p>
        </w:tc>
        <w:tc>
          <w:tcPr>
            <w:tcW w:w="1636" w:type="dxa"/>
          </w:tcPr>
          <w:p w14:paraId="55EDDB58" w14:textId="77777777" w:rsidR="00DE35DB" w:rsidRDefault="00DE35DB" w:rsidP="00DE35DB">
            <w:pPr>
              <w:spacing w:line="240" w:lineRule="auto"/>
              <w:rPr>
                <w:lang w:val="en-CA" w:eastAsia="en-CA"/>
              </w:rPr>
            </w:pPr>
          </w:p>
        </w:tc>
        <w:tc>
          <w:tcPr>
            <w:tcW w:w="1636" w:type="dxa"/>
          </w:tcPr>
          <w:p w14:paraId="2104A2A0" w14:textId="77777777" w:rsidR="00DE35DB" w:rsidRDefault="00DE35DB" w:rsidP="00DE35DB">
            <w:pPr>
              <w:spacing w:line="240" w:lineRule="auto"/>
              <w:rPr>
                <w:lang w:val="en-CA" w:eastAsia="en-CA"/>
              </w:rPr>
            </w:pPr>
          </w:p>
        </w:tc>
        <w:tc>
          <w:tcPr>
            <w:tcW w:w="1635" w:type="dxa"/>
          </w:tcPr>
          <w:p w14:paraId="49DF9DEE" w14:textId="77777777" w:rsidR="00DE35DB" w:rsidRDefault="00DE35DB" w:rsidP="00DE35DB">
            <w:pPr>
              <w:spacing w:line="240" w:lineRule="auto"/>
              <w:rPr>
                <w:lang w:val="en-CA" w:eastAsia="en-CA"/>
              </w:rPr>
            </w:pPr>
          </w:p>
        </w:tc>
        <w:tc>
          <w:tcPr>
            <w:tcW w:w="1636" w:type="dxa"/>
          </w:tcPr>
          <w:p w14:paraId="22BA8A15" w14:textId="77777777" w:rsidR="00DE35DB" w:rsidRDefault="00DE35DB" w:rsidP="00DE35DB">
            <w:pPr>
              <w:spacing w:line="240" w:lineRule="auto"/>
              <w:rPr>
                <w:lang w:val="en-CA" w:eastAsia="en-CA"/>
              </w:rPr>
            </w:pPr>
          </w:p>
        </w:tc>
        <w:tc>
          <w:tcPr>
            <w:tcW w:w="1636" w:type="dxa"/>
          </w:tcPr>
          <w:p w14:paraId="694FFA34" w14:textId="77777777" w:rsidR="00DE35DB" w:rsidRDefault="00DE35DB" w:rsidP="00DE35DB">
            <w:pPr>
              <w:spacing w:line="240" w:lineRule="auto"/>
              <w:rPr>
                <w:lang w:val="en-CA" w:eastAsia="en-CA"/>
              </w:rPr>
            </w:pPr>
          </w:p>
        </w:tc>
      </w:tr>
      <w:tr w:rsidR="00DE35DB" w14:paraId="6BA211CC" w14:textId="77777777" w:rsidTr="00DB0DAC">
        <w:trPr>
          <w:trHeight w:val="192"/>
        </w:trPr>
        <w:tc>
          <w:tcPr>
            <w:tcW w:w="2972" w:type="dxa"/>
          </w:tcPr>
          <w:p w14:paraId="18162788" w14:textId="11787B5E" w:rsidR="00DE35DB" w:rsidRDefault="00DE35DB" w:rsidP="00DE35DB">
            <w:pPr>
              <w:spacing w:line="240" w:lineRule="auto"/>
              <w:rPr>
                <w:lang w:val="en-CA" w:eastAsia="en-CA"/>
              </w:rPr>
            </w:pPr>
            <w:r>
              <w:rPr>
                <w:lang w:val="en-CA" w:eastAsia="en-CA"/>
              </w:rPr>
              <w:t xml:space="preserve">   Random forest</w:t>
            </w:r>
          </w:p>
        </w:tc>
        <w:tc>
          <w:tcPr>
            <w:tcW w:w="1635" w:type="dxa"/>
          </w:tcPr>
          <w:p w14:paraId="24F75577" w14:textId="77777777" w:rsidR="00DE35DB" w:rsidRDefault="00DE35DB" w:rsidP="00DE35DB">
            <w:pPr>
              <w:spacing w:line="240" w:lineRule="auto"/>
              <w:rPr>
                <w:lang w:val="en-CA" w:eastAsia="en-CA"/>
              </w:rPr>
            </w:pPr>
          </w:p>
        </w:tc>
        <w:tc>
          <w:tcPr>
            <w:tcW w:w="1636" w:type="dxa"/>
          </w:tcPr>
          <w:p w14:paraId="3F966D87" w14:textId="77777777" w:rsidR="00DE35DB" w:rsidRDefault="00DE35DB" w:rsidP="00DE35DB">
            <w:pPr>
              <w:spacing w:line="240" w:lineRule="auto"/>
              <w:rPr>
                <w:lang w:val="en-CA" w:eastAsia="en-CA"/>
              </w:rPr>
            </w:pPr>
          </w:p>
        </w:tc>
        <w:tc>
          <w:tcPr>
            <w:tcW w:w="1636" w:type="dxa"/>
          </w:tcPr>
          <w:p w14:paraId="08F4AFD5" w14:textId="77777777" w:rsidR="00DE35DB" w:rsidRDefault="00DE35DB" w:rsidP="00DE35DB">
            <w:pPr>
              <w:spacing w:line="240" w:lineRule="auto"/>
              <w:rPr>
                <w:lang w:val="en-CA" w:eastAsia="en-CA"/>
              </w:rPr>
            </w:pPr>
          </w:p>
        </w:tc>
        <w:tc>
          <w:tcPr>
            <w:tcW w:w="1635" w:type="dxa"/>
          </w:tcPr>
          <w:p w14:paraId="2E0A456A" w14:textId="77777777" w:rsidR="00DE35DB" w:rsidRDefault="00DE35DB" w:rsidP="00DE35DB">
            <w:pPr>
              <w:spacing w:line="240" w:lineRule="auto"/>
              <w:rPr>
                <w:lang w:val="en-CA" w:eastAsia="en-CA"/>
              </w:rPr>
            </w:pPr>
          </w:p>
        </w:tc>
        <w:tc>
          <w:tcPr>
            <w:tcW w:w="1636" w:type="dxa"/>
          </w:tcPr>
          <w:p w14:paraId="5B15AE7A" w14:textId="77777777" w:rsidR="00DE35DB" w:rsidRDefault="00DE35DB" w:rsidP="00DE35DB">
            <w:pPr>
              <w:spacing w:line="240" w:lineRule="auto"/>
              <w:rPr>
                <w:lang w:val="en-CA" w:eastAsia="en-CA"/>
              </w:rPr>
            </w:pPr>
          </w:p>
        </w:tc>
        <w:tc>
          <w:tcPr>
            <w:tcW w:w="1636" w:type="dxa"/>
          </w:tcPr>
          <w:p w14:paraId="69D35649" w14:textId="77777777" w:rsidR="00DE35DB" w:rsidRDefault="00DE35DB" w:rsidP="00DE35DB">
            <w:pPr>
              <w:spacing w:line="240" w:lineRule="auto"/>
              <w:rPr>
                <w:lang w:val="en-CA" w:eastAsia="en-CA"/>
              </w:rPr>
            </w:pPr>
          </w:p>
        </w:tc>
      </w:tr>
      <w:tr w:rsidR="00DE35DB" w14:paraId="2B321223" w14:textId="77777777" w:rsidTr="00DB0DAC">
        <w:trPr>
          <w:trHeight w:val="192"/>
        </w:trPr>
        <w:tc>
          <w:tcPr>
            <w:tcW w:w="2972" w:type="dxa"/>
          </w:tcPr>
          <w:p w14:paraId="2E903C8C" w14:textId="56218D27" w:rsidR="00DE35DB" w:rsidRDefault="00DE35DB" w:rsidP="00DE35DB">
            <w:pPr>
              <w:spacing w:line="240" w:lineRule="auto"/>
              <w:rPr>
                <w:lang w:val="en-CA" w:eastAsia="en-CA"/>
              </w:rPr>
            </w:pPr>
            <w:r>
              <w:rPr>
                <w:lang w:val="en-CA" w:eastAsia="en-CA"/>
              </w:rPr>
              <w:t xml:space="preserve">   BART</w:t>
            </w:r>
          </w:p>
        </w:tc>
        <w:tc>
          <w:tcPr>
            <w:tcW w:w="1635" w:type="dxa"/>
          </w:tcPr>
          <w:p w14:paraId="6E6F89D8" w14:textId="77777777" w:rsidR="00DE35DB" w:rsidRDefault="00DE35DB" w:rsidP="00DE35DB">
            <w:pPr>
              <w:spacing w:line="240" w:lineRule="auto"/>
              <w:rPr>
                <w:lang w:val="en-CA" w:eastAsia="en-CA"/>
              </w:rPr>
            </w:pPr>
          </w:p>
        </w:tc>
        <w:tc>
          <w:tcPr>
            <w:tcW w:w="1636" w:type="dxa"/>
          </w:tcPr>
          <w:p w14:paraId="48080C25" w14:textId="77777777" w:rsidR="00DE35DB" w:rsidRDefault="00DE35DB" w:rsidP="00DE35DB">
            <w:pPr>
              <w:spacing w:line="240" w:lineRule="auto"/>
              <w:rPr>
                <w:lang w:val="en-CA" w:eastAsia="en-CA"/>
              </w:rPr>
            </w:pPr>
          </w:p>
        </w:tc>
        <w:tc>
          <w:tcPr>
            <w:tcW w:w="1636" w:type="dxa"/>
          </w:tcPr>
          <w:p w14:paraId="77C6B7D6" w14:textId="77777777" w:rsidR="00DE35DB" w:rsidRDefault="00DE35DB" w:rsidP="00DE35DB">
            <w:pPr>
              <w:spacing w:line="240" w:lineRule="auto"/>
              <w:rPr>
                <w:lang w:val="en-CA" w:eastAsia="en-CA"/>
              </w:rPr>
            </w:pPr>
          </w:p>
        </w:tc>
        <w:tc>
          <w:tcPr>
            <w:tcW w:w="1635" w:type="dxa"/>
          </w:tcPr>
          <w:p w14:paraId="1D878920" w14:textId="77777777" w:rsidR="00DE35DB" w:rsidRDefault="00DE35DB" w:rsidP="00DE35DB">
            <w:pPr>
              <w:spacing w:line="240" w:lineRule="auto"/>
              <w:rPr>
                <w:lang w:val="en-CA" w:eastAsia="en-CA"/>
              </w:rPr>
            </w:pPr>
          </w:p>
        </w:tc>
        <w:tc>
          <w:tcPr>
            <w:tcW w:w="1636" w:type="dxa"/>
          </w:tcPr>
          <w:p w14:paraId="73A4582E" w14:textId="77777777" w:rsidR="00DE35DB" w:rsidRDefault="00DE35DB" w:rsidP="00DE35DB">
            <w:pPr>
              <w:spacing w:line="240" w:lineRule="auto"/>
              <w:rPr>
                <w:lang w:val="en-CA" w:eastAsia="en-CA"/>
              </w:rPr>
            </w:pPr>
          </w:p>
        </w:tc>
        <w:tc>
          <w:tcPr>
            <w:tcW w:w="1636" w:type="dxa"/>
          </w:tcPr>
          <w:p w14:paraId="02D7C876" w14:textId="77777777" w:rsidR="00DE35DB" w:rsidRDefault="00DE35DB" w:rsidP="00DE35DB">
            <w:pPr>
              <w:spacing w:line="240" w:lineRule="auto"/>
              <w:rPr>
                <w:lang w:val="en-CA" w:eastAsia="en-CA"/>
              </w:rPr>
            </w:pPr>
          </w:p>
        </w:tc>
      </w:tr>
      <w:tr w:rsidR="00C1511D" w14:paraId="031F84E0" w14:textId="77777777" w:rsidTr="00DB0DAC">
        <w:trPr>
          <w:trHeight w:val="192"/>
        </w:trPr>
        <w:tc>
          <w:tcPr>
            <w:tcW w:w="2972" w:type="dxa"/>
          </w:tcPr>
          <w:p w14:paraId="3B93DFA4" w14:textId="2DDA32CB" w:rsidR="00EA27B2" w:rsidRPr="00DE35DB" w:rsidRDefault="00FE12E4" w:rsidP="00EA27B2">
            <w:pPr>
              <w:spacing w:line="240" w:lineRule="auto"/>
              <w:rPr>
                <w:u w:val="single"/>
                <w:lang w:val="en-CA" w:eastAsia="en-CA"/>
              </w:rPr>
            </w:pPr>
            <w:r w:rsidRPr="00DE35DB">
              <w:rPr>
                <w:u w:val="single"/>
                <w:lang w:val="en-CA" w:eastAsia="en-CA"/>
              </w:rPr>
              <w:t>Polygenic risk</w:t>
            </w:r>
          </w:p>
        </w:tc>
        <w:tc>
          <w:tcPr>
            <w:tcW w:w="1635" w:type="dxa"/>
          </w:tcPr>
          <w:p w14:paraId="32F77B36" w14:textId="77777777" w:rsidR="00EA27B2" w:rsidRDefault="00EA27B2" w:rsidP="00EA27B2">
            <w:pPr>
              <w:spacing w:line="240" w:lineRule="auto"/>
              <w:rPr>
                <w:lang w:val="en-CA" w:eastAsia="en-CA"/>
              </w:rPr>
            </w:pPr>
          </w:p>
        </w:tc>
        <w:tc>
          <w:tcPr>
            <w:tcW w:w="1636" w:type="dxa"/>
          </w:tcPr>
          <w:p w14:paraId="5B3E8EEC" w14:textId="77777777" w:rsidR="00EA27B2" w:rsidRDefault="00EA27B2" w:rsidP="00EA27B2">
            <w:pPr>
              <w:spacing w:line="240" w:lineRule="auto"/>
              <w:rPr>
                <w:lang w:val="en-CA" w:eastAsia="en-CA"/>
              </w:rPr>
            </w:pPr>
          </w:p>
        </w:tc>
        <w:tc>
          <w:tcPr>
            <w:tcW w:w="1636" w:type="dxa"/>
          </w:tcPr>
          <w:p w14:paraId="09FDD871" w14:textId="77777777" w:rsidR="00EA27B2" w:rsidRDefault="00EA27B2" w:rsidP="00EA27B2">
            <w:pPr>
              <w:spacing w:line="240" w:lineRule="auto"/>
              <w:rPr>
                <w:lang w:val="en-CA" w:eastAsia="en-CA"/>
              </w:rPr>
            </w:pPr>
          </w:p>
        </w:tc>
        <w:tc>
          <w:tcPr>
            <w:tcW w:w="1635" w:type="dxa"/>
          </w:tcPr>
          <w:p w14:paraId="6A651F52" w14:textId="77777777" w:rsidR="00EA27B2" w:rsidRDefault="00EA27B2" w:rsidP="00EA27B2">
            <w:pPr>
              <w:spacing w:line="240" w:lineRule="auto"/>
              <w:rPr>
                <w:lang w:val="en-CA" w:eastAsia="en-CA"/>
              </w:rPr>
            </w:pPr>
          </w:p>
        </w:tc>
        <w:tc>
          <w:tcPr>
            <w:tcW w:w="1636" w:type="dxa"/>
          </w:tcPr>
          <w:p w14:paraId="2BF84AC9" w14:textId="77777777" w:rsidR="00EA27B2" w:rsidRDefault="00EA27B2" w:rsidP="00EA27B2">
            <w:pPr>
              <w:spacing w:line="240" w:lineRule="auto"/>
              <w:rPr>
                <w:lang w:val="en-CA" w:eastAsia="en-CA"/>
              </w:rPr>
            </w:pPr>
          </w:p>
        </w:tc>
        <w:tc>
          <w:tcPr>
            <w:tcW w:w="1636" w:type="dxa"/>
          </w:tcPr>
          <w:p w14:paraId="446F7670" w14:textId="3C127AA8" w:rsidR="00EA27B2" w:rsidRDefault="00EA27B2" w:rsidP="00EA27B2">
            <w:pPr>
              <w:spacing w:line="240" w:lineRule="auto"/>
              <w:rPr>
                <w:lang w:val="en-CA" w:eastAsia="en-CA"/>
              </w:rPr>
            </w:pPr>
          </w:p>
        </w:tc>
      </w:tr>
      <w:tr w:rsidR="00DE35DB" w14:paraId="02801E12" w14:textId="77777777" w:rsidTr="00DB0DAC">
        <w:trPr>
          <w:trHeight w:val="192"/>
        </w:trPr>
        <w:tc>
          <w:tcPr>
            <w:tcW w:w="2972" w:type="dxa"/>
          </w:tcPr>
          <w:p w14:paraId="11F64830" w14:textId="4921BD7F" w:rsidR="00DE35DB" w:rsidRDefault="00DE35DB" w:rsidP="00DE35DB">
            <w:pPr>
              <w:spacing w:line="240" w:lineRule="auto"/>
              <w:rPr>
                <w:lang w:val="en-CA" w:eastAsia="en-CA"/>
              </w:rPr>
            </w:pPr>
            <w:r>
              <w:rPr>
                <w:lang w:val="en-CA" w:eastAsia="en-CA"/>
              </w:rPr>
              <w:t xml:space="preserve">   Elastic net regression</w:t>
            </w:r>
          </w:p>
        </w:tc>
        <w:tc>
          <w:tcPr>
            <w:tcW w:w="1635" w:type="dxa"/>
          </w:tcPr>
          <w:p w14:paraId="303C25A4" w14:textId="77777777" w:rsidR="00DE35DB" w:rsidRDefault="00DE35DB" w:rsidP="00DE35DB">
            <w:pPr>
              <w:spacing w:line="240" w:lineRule="auto"/>
              <w:rPr>
                <w:lang w:val="en-CA" w:eastAsia="en-CA"/>
              </w:rPr>
            </w:pPr>
          </w:p>
        </w:tc>
        <w:tc>
          <w:tcPr>
            <w:tcW w:w="1636" w:type="dxa"/>
          </w:tcPr>
          <w:p w14:paraId="0E7CD401" w14:textId="77777777" w:rsidR="00DE35DB" w:rsidRDefault="00DE35DB" w:rsidP="00DE35DB">
            <w:pPr>
              <w:spacing w:line="240" w:lineRule="auto"/>
              <w:rPr>
                <w:lang w:val="en-CA" w:eastAsia="en-CA"/>
              </w:rPr>
            </w:pPr>
          </w:p>
        </w:tc>
        <w:tc>
          <w:tcPr>
            <w:tcW w:w="1636" w:type="dxa"/>
          </w:tcPr>
          <w:p w14:paraId="65DDF284" w14:textId="77777777" w:rsidR="00DE35DB" w:rsidRDefault="00DE35DB" w:rsidP="00DE35DB">
            <w:pPr>
              <w:spacing w:line="240" w:lineRule="auto"/>
              <w:rPr>
                <w:lang w:val="en-CA" w:eastAsia="en-CA"/>
              </w:rPr>
            </w:pPr>
          </w:p>
        </w:tc>
        <w:tc>
          <w:tcPr>
            <w:tcW w:w="1635" w:type="dxa"/>
          </w:tcPr>
          <w:p w14:paraId="0EADAF16" w14:textId="77777777" w:rsidR="00DE35DB" w:rsidRDefault="00DE35DB" w:rsidP="00DE35DB">
            <w:pPr>
              <w:spacing w:line="240" w:lineRule="auto"/>
              <w:rPr>
                <w:lang w:val="en-CA" w:eastAsia="en-CA"/>
              </w:rPr>
            </w:pPr>
          </w:p>
        </w:tc>
        <w:tc>
          <w:tcPr>
            <w:tcW w:w="1636" w:type="dxa"/>
          </w:tcPr>
          <w:p w14:paraId="38229F82" w14:textId="77777777" w:rsidR="00DE35DB" w:rsidRDefault="00DE35DB" w:rsidP="00DE35DB">
            <w:pPr>
              <w:spacing w:line="240" w:lineRule="auto"/>
              <w:rPr>
                <w:lang w:val="en-CA" w:eastAsia="en-CA"/>
              </w:rPr>
            </w:pPr>
          </w:p>
        </w:tc>
        <w:tc>
          <w:tcPr>
            <w:tcW w:w="1636" w:type="dxa"/>
          </w:tcPr>
          <w:p w14:paraId="234E00C4" w14:textId="77777777" w:rsidR="00DE35DB" w:rsidRDefault="00DE35DB" w:rsidP="00DE35DB">
            <w:pPr>
              <w:spacing w:line="240" w:lineRule="auto"/>
              <w:rPr>
                <w:lang w:val="en-CA" w:eastAsia="en-CA"/>
              </w:rPr>
            </w:pPr>
          </w:p>
        </w:tc>
      </w:tr>
      <w:tr w:rsidR="00DE35DB" w14:paraId="7DCC9832" w14:textId="77777777" w:rsidTr="00DB0DAC">
        <w:trPr>
          <w:trHeight w:val="192"/>
        </w:trPr>
        <w:tc>
          <w:tcPr>
            <w:tcW w:w="2972" w:type="dxa"/>
          </w:tcPr>
          <w:p w14:paraId="4B66C5E7" w14:textId="2E6F7A31" w:rsidR="00DE35DB" w:rsidRDefault="00DE35DB" w:rsidP="00DE35DB">
            <w:pPr>
              <w:spacing w:line="240" w:lineRule="auto"/>
              <w:rPr>
                <w:lang w:val="en-CA" w:eastAsia="en-CA"/>
              </w:rPr>
            </w:pPr>
            <w:r>
              <w:rPr>
                <w:lang w:val="en-CA" w:eastAsia="en-CA"/>
              </w:rPr>
              <w:t xml:space="preserve">   Random forest</w:t>
            </w:r>
          </w:p>
        </w:tc>
        <w:tc>
          <w:tcPr>
            <w:tcW w:w="1635" w:type="dxa"/>
          </w:tcPr>
          <w:p w14:paraId="40C312F3" w14:textId="77777777" w:rsidR="00DE35DB" w:rsidRDefault="00DE35DB" w:rsidP="00DE35DB">
            <w:pPr>
              <w:spacing w:line="240" w:lineRule="auto"/>
              <w:rPr>
                <w:lang w:val="en-CA" w:eastAsia="en-CA"/>
              </w:rPr>
            </w:pPr>
          </w:p>
        </w:tc>
        <w:tc>
          <w:tcPr>
            <w:tcW w:w="1636" w:type="dxa"/>
          </w:tcPr>
          <w:p w14:paraId="16BABA90" w14:textId="77777777" w:rsidR="00DE35DB" w:rsidRDefault="00DE35DB" w:rsidP="00DE35DB">
            <w:pPr>
              <w:spacing w:line="240" w:lineRule="auto"/>
              <w:rPr>
                <w:lang w:val="en-CA" w:eastAsia="en-CA"/>
              </w:rPr>
            </w:pPr>
          </w:p>
        </w:tc>
        <w:tc>
          <w:tcPr>
            <w:tcW w:w="1636" w:type="dxa"/>
          </w:tcPr>
          <w:p w14:paraId="1493E854" w14:textId="77777777" w:rsidR="00DE35DB" w:rsidRDefault="00DE35DB" w:rsidP="00DE35DB">
            <w:pPr>
              <w:spacing w:line="240" w:lineRule="auto"/>
              <w:rPr>
                <w:lang w:val="en-CA" w:eastAsia="en-CA"/>
              </w:rPr>
            </w:pPr>
          </w:p>
        </w:tc>
        <w:tc>
          <w:tcPr>
            <w:tcW w:w="1635" w:type="dxa"/>
          </w:tcPr>
          <w:p w14:paraId="094492F8" w14:textId="77777777" w:rsidR="00DE35DB" w:rsidRDefault="00DE35DB" w:rsidP="00DE35DB">
            <w:pPr>
              <w:spacing w:line="240" w:lineRule="auto"/>
              <w:rPr>
                <w:lang w:val="en-CA" w:eastAsia="en-CA"/>
              </w:rPr>
            </w:pPr>
          </w:p>
        </w:tc>
        <w:tc>
          <w:tcPr>
            <w:tcW w:w="1636" w:type="dxa"/>
          </w:tcPr>
          <w:p w14:paraId="26C6ED44" w14:textId="77777777" w:rsidR="00DE35DB" w:rsidRDefault="00DE35DB" w:rsidP="00DE35DB">
            <w:pPr>
              <w:spacing w:line="240" w:lineRule="auto"/>
              <w:rPr>
                <w:lang w:val="en-CA" w:eastAsia="en-CA"/>
              </w:rPr>
            </w:pPr>
          </w:p>
        </w:tc>
        <w:tc>
          <w:tcPr>
            <w:tcW w:w="1636" w:type="dxa"/>
          </w:tcPr>
          <w:p w14:paraId="388913E2" w14:textId="77777777" w:rsidR="00DE35DB" w:rsidRDefault="00DE35DB" w:rsidP="00DE35DB">
            <w:pPr>
              <w:spacing w:line="240" w:lineRule="auto"/>
              <w:rPr>
                <w:lang w:val="en-CA" w:eastAsia="en-CA"/>
              </w:rPr>
            </w:pPr>
          </w:p>
        </w:tc>
      </w:tr>
      <w:tr w:rsidR="00DE35DB" w14:paraId="51180DD3" w14:textId="77777777" w:rsidTr="00DB0DAC">
        <w:trPr>
          <w:trHeight w:val="192"/>
        </w:trPr>
        <w:tc>
          <w:tcPr>
            <w:tcW w:w="2972" w:type="dxa"/>
          </w:tcPr>
          <w:p w14:paraId="44DD6BCD" w14:textId="05AF8777" w:rsidR="00DE35DB" w:rsidRDefault="00DE35DB" w:rsidP="00DE35DB">
            <w:pPr>
              <w:spacing w:line="240" w:lineRule="auto"/>
              <w:rPr>
                <w:lang w:val="en-CA" w:eastAsia="en-CA"/>
              </w:rPr>
            </w:pPr>
            <w:r>
              <w:rPr>
                <w:lang w:val="en-CA" w:eastAsia="en-CA"/>
              </w:rPr>
              <w:t xml:space="preserve">   BART</w:t>
            </w:r>
          </w:p>
        </w:tc>
        <w:tc>
          <w:tcPr>
            <w:tcW w:w="1635" w:type="dxa"/>
          </w:tcPr>
          <w:p w14:paraId="7D7D6073" w14:textId="77777777" w:rsidR="00DE35DB" w:rsidRDefault="00DE35DB" w:rsidP="00DE35DB">
            <w:pPr>
              <w:spacing w:line="240" w:lineRule="auto"/>
              <w:rPr>
                <w:lang w:val="en-CA" w:eastAsia="en-CA"/>
              </w:rPr>
            </w:pPr>
          </w:p>
        </w:tc>
        <w:tc>
          <w:tcPr>
            <w:tcW w:w="1636" w:type="dxa"/>
          </w:tcPr>
          <w:p w14:paraId="4DEA18D5" w14:textId="77777777" w:rsidR="00DE35DB" w:rsidRDefault="00DE35DB" w:rsidP="00DE35DB">
            <w:pPr>
              <w:spacing w:line="240" w:lineRule="auto"/>
              <w:rPr>
                <w:lang w:val="en-CA" w:eastAsia="en-CA"/>
              </w:rPr>
            </w:pPr>
          </w:p>
        </w:tc>
        <w:tc>
          <w:tcPr>
            <w:tcW w:w="1636" w:type="dxa"/>
          </w:tcPr>
          <w:p w14:paraId="28C7835D" w14:textId="77777777" w:rsidR="00DE35DB" w:rsidRDefault="00DE35DB" w:rsidP="00DE35DB">
            <w:pPr>
              <w:spacing w:line="240" w:lineRule="auto"/>
              <w:rPr>
                <w:lang w:val="en-CA" w:eastAsia="en-CA"/>
              </w:rPr>
            </w:pPr>
          </w:p>
        </w:tc>
        <w:tc>
          <w:tcPr>
            <w:tcW w:w="1635" w:type="dxa"/>
          </w:tcPr>
          <w:p w14:paraId="0907546A" w14:textId="77777777" w:rsidR="00DE35DB" w:rsidRDefault="00DE35DB" w:rsidP="00DE35DB">
            <w:pPr>
              <w:spacing w:line="240" w:lineRule="auto"/>
              <w:rPr>
                <w:lang w:val="en-CA" w:eastAsia="en-CA"/>
              </w:rPr>
            </w:pPr>
          </w:p>
        </w:tc>
        <w:tc>
          <w:tcPr>
            <w:tcW w:w="1636" w:type="dxa"/>
          </w:tcPr>
          <w:p w14:paraId="793E20E0" w14:textId="77777777" w:rsidR="00DE35DB" w:rsidRDefault="00DE35DB" w:rsidP="00DE35DB">
            <w:pPr>
              <w:spacing w:line="240" w:lineRule="auto"/>
              <w:rPr>
                <w:lang w:val="en-CA" w:eastAsia="en-CA"/>
              </w:rPr>
            </w:pPr>
          </w:p>
        </w:tc>
        <w:tc>
          <w:tcPr>
            <w:tcW w:w="1636" w:type="dxa"/>
          </w:tcPr>
          <w:p w14:paraId="5F801E52" w14:textId="77777777" w:rsidR="00DE35DB" w:rsidRDefault="00DE35DB" w:rsidP="00DE35DB">
            <w:pPr>
              <w:spacing w:line="240" w:lineRule="auto"/>
              <w:rPr>
                <w:lang w:val="en-CA" w:eastAsia="en-CA"/>
              </w:rPr>
            </w:pPr>
          </w:p>
        </w:tc>
      </w:tr>
      <w:tr w:rsidR="00DE35DB" w14:paraId="78B005D1" w14:textId="77777777" w:rsidTr="00DB0DAC">
        <w:trPr>
          <w:trHeight w:val="192"/>
        </w:trPr>
        <w:tc>
          <w:tcPr>
            <w:tcW w:w="2972" w:type="dxa"/>
          </w:tcPr>
          <w:p w14:paraId="4706854E" w14:textId="084A4A15" w:rsidR="00DE35DB" w:rsidRPr="00DE35DB" w:rsidRDefault="000041D9" w:rsidP="00DE35DB">
            <w:pPr>
              <w:spacing w:line="240" w:lineRule="auto"/>
              <w:rPr>
                <w:u w:val="single"/>
                <w:lang w:val="en-CA" w:eastAsia="en-CA"/>
              </w:rPr>
            </w:pPr>
            <w:r>
              <w:rPr>
                <w:u w:val="single"/>
                <w:lang w:val="en-CA" w:eastAsia="en-CA"/>
              </w:rPr>
              <w:t>Combined</w:t>
            </w:r>
            <w:bookmarkStart w:id="0" w:name="_GoBack"/>
            <w:bookmarkEnd w:id="0"/>
            <w:r w:rsidR="00DE35DB" w:rsidRPr="00DE35DB">
              <w:rPr>
                <w:u w:val="single"/>
                <w:lang w:val="en-CA" w:eastAsia="en-CA"/>
              </w:rPr>
              <w:t xml:space="preserve"> immunophenotyping</w:t>
            </w:r>
          </w:p>
        </w:tc>
        <w:tc>
          <w:tcPr>
            <w:tcW w:w="1635" w:type="dxa"/>
          </w:tcPr>
          <w:p w14:paraId="6034DE2C" w14:textId="77777777" w:rsidR="00DE35DB" w:rsidRDefault="00DE35DB" w:rsidP="00DE35DB">
            <w:pPr>
              <w:spacing w:line="240" w:lineRule="auto"/>
              <w:rPr>
                <w:lang w:val="en-CA" w:eastAsia="en-CA"/>
              </w:rPr>
            </w:pPr>
          </w:p>
        </w:tc>
        <w:tc>
          <w:tcPr>
            <w:tcW w:w="1636" w:type="dxa"/>
          </w:tcPr>
          <w:p w14:paraId="673C19D8" w14:textId="77777777" w:rsidR="00DE35DB" w:rsidRDefault="00DE35DB" w:rsidP="00DE35DB">
            <w:pPr>
              <w:spacing w:line="240" w:lineRule="auto"/>
              <w:rPr>
                <w:lang w:val="en-CA" w:eastAsia="en-CA"/>
              </w:rPr>
            </w:pPr>
          </w:p>
        </w:tc>
        <w:tc>
          <w:tcPr>
            <w:tcW w:w="1636" w:type="dxa"/>
          </w:tcPr>
          <w:p w14:paraId="07B867D6" w14:textId="77777777" w:rsidR="00DE35DB" w:rsidRDefault="00DE35DB" w:rsidP="00DE35DB">
            <w:pPr>
              <w:spacing w:line="240" w:lineRule="auto"/>
              <w:rPr>
                <w:lang w:val="en-CA" w:eastAsia="en-CA"/>
              </w:rPr>
            </w:pPr>
          </w:p>
        </w:tc>
        <w:tc>
          <w:tcPr>
            <w:tcW w:w="1635" w:type="dxa"/>
          </w:tcPr>
          <w:p w14:paraId="48743397" w14:textId="77777777" w:rsidR="00DE35DB" w:rsidRDefault="00DE35DB" w:rsidP="00DE35DB">
            <w:pPr>
              <w:spacing w:line="240" w:lineRule="auto"/>
              <w:rPr>
                <w:lang w:val="en-CA" w:eastAsia="en-CA"/>
              </w:rPr>
            </w:pPr>
          </w:p>
        </w:tc>
        <w:tc>
          <w:tcPr>
            <w:tcW w:w="1636" w:type="dxa"/>
          </w:tcPr>
          <w:p w14:paraId="2CEC0033" w14:textId="77777777" w:rsidR="00DE35DB" w:rsidRDefault="00DE35DB" w:rsidP="00DE35DB">
            <w:pPr>
              <w:spacing w:line="240" w:lineRule="auto"/>
              <w:rPr>
                <w:lang w:val="en-CA" w:eastAsia="en-CA"/>
              </w:rPr>
            </w:pPr>
          </w:p>
        </w:tc>
        <w:tc>
          <w:tcPr>
            <w:tcW w:w="1636" w:type="dxa"/>
          </w:tcPr>
          <w:p w14:paraId="74D05DEB" w14:textId="77777777" w:rsidR="00DE35DB" w:rsidRDefault="00DE35DB" w:rsidP="00DE35DB">
            <w:pPr>
              <w:spacing w:line="240" w:lineRule="auto"/>
              <w:rPr>
                <w:lang w:val="en-CA" w:eastAsia="en-CA"/>
              </w:rPr>
            </w:pPr>
          </w:p>
        </w:tc>
      </w:tr>
      <w:tr w:rsidR="00DE35DB" w14:paraId="331A3934" w14:textId="77777777" w:rsidTr="00DB0DAC">
        <w:trPr>
          <w:trHeight w:val="192"/>
        </w:trPr>
        <w:tc>
          <w:tcPr>
            <w:tcW w:w="2972" w:type="dxa"/>
          </w:tcPr>
          <w:p w14:paraId="445F097A" w14:textId="0F5C9811" w:rsidR="00DE35DB" w:rsidRDefault="00DE35DB" w:rsidP="00DE35DB">
            <w:pPr>
              <w:spacing w:line="240" w:lineRule="auto"/>
              <w:rPr>
                <w:lang w:val="en-CA" w:eastAsia="en-CA"/>
              </w:rPr>
            </w:pPr>
            <w:r>
              <w:rPr>
                <w:lang w:val="en-CA" w:eastAsia="en-CA"/>
              </w:rPr>
              <w:t xml:space="preserve">   Elastic net regression</w:t>
            </w:r>
          </w:p>
        </w:tc>
        <w:tc>
          <w:tcPr>
            <w:tcW w:w="1635" w:type="dxa"/>
          </w:tcPr>
          <w:p w14:paraId="0CFB5E79" w14:textId="77777777" w:rsidR="00DE35DB" w:rsidRDefault="00DE35DB" w:rsidP="00DE35DB">
            <w:pPr>
              <w:spacing w:line="240" w:lineRule="auto"/>
              <w:rPr>
                <w:lang w:val="en-CA" w:eastAsia="en-CA"/>
              </w:rPr>
            </w:pPr>
          </w:p>
        </w:tc>
        <w:tc>
          <w:tcPr>
            <w:tcW w:w="1636" w:type="dxa"/>
          </w:tcPr>
          <w:p w14:paraId="2263F092" w14:textId="77777777" w:rsidR="00DE35DB" w:rsidRDefault="00DE35DB" w:rsidP="00DE35DB">
            <w:pPr>
              <w:spacing w:line="240" w:lineRule="auto"/>
              <w:rPr>
                <w:lang w:val="en-CA" w:eastAsia="en-CA"/>
              </w:rPr>
            </w:pPr>
          </w:p>
        </w:tc>
        <w:tc>
          <w:tcPr>
            <w:tcW w:w="1636" w:type="dxa"/>
          </w:tcPr>
          <w:p w14:paraId="6F10D5BF" w14:textId="77777777" w:rsidR="00DE35DB" w:rsidRDefault="00DE35DB" w:rsidP="00DE35DB">
            <w:pPr>
              <w:spacing w:line="240" w:lineRule="auto"/>
              <w:rPr>
                <w:lang w:val="en-CA" w:eastAsia="en-CA"/>
              </w:rPr>
            </w:pPr>
          </w:p>
        </w:tc>
        <w:tc>
          <w:tcPr>
            <w:tcW w:w="1635" w:type="dxa"/>
          </w:tcPr>
          <w:p w14:paraId="73E4EFE1" w14:textId="77777777" w:rsidR="00DE35DB" w:rsidRDefault="00DE35DB" w:rsidP="00DE35DB">
            <w:pPr>
              <w:spacing w:line="240" w:lineRule="auto"/>
              <w:rPr>
                <w:lang w:val="en-CA" w:eastAsia="en-CA"/>
              </w:rPr>
            </w:pPr>
          </w:p>
        </w:tc>
        <w:tc>
          <w:tcPr>
            <w:tcW w:w="1636" w:type="dxa"/>
          </w:tcPr>
          <w:p w14:paraId="30D36F5E" w14:textId="77777777" w:rsidR="00DE35DB" w:rsidRDefault="00DE35DB" w:rsidP="00DE35DB">
            <w:pPr>
              <w:spacing w:line="240" w:lineRule="auto"/>
              <w:rPr>
                <w:lang w:val="en-CA" w:eastAsia="en-CA"/>
              </w:rPr>
            </w:pPr>
          </w:p>
        </w:tc>
        <w:tc>
          <w:tcPr>
            <w:tcW w:w="1636" w:type="dxa"/>
          </w:tcPr>
          <w:p w14:paraId="3A6440E4" w14:textId="77777777" w:rsidR="00DE35DB" w:rsidRDefault="00DE35DB" w:rsidP="00DE35DB">
            <w:pPr>
              <w:spacing w:line="240" w:lineRule="auto"/>
              <w:rPr>
                <w:lang w:val="en-CA" w:eastAsia="en-CA"/>
              </w:rPr>
            </w:pPr>
          </w:p>
        </w:tc>
      </w:tr>
      <w:tr w:rsidR="00DE35DB" w14:paraId="555B6BA0" w14:textId="77777777" w:rsidTr="00DB0DAC">
        <w:trPr>
          <w:trHeight w:val="192"/>
        </w:trPr>
        <w:tc>
          <w:tcPr>
            <w:tcW w:w="2972" w:type="dxa"/>
          </w:tcPr>
          <w:p w14:paraId="144C8ACE" w14:textId="6E426B23" w:rsidR="00DE35DB" w:rsidRDefault="00DE35DB" w:rsidP="00DE35DB">
            <w:pPr>
              <w:spacing w:line="240" w:lineRule="auto"/>
              <w:rPr>
                <w:lang w:val="en-CA" w:eastAsia="en-CA"/>
              </w:rPr>
            </w:pPr>
            <w:r>
              <w:rPr>
                <w:lang w:val="en-CA" w:eastAsia="en-CA"/>
              </w:rPr>
              <w:t xml:space="preserve">   Random forest</w:t>
            </w:r>
          </w:p>
        </w:tc>
        <w:tc>
          <w:tcPr>
            <w:tcW w:w="1635" w:type="dxa"/>
          </w:tcPr>
          <w:p w14:paraId="5775B7FB" w14:textId="77777777" w:rsidR="00DE35DB" w:rsidRDefault="00DE35DB" w:rsidP="00DE35DB">
            <w:pPr>
              <w:spacing w:line="240" w:lineRule="auto"/>
              <w:rPr>
                <w:lang w:val="en-CA" w:eastAsia="en-CA"/>
              </w:rPr>
            </w:pPr>
          </w:p>
        </w:tc>
        <w:tc>
          <w:tcPr>
            <w:tcW w:w="1636" w:type="dxa"/>
          </w:tcPr>
          <w:p w14:paraId="5A200C65" w14:textId="77777777" w:rsidR="00DE35DB" w:rsidRDefault="00DE35DB" w:rsidP="00DE35DB">
            <w:pPr>
              <w:spacing w:line="240" w:lineRule="auto"/>
              <w:rPr>
                <w:lang w:val="en-CA" w:eastAsia="en-CA"/>
              </w:rPr>
            </w:pPr>
          </w:p>
        </w:tc>
        <w:tc>
          <w:tcPr>
            <w:tcW w:w="1636" w:type="dxa"/>
          </w:tcPr>
          <w:p w14:paraId="1A887455" w14:textId="77777777" w:rsidR="00DE35DB" w:rsidRDefault="00DE35DB" w:rsidP="00DE35DB">
            <w:pPr>
              <w:spacing w:line="240" w:lineRule="auto"/>
              <w:rPr>
                <w:lang w:val="en-CA" w:eastAsia="en-CA"/>
              </w:rPr>
            </w:pPr>
          </w:p>
        </w:tc>
        <w:tc>
          <w:tcPr>
            <w:tcW w:w="1635" w:type="dxa"/>
          </w:tcPr>
          <w:p w14:paraId="7FE39B18" w14:textId="77777777" w:rsidR="00DE35DB" w:rsidRDefault="00DE35DB" w:rsidP="00DE35DB">
            <w:pPr>
              <w:spacing w:line="240" w:lineRule="auto"/>
              <w:rPr>
                <w:lang w:val="en-CA" w:eastAsia="en-CA"/>
              </w:rPr>
            </w:pPr>
          </w:p>
        </w:tc>
        <w:tc>
          <w:tcPr>
            <w:tcW w:w="1636" w:type="dxa"/>
          </w:tcPr>
          <w:p w14:paraId="59C1ED17" w14:textId="77777777" w:rsidR="00DE35DB" w:rsidRDefault="00DE35DB" w:rsidP="00DE35DB">
            <w:pPr>
              <w:spacing w:line="240" w:lineRule="auto"/>
              <w:rPr>
                <w:lang w:val="en-CA" w:eastAsia="en-CA"/>
              </w:rPr>
            </w:pPr>
          </w:p>
        </w:tc>
        <w:tc>
          <w:tcPr>
            <w:tcW w:w="1636" w:type="dxa"/>
          </w:tcPr>
          <w:p w14:paraId="7FB1717B" w14:textId="77777777" w:rsidR="00DE35DB" w:rsidRDefault="00DE35DB" w:rsidP="00DE35DB">
            <w:pPr>
              <w:spacing w:line="240" w:lineRule="auto"/>
              <w:rPr>
                <w:lang w:val="en-CA" w:eastAsia="en-CA"/>
              </w:rPr>
            </w:pPr>
          </w:p>
        </w:tc>
      </w:tr>
      <w:tr w:rsidR="00DE35DB" w14:paraId="5DAF5583" w14:textId="77777777" w:rsidTr="00DE35DB">
        <w:trPr>
          <w:trHeight w:val="68"/>
        </w:trPr>
        <w:tc>
          <w:tcPr>
            <w:tcW w:w="2972" w:type="dxa"/>
            <w:tcBorders>
              <w:bottom w:val="single" w:sz="4" w:space="0" w:color="auto"/>
            </w:tcBorders>
          </w:tcPr>
          <w:p w14:paraId="3B70088E" w14:textId="051508F1" w:rsidR="00DE35DB" w:rsidRDefault="00DE35DB" w:rsidP="00DE35DB">
            <w:pPr>
              <w:spacing w:line="240" w:lineRule="auto"/>
              <w:rPr>
                <w:lang w:val="en-CA" w:eastAsia="en-CA"/>
              </w:rPr>
            </w:pPr>
            <w:r>
              <w:rPr>
                <w:lang w:val="en-CA" w:eastAsia="en-CA"/>
              </w:rPr>
              <w:t xml:space="preserve">   BART</w:t>
            </w:r>
          </w:p>
        </w:tc>
        <w:tc>
          <w:tcPr>
            <w:tcW w:w="1635" w:type="dxa"/>
            <w:tcBorders>
              <w:bottom w:val="single" w:sz="4" w:space="0" w:color="auto"/>
            </w:tcBorders>
          </w:tcPr>
          <w:p w14:paraId="540501DB" w14:textId="77777777" w:rsidR="00DE35DB" w:rsidRDefault="00DE35DB" w:rsidP="00DE35DB">
            <w:pPr>
              <w:spacing w:line="240" w:lineRule="auto"/>
              <w:rPr>
                <w:lang w:val="en-CA" w:eastAsia="en-CA"/>
              </w:rPr>
            </w:pPr>
          </w:p>
        </w:tc>
        <w:tc>
          <w:tcPr>
            <w:tcW w:w="1636" w:type="dxa"/>
            <w:tcBorders>
              <w:bottom w:val="single" w:sz="4" w:space="0" w:color="auto"/>
            </w:tcBorders>
          </w:tcPr>
          <w:p w14:paraId="5F251954" w14:textId="77777777" w:rsidR="00DE35DB" w:rsidRDefault="00DE35DB" w:rsidP="00DE35DB">
            <w:pPr>
              <w:spacing w:line="240" w:lineRule="auto"/>
              <w:rPr>
                <w:lang w:val="en-CA" w:eastAsia="en-CA"/>
              </w:rPr>
            </w:pPr>
          </w:p>
        </w:tc>
        <w:tc>
          <w:tcPr>
            <w:tcW w:w="1636" w:type="dxa"/>
            <w:tcBorders>
              <w:bottom w:val="single" w:sz="4" w:space="0" w:color="auto"/>
            </w:tcBorders>
          </w:tcPr>
          <w:p w14:paraId="2D49A580" w14:textId="77777777" w:rsidR="00DE35DB" w:rsidRDefault="00DE35DB" w:rsidP="00DE35DB">
            <w:pPr>
              <w:spacing w:line="240" w:lineRule="auto"/>
              <w:rPr>
                <w:lang w:val="en-CA" w:eastAsia="en-CA"/>
              </w:rPr>
            </w:pPr>
          </w:p>
        </w:tc>
        <w:tc>
          <w:tcPr>
            <w:tcW w:w="1635" w:type="dxa"/>
            <w:tcBorders>
              <w:bottom w:val="single" w:sz="4" w:space="0" w:color="auto"/>
            </w:tcBorders>
          </w:tcPr>
          <w:p w14:paraId="7D5EEE3F" w14:textId="77777777" w:rsidR="00DE35DB" w:rsidRDefault="00DE35DB" w:rsidP="00DE35DB">
            <w:pPr>
              <w:spacing w:line="240" w:lineRule="auto"/>
              <w:rPr>
                <w:lang w:val="en-CA" w:eastAsia="en-CA"/>
              </w:rPr>
            </w:pPr>
          </w:p>
        </w:tc>
        <w:tc>
          <w:tcPr>
            <w:tcW w:w="1636" w:type="dxa"/>
            <w:tcBorders>
              <w:bottom w:val="single" w:sz="4" w:space="0" w:color="auto"/>
            </w:tcBorders>
          </w:tcPr>
          <w:p w14:paraId="631A3384" w14:textId="77777777" w:rsidR="00DE35DB" w:rsidRDefault="00DE35DB" w:rsidP="00DE35DB">
            <w:pPr>
              <w:spacing w:line="240" w:lineRule="auto"/>
              <w:rPr>
                <w:lang w:val="en-CA" w:eastAsia="en-CA"/>
              </w:rPr>
            </w:pPr>
          </w:p>
        </w:tc>
        <w:tc>
          <w:tcPr>
            <w:tcW w:w="1636" w:type="dxa"/>
            <w:tcBorders>
              <w:bottom w:val="single" w:sz="4" w:space="0" w:color="auto"/>
            </w:tcBorders>
          </w:tcPr>
          <w:p w14:paraId="3DE6E36B" w14:textId="6F59CCFF" w:rsidR="00DE35DB" w:rsidRDefault="00DE35DB" w:rsidP="00DE35DB">
            <w:pPr>
              <w:spacing w:line="240" w:lineRule="auto"/>
              <w:rPr>
                <w:lang w:val="en-CA" w:eastAsia="en-CA"/>
              </w:rPr>
            </w:pPr>
          </w:p>
        </w:tc>
      </w:tr>
    </w:tbl>
    <w:p w14:paraId="6A417257" w14:textId="397507F9" w:rsidR="00F720DD" w:rsidRDefault="00EA27B2" w:rsidP="00F655D7">
      <w:pPr>
        <w:rPr>
          <w:lang w:val="en-CA" w:eastAsia="en-CA"/>
        </w:rPr>
      </w:pPr>
      <w:r>
        <w:rPr>
          <w:lang w:val="en-CA" w:eastAsia="en-CA"/>
        </w:rPr>
        <w:t xml:space="preserve">Note: </w:t>
      </w:r>
      <w:proofErr w:type="spellStart"/>
      <w:r w:rsidRPr="00C1511D">
        <w:rPr>
          <w:vertAlign w:val="superscript"/>
          <w:lang w:val="en-CA" w:eastAsia="en-CA"/>
        </w:rPr>
        <w:t>a</w:t>
      </w:r>
      <w:r>
        <w:rPr>
          <w:lang w:val="en-CA" w:eastAsia="en-CA"/>
        </w:rPr>
        <w:t>P</w:t>
      </w:r>
      <w:proofErr w:type="spellEnd"/>
      <w:r>
        <w:rPr>
          <w:lang w:val="en-CA" w:eastAsia="en-CA"/>
        </w:rPr>
        <w:t xml:space="preserve">-value obtained from </w:t>
      </w:r>
      <w:r w:rsidR="00314A7F">
        <w:rPr>
          <w:lang w:val="en-CA" w:eastAsia="en-CA"/>
        </w:rPr>
        <w:t xml:space="preserve">distribution of </w:t>
      </w:r>
      <w:r>
        <w:rPr>
          <w:lang w:val="en-CA" w:eastAsia="en-CA"/>
        </w:rPr>
        <w:t>1000-fold permutations</w:t>
      </w:r>
      <w:r w:rsidR="00314A7F">
        <w:rPr>
          <w:lang w:val="en-CA" w:eastAsia="en-CA"/>
        </w:rPr>
        <w:t xml:space="preserve"> of 7-week BDI</w:t>
      </w:r>
      <w:r>
        <w:rPr>
          <w:lang w:val="en-CA" w:eastAsia="en-CA"/>
        </w:rPr>
        <w:t>.</w:t>
      </w:r>
    </w:p>
    <w:p w14:paraId="1B503739" w14:textId="77777777" w:rsidR="00F720DD" w:rsidRDefault="00F720DD" w:rsidP="00F655D7">
      <w:pPr>
        <w:rPr>
          <w:lang w:val="en-CA" w:eastAsia="en-CA"/>
        </w:rPr>
      </w:pPr>
    </w:p>
    <w:p w14:paraId="004B1A4B" w14:textId="77777777" w:rsidR="00C1511D" w:rsidRDefault="00C1511D" w:rsidP="003D4F7E">
      <w:pPr>
        <w:pStyle w:val="Heading2"/>
        <w:sectPr w:rsidR="00C1511D" w:rsidSect="00314A7F">
          <w:pgSz w:w="15840" w:h="12240" w:orient="landscape"/>
          <w:pgMar w:top="1417" w:right="1417" w:bottom="1417" w:left="1134" w:header="708" w:footer="708" w:gutter="0"/>
          <w:cols w:space="708"/>
          <w:docGrid w:linePitch="360"/>
        </w:sectPr>
      </w:pPr>
    </w:p>
    <w:p w14:paraId="7FFC90EE" w14:textId="5AF4E6E7" w:rsidR="003D4F7E" w:rsidRDefault="00C1511D" w:rsidP="003D4F7E">
      <w:pPr>
        <w:pStyle w:val="Heading2"/>
      </w:pPr>
      <w:r>
        <w:lastRenderedPageBreak/>
        <w:t>C</w:t>
      </w:r>
      <w:r w:rsidR="003D4F7E">
        <w:t>ontent Validity Analyses</w:t>
      </w:r>
    </w:p>
    <w:p w14:paraId="55269A08" w14:textId="16546F8A" w:rsidR="003D4F7E" w:rsidRPr="00F655D7" w:rsidRDefault="003D4F7E" w:rsidP="00F655D7">
      <w:pPr>
        <w:rPr>
          <w:lang w:val="en-GB"/>
        </w:rPr>
        <w:sectPr w:rsidR="003D4F7E" w:rsidRPr="00F655D7">
          <w:pgSz w:w="12240" w:h="15840"/>
          <w:pgMar w:top="1417" w:right="1417" w:bottom="1134" w:left="1417" w:header="708" w:footer="708" w:gutter="0"/>
          <w:cols w:space="708"/>
          <w:docGrid w:linePitch="360"/>
        </w:sectPr>
      </w:pPr>
      <w:r>
        <w:rPr>
          <w:lang w:val="en-GB"/>
        </w:rPr>
        <w:t>as</w:t>
      </w:r>
    </w:p>
    <w:p w14:paraId="4D3E8844" w14:textId="549E3A12" w:rsidR="00FA6EAF" w:rsidRPr="006145CB" w:rsidRDefault="00FA6EAF" w:rsidP="00C937E7">
      <w:pPr>
        <w:pStyle w:val="Heading1"/>
        <w:rPr>
          <w:lang w:val="en-GB"/>
        </w:rPr>
      </w:pPr>
      <w:r>
        <w:rPr>
          <w:lang w:val="en-GB"/>
        </w:rPr>
        <w:lastRenderedPageBreak/>
        <w:t>Discussion</w:t>
      </w:r>
    </w:p>
    <w:p w14:paraId="72FE89C4" w14:textId="29396846" w:rsidR="00FA6EAF" w:rsidRDefault="009D00B5" w:rsidP="00FA6EAF">
      <w:pPr>
        <w:rPr>
          <w:rFonts w:cs="Times New Roman"/>
          <w:szCs w:val="24"/>
          <w:lang w:val="en-GB"/>
        </w:rPr>
      </w:pPr>
      <w:r>
        <w:rPr>
          <w:rFonts w:cs="Times New Roman"/>
          <w:szCs w:val="24"/>
          <w:lang w:val="en-GB"/>
        </w:rPr>
        <w:t>T</w:t>
      </w:r>
      <w:r w:rsidR="00656490">
        <w:rPr>
          <w:rFonts w:cs="Times New Roman"/>
          <w:szCs w:val="24"/>
          <w:lang w:val="en-GB"/>
        </w:rPr>
        <w:t>bc</w:t>
      </w:r>
    </w:p>
    <w:p w14:paraId="34C493ED" w14:textId="692D9027" w:rsidR="003E0B47" w:rsidRDefault="003E0B47" w:rsidP="00FA6EAF">
      <w:pPr>
        <w:rPr>
          <w:rFonts w:cs="Times New Roman"/>
          <w:szCs w:val="24"/>
          <w:lang w:val="en-GB"/>
        </w:rPr>
      </w:pPr>
    </w:p>
    <w:p w14:paraId="5C0B88E1" w14:textId="77777777" w:rsidR="00902B11" w:rsidRDefault="00902B11" w:rsidP="00FA6EAF">
      <w:pPr>
        <w:rPr>
          <w:rFonts w:cs="Times New Roman"/>
          <w:szCs w:val="24"/>
          <w:lang w:val="en-GB"/>
        </w:rPr>
      </w:pPr>
    </w:p>
    <w:p w14:paraId="6F4EFC63" w14:textId="2C1A408E" w:rsidR="00DF1571" w:rsidRPr="006145CB" w:rsidRDefault="00DF1571" w:rsidP="00C937E7">
      <w:pPr>
        <w:pStyle w:val="Heading2"/>
      </w:pPr>
      <w:r>
        <w:t>Conclusion</w:t>
      </w:r>
    </w:p>
    <w:p w14:paraId="443547A5" w14:textId="77777777" w:rsidR="00DF1571" w:rsidRDefault="00DF1571" w:rsidP="00DF1571">
      <w:pPr>
        <w:rPr>
          <w:rFonts w:cs="Times New Roman"/>
          <w:szCs w:val="24"/>
          <w:lang w:val="en-GB"/>
        </w:rPr>
      </w:pPr>
      <w:r>
        <w:rPr>
          <w:rFonts w:cs="Times New Roman"/>
          <w:szCs w:val="24"/>
          <w:lang w:val="en-GB"/>
        </w:rPr>
        <w:t>Tbc</w:t>
      </w:r>
    </w:p>
    <w:p w14:paraId="28E8353C" w14:textId="77777777" w:rsidR="00DF1571" w:rsidRPr="006145CB" w:rsidRDefault="00DF1571" w:rsidP="00FA6EAF">
      <w:pPr>
        <w:rPr>
          <w:rFonts w:cs="Times New Roman"/>
          <w:szCs w:val="24"/>
          <w:lang w:val="en-GB"/>
        </w:rPr>
      </w:pPr>
    </w:p>
    <w:p w14:paraId="7C686D85" w14:textId="77777777" w:rsidR="00FA6EAF" w:rsidRPr="006145CB" w:rsidRDefault="00FA6EAF" w:rsidP="00FA6EAF">
      <w:pPr>
        <w:rPr>
          <w:rFonts w:cs="Times New Roman"/>
          <w:szCs w:val="24"/>
          <w:lang w:val="en-GB"/>
        </w:rPr>
      </w:pPr>
    </w:p>
    <w:p w14:paraId="4D3413D2" w14:textId="77777777" w:rsidR="00FA6EAF" w:rsidRDefault="00FA6EAF" w:rsidP="005145B6">
      <w:pPr>
        <w:rPr>
          <w:rFonts w:cs="Times New Roman"/>
          <w:b/>
          <w:szCs w:val="24"/>
          <w:lang w:val="en-GB"/>
        </w:rPr>
      </w:pPr>
    </w:p>
    <w:p w14:paraId="797A5379" w14:textId="77777777" w:rsidR="00FA6EAF" w:rsidRDefault="00FA6EAF" w:rsidP="005145B6">
      <w:pPr>
        <w:rPr>
          <w:rFonts w:cs="Times New Roman"/>
          <w:b/>
          <w:szCs w:val="24"/>
          <w:lang w:val="en-GB"/>
        </w:rPr>
        <w:sectPr w:rsidR="00FA6EAF">
          <w:pgSz w:w="12240" w:h="15840"/>
          <w:pgMar w:top="1417" w:right="1417" w:bottom="1134" w:left="1417" w:header="708" w:footer="708" w:gutter="0"/>
          <w:cols w:space="708"/>
          <w:docGrid w:linePitch="360"/>
        </w:sectPr>
      </w:pPr>
    </w:p>
    <w:p w14:paraId="478163A1" w14:textId="12AC5D0C" w:rsidR="005145B6" w:rsidRPr="006145CB" w:rsidRDefault="005145B6" w:rsidP="00E96A8D">
      <w:pPr>
        <w:pStyle w:val="Heading1"/>
        <w:rPr>
          <w:lang w:val="en-GB"/>
        </w:rPr>
      </w:pPr>
      <w:r>
        <w:rPr>
          <w:lang w:val="en-GB"/>
        </w:rPr>
        <w:lastRenderedPageBreak/>
        <w:t>Competing interests</w:t>
      </w:r>
    </w:p>
    <w:p w14:paraId="49D7ED6E" w14:textId="127207C0" w:rsidR="005145B6" w:rsidRPr="006145CB" w:rsidRDefault="00C937E7" w:rsidP="00DE55B4">
      <w:pPr>
        <w:rPr>
          <w:rFonts w:cs="Times New Roman"/>
          <w:szCs w:val="24"/>
          <w:lang w:val="en-GB"/>
        </w:rPr>
      </w:pPr>
      <w:r>
        <w:rPr>
          <w:rFonts w:cs="Times New Roman"/>
          <w:szCs w:val="24"/>
          <w:lang w:val="en-GB"/>
        </w:rPr>
        <w:t>The authors do not have any competing interests</w:t>
      </w:r>
      <w:r w:rsidR="005963F6">
        <w:rPr>
          <w:rFonts w:cs="Times New Roman"/>
          <w:szCs w:val="24"/>
          <w:lang w:val="en-GB"/>
        </w:rPr>
        <w:t>.</w:t>
      </w:r>
    </w:p>
    <w:p w14:paraId="5D25CADE" w14:textId="678373C7" w:rsidR="005145B6" w:rsidRPr="006145CB" w:rsidRDefault="005145B6" w:rsidP="00E96A8D">
      <w:pPr>
        <w:pStyle w:val="Heading1"/>
        <w:rPr>
          <w:lang w:val="en-GB"/>
        </w:rPr>
      </w:pPr>
      <w:r>
        <w:rPr>
          <w:lang w:val="en-GB"/>
        </w:rPr>
        <w:t>Funding</w:t>
      </w:r>
    </w:p>
    <w:p w14:paraId="14FA8C3D" w14:textId="127FD987" w:rsidR="000A5D76" w:rsidRPr="00E33811" w:rsidRDefault="005963F6" w:rsidP="00BE666C">
      <w:pPr>
        <w:rPr>
          <w:rFonts w:cs="Times New Roman"/>
          <w:szCs w:val="24"/>
          <w:lang w:val="en-GB"/>
        </w:rPr>
      </w:pPr>
      <w:r w:rsidRPr="005963F6">
        <w:rPr>
          <w:rFonts w:cs="Times New Roman"/>
          <w:szCs w:val="24"/>
          <w:lang w:val="en-GB"/>
        </w:rPr>
        <w:t xml:space="preserve">This study is funded by the Max Planck Institute of Psychiatry. </w:t>
      </w:r>
      <w:r>
        <w:rPr>
          <w:rFonts w:cs="Times New Roman"/>
          <w:szCs w:val="24"/>
          <w:lang w:val="en-GB"/>
        </w:rPr>
        <w:t>NK</w:t>
      </w:r>
      <w:r w:rsidRPr="005963F6">
        <w:rPr>
          <w:rFonts w:cs="Times New Roman"/>
          <w:szCs w:val="24"/>
          <w:lang w:val="en-GB"/>
        </w:rPr>
        <w:t xml:space="preserve"> </w:t>
      </w:r>
      <w:r w:rsidR="00A46886">
        <w:rPr>
          <w:rFonts w:cs="Times New Roman"/>
          <w:szCs w:val="24"/>
          <w:lang w:val="en-GB"/>
        </w:rPr>
        <w:t>is</w:t>
      </w:r>
      <w:r w:rsidRPr="005963F6">
        <w:rPr>
          <w:rFonts w:cs="Times New Roman"/>
          <w:szCs w:val="24"/>
          <w:lang w:val="en-GB"/>
        </w:rPr>
        <w:t xml:space="preserve"> supported by the International Max Planck Research School of Translational Psychiatry (IMPRS-TP). </w:t>
      </w:r>
      <w:r w:rsidR="003D1602">
        <w:rPr>
          <w:rFonts w:cs="Times New Roman"/>
          <w:szCs w:val="24"/>
          <w:lang w:val="en-GB"/>
        </w:rPr>
        <w:t xml:space="preserve">GMK </w:t>
      </w:r>
      <w:r w:rsidRPr="005963F6">
        <w:rPr>
          <w:rFonts w:cs="Times New Roman"/>
          <w:szCs w:val="24"/>
          <w:lang w:val="en-GB"/>
        </w:rPr>
        <w:t xml:space="preserve">acknowledges funding support from the </w:t>
      </w:r>
      <w:proofErr w:type="spellStart"/>
      <w:r w:rsidRPr="005963F6">
        <w:rPr>
          <w:rFonts w:cs="Times New Roman"/>
          <w:szCs w:val="24"/>
          <w:lang w:val="en-GB"/>
        </w:rPr>
        <w:t>Wellcome</w:t>
      </w:r>
      <w:proofErr w:type="spellEnd"/>
      <w:r w:rsidRPr="005963F6">
        <w:rPr>
          <w:rFonts w:cs="Times New Roman"/>
          <w:szCs w:val="24"/>
          <w:lang w:val="en-GB"/>
        </w:rPr>
        <w:t xml:space="preserve"> Trust (grant code: 201486/Z/16/Z), the MQ: Transforming Mental Health (grant code: MQDS17/40), the Medical Research Council, UK (grant code: MC_PC_17213 and grant code: MR/S037675/1), and the BMA Foundation (J Moulton grant 2019).</w:t>
      </w:r>
    </w:p>
    <w:p w14:paraId="324D3597" w14:textId="34071488" w:rsidR="005145B6" w:rsidRPr="006145CB" w:rsidRDefault="005145B6" w:rsidP="00E96A8D">
      <w:pPr>
        <w:pStyle w:val="Heading1"/>
        <w:rPr>
          <w:lang w:val="en-GB"/>
        </w:rPr>
      </w:pPr>
      <w:r>
        <w:rPr>
          <w:lang w:val="en-GB"/>
        </w:rPr>
        <w:t>Authors’ contributions</w:t>
      </w:r>
    </w:p>
    <w:p w14:paraId="6AE2CE3C" w14:textId="77777777" w:rsidR="000A5D76" w:rsidRPr="006145CB" w:rsidRDefault="000A5D76" w:rsidP="000A5D76">
      <w:pPr>
        <w:rPr>
          <w:rFonts w:cs="Times New Roman"/>
          <w:szCs w:val="24"/>
          <w:lang w:val="en-GB"/>
        </w:rPr>
      </w:pPr>
      <w:r>
        <w:rPr>
          <w:rFonts w:cs="Times New Roman"/>
          <w:szCs w:val="24"/>
          <w:lang w:val="en-GB"/>
        </w:rPr>
        <w:t>tbc</w:t>
      </w:r>
    </w:p>
    <w:p w14:paraId="184FC05C" w14:textId="1B0234FB" w:rsidR="00976539" w:rsidRPr="006145CB" w:rsidRDefault="00976539" w:rsidP="00E96A8D">
      <w:pPr>
        <w:pStyle w:val="Heading1"/>
        <w:rPr>
          <w:lang w:val="en-GB"/>
        </w:rPr>
      </w:pPr>
      <w:r>
        <w:rPr>
          <w:lang w:val="en-GB"/>
        </w:rPr>
        <w:t>Acknowledgements</w:t>
      </w:r>
    </w:p>
    <w:p w14:paraId="4D152EDF" w14:textId="66DFE9E1" w:rsidR="00F9369D" w:rsidRPr="00F9369D" w:rsidRDefault="00BE666C" w:rsidP="009A1D40">
      <w:pPr>
        <w:rPr>
          <w:rFonts w:cs="Times New Roman"/>
          <w:szCs w:val="24"/>
          <w:lang w:val="en-GB"/>
        </w:rPr>
        <w:sectPr w:rsidR="00F9369D" w:rsidRPr="00F9369D">
          <w:pgSz w:w="12240" w:h="15840"/>
          <w:pgMar w:top="1417" w:right="1417" w:bottom="1134" w:left="1417" w:header="708" w:footer="708" w:gutter="0"/>
          <w:cols w:space="708"/>
          <w:docGrid w:linePitch="360"/>
        </w:sectPr>
      </w:pPr>
      <w:r>
        <w:rPr>
          <w:rFonts w:cs="Times New Roman"/>
          <w:szCs w:val="24"/>
          <w:lang w:val="en-GB"/>
        </w:rPr>
        <w:t>tbc</w:t>
      </w:r>
    </w:p>
    <w:p w14:paraId="21140263" w14:textId="41B4C61D" w:rsidR="009A1D40" w:rsidRPr="006145CB" w:rsidRDefault="009A1D40" w:rsidP="00E96A8D">
      <w:pPr>
        <w:pStyle w:val="Heading1"/>
        <w:rPr>
          <w:lang w:val="en-GB"/>
        </w:rPr>
      </w:pPr>
      <w:r w:rsidRPr="006145CB">
        <w:rPr>
          <w:lang w:val="en-GB"/>
        </w:rPr>
        <w:lastRenderedPageBreak/>
        <w:t>References</w:t>
      </w:r>
    </w:p>
    <w:p w14:paraId="35FD63C3" w14:textId="66045D18" w:rsidR="007B3622" w:rsidRPr="007B3622" w:rsidRDefault="006B6FB0" w:rsidP="007B3622">
      <w:pPr>
        <w:widowControl w:val="0"/>
        <w:autoSpaceDE w:val="0"/>
        <w:autoSpaceDN w:val="0"/>
        <w:adjustRightInd w:val="0"/>
        <w:ind w:left="480" w:hanging="480"/>
        <w:rPr>
          <w:rFonts w:cs="Times New Roman"/>
          <w:noProof/>
          <w:szCs w:val="24"/>
        </w:rPr>
      </w:pPr>
      <w:r w:rsidRPr="006145CB">
        <w:rPr>
          <w:rFonts w:cs="Times New Roman"/>
          <w:b/>
          <w:szCs w:val="24"/>
          <w:lang w:val="en-GB"/>
        </w:rPr>
        <w:fldChar w:fldCharType="begin" w:fldLock="1"/>
      </w:r>
      <w:r w:rsidRPr="006145CB">
        <w:rPr>
          <w:rFonts w:cs="Times New Roman"/>
          <w:b/>
          <w:szCs w:val="24"/>
          <w:lang w:val="en-GB"/>
        </w:rPr>
        <w:instrText xml:space="preserve">ADDIN Mendeley Bibliography CSL_BIBLIOGRAPHY </w:instrText>
      </w:r>
      <w:r w:rsidRPr="006145CB">
        <w:rPr>
          <w:rFonts w:cs="Times New Roman"/>
          <w:b/>
          <w:szCs w:val="24"/>
          <w:lang w:val="en-GB"/>
        </w:rPr>
        <w:fldChar w:fldCharType="separate"/>
      </w:r>
      <w:r w:rsidR="007B3622" w:rsidRPr="007B3622">
        <w:rPr>
          <w:rFonts w:cs="Times New Roman"/>
          <w:noProof/>
          <w:szCs w:val="24"/>
        </w:rPr>
        <w:t>Brückl, T.M., Spoormaker, V.I., Sämann, P.G., Brem, A., Henco, L., Czamara, D., Elbau, I., Grandi, N.C., Jollans, L., Kühnel, A., Leuchs, L., Pöhlchen, D., Schneider, M., Tontsch, A., Keck, M.E., Schilbach, L., Czisch, M., Lucae, S., Erhardt, A., Binder, E.B., 2020. The biological classification of mental disorders (BeCOME) study: a protocol for an observational deep-phenotyping study for the identification of biological subtypes. BMC Psychiatry 1–25. https://doi.org/10.1186/s12888-020-02541-z</w:t>
      </w:r>
    </w:p>
    <w:p w14:paraId="54E8FFA3" w14:textId="77777777" w:rsidR="007B3622" w:rsidRPr="007B3622" w:rsidRDefault="007B3622" w:rsidP="007B3622">
      <w:pPr>
        <w:widowControl w:val="0"/>
        <w:autoSpaceDE w:val="0"/>
        <w:autoSpaceDN w:val="0"/>
        <w:adjustRightInd w:val="0"/>
        <w:ind w:left="480" w:hanging="480"/>
        <w:rPr>
          <w:rFonts w:cs="Times New Roman"/>
          <w:noProof/>
          <w:szCs w:val="24"/>
        </w:rPr>
      </w:pPr>
      <w:r w:rsidRPr="007B3622">
        <w:rPr>
          <w:rFonts w:cs="Times New Roman"/>
          <w:noProof/>
          <w:szCs w:val="24"/>
        </w:rPr>
        <w:t>Cattaneo, A., Ferrari, C., Turner, L., Mariani, N., Enache, D., Hastings, C., Kose, M., Lombardo, G., McLaughlin, A.P., Nettis, M.A., Nikkheslat, N., Sforzini, L., Worrell, C., Zajkowska, Z., Cattane, N., Lopizzo, N., Mazzelli, M., Pointon, L., Cowen, P.J., Cavanagh, J., Harrison, N.A., de Boer, P., Jones, D., Drevets, W.C., Mondelli, V., Bullmore, E.T., Pariante, C.M., 2020. Whole-blood expression of inflammasome- and glucocorticoid-related mRNAs correctly separates treatment-resistant depressed patients from drug-free and responsive patients in the BIODEP study. Transl. Psychiatry 10, 232. https://doi.org/10.1038/s41398-020-00874-7</w:t>
      </w:r>
    </w:p>
    <w:p w14:paraId="09A3FB37" w14:textId="77777777" w:rsidR="007B3622" w:rsidRPr="007B3622" w:rsidRDefault="007B3622" w:rsidP="007B3622">
      <w:pPr>
        <w:widowControl w:val="0"/>
        <w:autoSpaceDE w:val="0"/>
        <w:autoSpaceDN w:val="0"/>
        <w:adjustRightInd w:val="0"/>
        <w:ind w:left="480" w:hanging="480"/>
        <w:rPr>
          <w:rFonts w:cs="Times New Roman"/>
          <w:noProof/>
          <w:szCs w:val="24"/>
        </w:rPr>
      </w:pPr>
      <w:r w:rsidRPr="007B3622">
        <w:rPr>
          <w:rFonts w:cs="Times New Roman"/>
          <w:noProof/>
          <w:szCs w:val="24"/>
        </w:rPr>
        <w:t>Chekroud, A.M., Zotti, R.J., Shehzad, Z., Gueorguieva, R., Johnson, M.K., Trivedi, M.H., Cannon, T.D., Krystal, J.H., Corlett, P.R., 2016. Cross-trial prediction of treatment outcome in depression: a machine learning approach. The Lancet Psychiatry 3, 243–250. https://doi.org/10.1016/S2215-0366(15)00471-X</w:t>
      </w:r>
    </w:p>
    <w:p w14:paraId="72E92F24" w14:textId="77777777" w:rsidR="007B3622" w:rsidRPr="007B3622" w:rsidRDefault="007B3622" w:rsidP="007B3622">
      <w:pPr>
        <w:widowControl w:val="0"/>
        <w:autoSpaceDE w:val="0"/>
        <w:autoSpaceDN w:val="0"/>
        <w:adjustRightInd w:val="0"/>
        <w:ind w:left="480" w:hanging="480"/>
        <w:rPr>
          <w:rFonts w:cs="Times New Roman"/>
          <w:noProof/>
          <w:szCs w:val="24"/>
        </w:rPr>
      </w:pPr>
      <w:r w:rsidRPr="007B3622">
        <w:rPr>
          <w:rFonts w:cs="Times New Roman"/>
          <w:noProof/>
          <w:szCs w:val="24"/>
        </w:rPr>
        <w:t xml:space="preserve">Cohen, Z.D., Kim, T.T., Van, H.L., Dekker, J.J.M., Driessen, E., 2020. A demonstration of a multi-method variable selection approach for treatment selection: Recommending cognitive–behavioral versus psychodynamic therapy for mild to moderate adult depression. </w:t>
      </w:r>
      <w:r w:rsidRPr="007B3622">
        <w:rPr>
          <w:rFonts w:cs="Times New Roman"/>
          <w:noProof/>
          <w:szCs w:val="24"/>
        </w:rPr>
        <w:lastRenderedPageBreak/>
        <w:t>Psychother. Res. 30, 137–150. https://doi.org/10.1080/10503307.2018.1563312</w:t>
      </w:r>
    </w:p>
    <w:p w14:paraId="76C260D3" w14:textId="77777777" w:rsidR="007B3622" w:rsidRPr="007B3622" w:rsidRDefault="007B3622" w:rsidP="007B3622">
      <w:pPr>
        <w:widowControl w:val="0"/>
        <w:autoSpaceDE w:val="0"/>
        <w:autoSpaceDN w:val="0"/>
        <w:adjustRightInd w:val="0"/>
        <w:ind w:left="480" w:hanging="480"/>
        <w:rPr>
          <w:rFonts w:cs="Times New Roman"/>
          <w:noProof/>
          <w:szCs w:val="24"/>
        </w:rPr>
      </w:pPr>
      <w:r w:rsidRPr="007B3622">
        <w:rPr>
          <w:rFonts w:cs="Times New Roman"/>
          <w:noProof/>
          <w:szCs w:val="24"/>
        </w:rPr>
        <w:t>Dantzer, R., O’Connor, J.C., Freund, G.G., Johnson, R.W., Kelley, K.W., 2008. From inflammation to sickness and depression: when the immune system subjugates the brain. Nat. Rev. Neurosci. 9, 46–56. https://doi.org/10.1038/nrn2297</w:t>
      </w:r>
    </w:p>
    <w:p w14:paraId="1A097C76" w14:textId="77777777" w:rsidR="007B3622" w:rsidRPr="007B3622" w:rsidRDefault="007B3622" w:rsidP="007B3622">
      <w:pPr>
        <w:widowControl w:val="0"/>
        <w:autoSpaceDE w:val="0"/>
        <w:autoSpaceDN w:val="0"/>
        <w:adjustRightInd w:val="0"/>
        <w:ind w:left="480" w:hanging="480"/>
        <w:rPr>
          <w:rFonts w:cs="Times New Roman"/>
          <w:noProof/>
          <w:szCs w:val="24"/>
        </w:rPr>
      </w:pPr>
      <w:r w:rsidRPr="007B3622">
        <w:rPr>
          <w:rFonts w:cs="Times New Roman"/>
          <w:noProof/>
          <w:szCs w:val="24"/>
        </w:rPr>
        <w:t>Engebretsen, S., Bohlin, J., 2019. Statistical predictions with glmnet. Clin. Epigenetics 11, 123. https://doi.org/10.1186/s13148-019-0730-1</w:t>
      </w:r>
    </w:p>
    <w:p w14:paraId="78F86D71" w14:textId="77777777" w:rsidR="007B3622" w:rsidRPr="007B3622" w:rsidRDefault="007B3622" w:rsidP="007B3622">
      <w:pPr>
        <w:widowControl w:val="0"/>
        <w:autoSpaceDE w:val="0"/>
        <w:autoSpaceDN w:val="0"/>
        <w:adjustRightInd w:val="0"/>
        <w:ind w:left="480" w:hanging="480"/>
        <w:rPr>
          <w:rFonts w:cs="Times New Roman"/>
          <w:noProof/>
          <w:szCs w:val="24"/>
        </w:rPr>
      </w:pPr>
      <w:r w:rsidRPr="007B3622">
        <w:rPr>
          <w:rFonts w:cs="Times New Roman"/>
          <w:noProof/>
          <w:szCs w:val="24"/>
        </w:rPr>
        <w:t>Gadad, B.S., Jha, M.K., Grannemann, B.D., Mayes, T.L., Trivedi, M.H., 2017. Proteomics profiling reveals inflammatory biomarkers of antidepressant treatment response: Findings from the CO-MED trial. J. Psychiatr. Res. 94, 1–6. https://doi.org/10.1016/j.jpsychires.2017.05.012</w:t>
      </w:r>
    </w:p>
    <w:p w14:paraId="6D8B7931" w14:textId="77777777" w:rsidR="007B3622" w:rsidRPr="007B3622" w:rsidRDefault="007B3622" w:rsidP="007B3622">
      <w:pPr>
        <w:widowControl w:val="0"/>
        <w:autoSpaceDE w:val="0"/>
        <w:autoSpaceDN w:val="0"/>
        <w:adjustRightInd w:val="0"/>
        <w:ind w:left="480" w:hanging="480"/>
        <w:rPr>
          <w:rFonts w:cs="Times New Roman"/>
          <w:noProof/>
          <w:szCs w:val="24"/>
        </w:rPr>
      </w:pPr>
      <w:r w:rsidRPr="007B3622">
        <w:rPr>
          <w:rFonts w:cs="Times New Roman"/>
          <w:noProof/>
          <w:szCs w:val="24"/>
        </w:rPr>
        <w:t>Goldsmith, D.R., Rapaport, M.H., Miller, B.J., 2016. A meta-analysis of blood cytokine network alterations in psychiatric patients: comparisons between schizophrenia, bipolar disorder and depression. Mol. Psychiatry 21, 1696–1709. https://doi.org/10.1038/mp.2016.3</w:t>
      </w:r>
    </w:p>
    <w:p w14:paraId="1AB5316F" w14:textId="77777777" w:rsidR="007B3622" w:rsidRPr="007B3622" w:rsidRDefault="007B3622" w:rsidP="007B3622">
      <w:pPr>
        <w:widowControl w:val="0"/>
        <w:autoSpaceDE w:val="0"/>
        <w:autoSpaceDN w:val="0"/>
        <w:adjustRightInd w:val="0"/>
        <w:ind w:left="480" w:hanging="480"/>
        <w:rPr>
          <w:rFonts w:cs="Times New Roman"/>
          <w:noProof/>
          <w:szCs w:val="24"/>
        </w:rPr>
      </w:pPr>
      <w:r w:rsidRPr="007B3622">
        <w:rPr>
          <w:rFonts w:cs="Times New Roman"/>
          <w:noProof/>
          <w:szCs w:val="24"/>
        </w:rPr>
        <w:t>Hannestad, J., DellaGioia, N., Bloch, M., 2011. The effect of antidepressant medication treatment on serum levels of inflammatory cytokines: a meta-analysis. Neuropsychopharmacology 36, 2452–2459. https://doi.org/10.1038/npp.2011.132</w:t>
      </w:r>
    </w:p>
    <w:p w14:paraId="343620B4" w14:textId="77777777" w:rsidR="007B3622" w:rsidRPr="007B3622" w:rsidRDefault="007B3622" w:rsidP="007B3622">
      <w:pPr>
        <w:widowControl w:val="0"/>
        <w:autoSpaceDE w:val="0"/>
        <w:autoSpaceDN w:val="0"/>
        <w:adjustRightInd w:val="0"/>
        <w:ind w:left="480" w:hanging="480"/>
        <w:rPr>
          <w:rFonts w:cs="Times New Roman"/>
          <w:noProof/>
          <w:szCs w:val="24"/>
        </w:rPr>
      </w:pPr>
      <w:r w:rsidRPr="007B3622">
        <w:rPr>
          <w:rFonts w:cs="Times New Roman"/>
          <w:noProof/>
          <w:szCs w:val="24"/>
        </w:rPr>
        <w:t>Jakobsen, J.C., Gluud, C., Wetterslev, J., Winkel, P., 2017. When and how should multiple imputation be used for handling missing data in randomised clinical trials – a practical guide with flowcharts. BMC Med. Res. Methodol. 17, 162. https://doi.org/10.1186/s12874-017-0442-1</w:t>
      </w:r>
    </w:p>
    <w:p w14:paraId="1B9167C5" w14:textId="77777777" w:rsidR="007B3622" w:rsidRPr="007B3622" w:rsidRDefault="007B3622" w:rsidP="007B3622">
      <w:pPr>
        <w:widowControl w:val="0"/>
        <w:autoSpaceDE w:val="0"/>
        <w:autoSpaceDN w:val="0"/>
        <w:adjustRightInd w:val="0"/>
        <w:ind w:left="480" w:hanging="480"/>
        <w:rPr>
          <w:rFonts w:cs="Times New Roman"/>
          <w:noProof/>
          <w:szCs w:val="24"/>
        </w:rPr>
      </w:pPr>
      <w:r w:rsidRPr="007B3622">
        <w:rPr>
          <w:rFonts w:cs="Times New Roman"/>
          <w:noProof/>
          <w:szCs w:val="24"/>
        </w:rPr>
        <w:t>Kuhn, M., 2008. Building Predictive Models in R Using the caret Package. J. Stat. Softw. 28. https://doi.org/10.18637/jss.v028.i05</w:t>
      </w:r>
    </w:p>
    <w:p w14:paraId="3446A3E5" w14:textId="77777777" w:rsidR="007B3622" w:rsidRPr="007B3622" w:rsidRDefault="007B3622" w:rsidP="007B3622">
      <w:pPr>
        <w:widowControl w:val="0"/>
        <w:autoSpaceDE w:val="0"/>
        <w:autoSpaceDN w:val="0"/>
        <w:adjustRightInd w:val="0"/>
        <w:ind w:left="480" w:hanging="480"/>
        <w:rPr>
          <w:rFonts w:cs="Times New Roman"/>
          <w:noProof/>
          <w:szCs w:val="24"/>
        </w:rPr>
      </w:pPr>
      <w:r w:rsidRPr="007B3622">
        <w:rPr>
          <w:rFonts w:cs="Times New Roman"/>
          <w:noProof/>
          <w:szCs w:val="24"/>
        </w:rPr>
        <w:lastRenderedPageBreak/>
        <w:t>Liu, J.J., Wei, Y. Bin, Strawbridge, R., Bao, Y., Chang, S., Shi, L., Que, J., Gadad, B.S., Trivedi, M.H., Kelsoe, J.R., Lu, L., 2020. Peripheral cytokine levels and response to antidepressant treatment in depression: a systematic review and meta-analysis. Mol. Psychiatry 25, 339–350. https://doi.org/10.1038/s41380-019-0474-5</w:t>
      </w:r>
    </w:p>
    <w:p w14:paraId="150A4BEE" w14:textId="77777777" w:rsidR="007B3622" w:rsidRPr="007B3622" w:rsidRDefault="007B3622" w:rsidP="007B3622">
      <w:pPr>
        <w:widowControl w:val="0"/>
        <w:autoSpaceDE w:val="0"/>
        <w:autoSpaceDN w:val="0"/>
        <w:adjustRightInd w:val="0"/>
        <w:ind w:left="480" w:hanging="480"/>
        <w:rPr>
          <w:rFonts w:cs="Times New Roman"/>
          <w:noProof/>
          <w:szCs w:val="24"/>
        </w:rPr>
      </w:pPr>
      <w:r w:rsidRPr="007B3622">
        <w:rPr>
          <w:rFonts w:cs="Times New Roman"/>
          <w:noProof/>
          <w:szCs w:val="24"/>
        </w:rPr>
        <w:t>Lopresti, A.L., 2017. Cognitive behaviour therapy and inflammation: A systematic review of its relationship and the potential implications for the treatment of depression. Aust. New Zeal. J. Psychiatry 51, 565–582. https://doi.org/10.1177/0004867417701996</w:t>
      </w:r>
    </w:p>
    <w:p w14:paraId="470FA4BB" w14:textId="77777777" w:rsidR="007B3622" w:rsidRPr="007B3622" w:rsidRDefault="007B3622" w:rsidP="007B3622">
      <w:pPr>
        <w:widowControl w:val="0"/>
        <w:autoSpaceDE w:val="0"/>
        <w:autoSpaceDN w:val="0"/>
        <w:adjustRightInd w:val="0"/>
        <w:ind w:left="480" w:hanging="480"/>
        <w:rPr>
          <w:rFonts w:cs="Times New Roman"/>
          <w:noProof/>
          <w:szCs w:val="24"/>
        </w:rPr>
      </w:pPr>
      <w:r w:rsidRPr="007B3622">
        <w:rPr>
          <w:rFonts w:cs="Times New Roman"/>
          <w:noProof/>
          <w:szCs w:val="24"/>
        </w:rPr>
        <w:t>Lynall, M.-E., Turner, L., Bhatti, J., Cavanagh, J., de Boer, P., Mondelli, V., Jones, D., Drevets, W.C., Cowen, P., Harrison, N.A., Pariante, C.M., Pointon, L., Clatworthy, M.R., Bullmore, E., 2020. Peripheral Blood Cell–Stratified Subgroups of Inflamed Depression. Biol. Psychiatry 88, 185–196. https://doi.org/10.1016/j.biopsych.2019.11.017</w:t>
      </w:r>
    </w:p>
    <w:p w14:paraId="3E2F6769" w14:textId="77777777" w:rsidR="007B3622" w:rsidRPr="007B3622" w:rsidRDefault="007B3622" w:rsidP="007B3622">
      <w:pPr>
        <w:widowControl w:val="0"/>
        <w:autoSpaceDE w:val="0"/>
        <w:autoSpaceDN w:val="0"/>
        <w:adjustRightInd w:val="0"/>
        <w:ind w:left="480" w:hanging="480"/>
        <w:rPr>
          <w:rFonts w:cs="Times New Roman"/>
          <w:noProof/>
          <w:szCs w:val="24"/>
        </w:rPr>
      </w:pPr>
      <w:r w:rsidRPr="007B3622">
        <w:rPr>
          <w:rFonts w:cs="Times New Roman"/>
          <w:noProof/>
          <w:szCs w:val="24"/>
        </w:rPr>
        <w:t>Osimo, E.F., Baxter, L.J., Lewis, G., Jones, P.B., Khandaker, G.M., 2019. Prevalence of low-grade inflammation in depression: a systematic review and meta-analysis of CRP levels. Psychol. Med. 1–13. https://doi.org/10.1017/S0033291719001454</w:t>
      </w:r>
    </w:p>
    <w:p w14:paraId="3B9EF9F1" w14:textId="77777777" w:rsidR="007B3622" w:rsidRPr="007B3622" w:rsidRDefault="007B3622" w:rsidP="007B3622">
      <w:pPr>
        <w:widowControl w:val="0"/>
        <w:autoSpaceDE w:val="0"/>
        <w:autoSpaceDN w:val="0"/>
        <w:adjustRightInd w:val="0"/>
        <w:ind w:left="480" w:hanging="480"/>
        <w:rPr>
          <w:rFonts w:cs="Times New Roman"/>
          <w:noProof/>
          <w:szCs w:val="24"/>
        </w:rPr>
      </w:pPr>
      <w:r w:rsidRPr="007B3622">
        <w:rPr>
          <w:rFonts w:cs="Times New Roman"/>
          <w:noProof/>
          <w:szCs w:val="24"/>
        </w:rPr>
        <w:t>Ozaki, K., Leonard, W.J., 2002. Cytokine and Cytokine Receptor Pleiotropy and Redundancy. J. Biol. Chem. 277, 29355–29358. https://doi.org/10.1074/jbc.R200003200</w:t>
      </w:r>
    </w:p>
    <w:p w14:paraId="5CE76160" w14:textId="77777777" w:rsidR="007B3622" w:rsidRPr="007B3622" w:rsidRDefault="007B3622" w:rsidP="007B3622">
      <w:pPr>
        <w:widowControl w:val="0"/>
        <w:autoSpaceDE w:val="0"/>
        <w:autoSpaceDN w:val="0"/>
        <w:adjustRightInd w:val="0"/>
        <w:ind w:left="480" w:hanging="480"/>
        <w:rPr>
          <w:rFonts w:cs="Times New Roman"/>
          <w:noProof/>
          <w:szCs w:val="24"/>
        </w:rPr>
      </w:pPr>
      <w:r w:rsidRPr="007B3622">
        <w:rPr>
          <w:rFonts w:cs="Times New Roman"/>
          <w:noProof/>
          <w:szCs w:val="24"/>
        </w:rPr>
        <w:t>R Core Team, 2017. R: A language and environment for statistical computing.</w:t>
      </w:r>
    </w:p>
    <w:p w14:paraId="338F7D03" w14:textId="77777777" w:rsidR="007B3622" w:rsidRPr="007B3622" w:rsidRDefault="007B3622" w:rsidP="007B3622">
      <w:pPr>
        <w:widowControl w:val="0"/>
        <w:autoSpaceDE w:val="0"/>
        <w:autoSpaceDN w:val="0"/>
        <w:adjustRightInd w:val="0"/>
        <w:ind w:left="480" w:hanging="480"/>
        <w:rPr>
          <w:rFonts w:cs="Times New Roman"/>
          <w:noProof/>
          <w:szCs w:val="24"/>
        </w:rPr>
      </w:pPr>
      <w:r w:rsidRPr="007B3622">
        <w:rPr>
          <w:rFonts w:cs="Times New Roman"/>
          <w:noProof/>
          <w:szCs w:val="24"/>
        </w:rPr>
        <w:t>Strawbridge, R., Arnone, D., Danese, A., Papadopoulos, A., Herane Vives, A., Cleare, A.J., 2015. Inflammation and clinical response to treatment in depression: A meta-analysis. Eur. Neuropsychopharmacol. 25, 1532–1543. https://doi.org/10.1016/j.euroneuro.2015.06.007</w:t>
      </w:r>
    </w:p>
    <w:p w14:paraId="22BBAD77" w14:textId="77777777" w:rsidR="007B3622" w:rsidRPr="007B3622" w:rsidRDefault="007B3622" w:rsidP="007B3622">
      <w:pPr>
        <w:widowControl w:val="0"/>
        <w:autoSpaceDE w:val="0"/>
        <w:autoSpaceDN w:val="0"/>
        <w:adjustRightInd w:val="0"/>
        <w:ind w:left="480" w:hanging="480"/>
        <w:rPr>
          <w:rFonts w:cs="Times New Roman"/>
          <w:noProof/>
        </w:rPr>
      </w:pPr>
      <w:r w:rsidRPr="007B3622">
        <w:rPr>
          <w:rFonts w:cs="Times New Roman"/>
          <w:noProof/>
          <w:szCs w:val="24"/>
        </w:rPr>
        <w:t xml:space="preserve">Subramanian, N., Torabi-Parizi, P., Gottschalk, R.A., Germain, R.N., Dutta, B., 2015. Network representations of immune system complexity. Wiley Interdiscip. Rev. Syst. Biol. Med. 7, </w:t>
      </w:r>
      <w:r w:rsidRPr="007B3622">
        <w:rPr>
          <w:rFonts w:cs="Times New Roman"/>
          <w:noProof/>
          <w:szCs w:val="24"/>
        </w:rPr>
        <w:lastRenderedPageBreak/>
        <w:t>13–38. https://doi.org/10.1002/wsbm.1288</w:t>
      </w:r>
    </w:p>
    <w:p w14:paraId="57F36C62" w14:textId="40A8A075" w:rsidR="00693D5C" w:rsidRPr="006145CB" w:rsidRDefault="006B6FB0" w:rsidP="002B438A">
      <w:pPr>
        <w:rPr>
          <w:rFonts w:cs="Times New Roman"/>
          <w:szCs w:val="24"/>
          <w:lang w:val="en-GB"/>
        </w:rPr>
      </w:pPr>
      <w:r w:rsidRPr="006145CB">
        <w:rPr>
          <w:rFonts w:cs="Times New Roman"/>
          <w:b/>
          <w:szCs w:val="24"/>
          <w:lang w:val="en-GB"/>
        </w:rPr>
        <w:fldChar w:fldCharType="end"/>
      </w:r>
    </w:p>
    <w:sectPr w:rsidR="00693D5C" w:rsidRPr="006145CB">
      <w:pgSz w:w="12240" w:h="15840"/>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46AD37F" w14:textId="77777777" w:rsidR="003D6A74" w:rsidRDefault="003D6A74" w:rsidP="00B14F11">
      <w:pPr>
        <w:spacing w:after="0" w:line="240" w:lineRule="auto"/>
      </w:pPr>
      <w:r>
        <w:separator/>
      </w:r>
    </w:p>
  </w:endnote>
  <w:endnote w:type="continuationSeparator" w:id="0">
    <w:p w14:paraId="57182ADB" w14:textId="77777777" w:rsidR="003D6A74" w:rsidRDefault="003D6A74" w:rsidP="00B14F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egoe UI">
    <w:altName w:val="Arial"/>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Fonts w:cs="Times New Roman"/>
      </w:rPr>
      <w:id w:val="-1453865210"/>
      <w:docPartObj>
        <w:docPartGallery w:val="Page Numbers (Bottom of Page)"/>
        <w:docPartUnique/>
      </w:docPartObj>
    </w:sdtPr>
    <w:sdtEndPr/>
    <w:sdtContent>
      <w:p w14:paraId="79BB636C" w14:textId="6D3C2373" w:rsidR="000F70EF" w:rsidRPr="00595A6D" w:rsidRDefault="000F70EF">
        <w:pPr>
          <w:pStyle w:val="Footer"/>
          <w:jc w:val="center"/>
          <w:rPr>
            <w:rFonts w:cs="Times New Roman"/>
          </w:rPr>
        </w:pPr>
        <w:r w:rsidRPr="00595A6D">
          <w:rPr>
            <w:rFonts w:cs="Times New Roman"/>
          </w:rPr>
          <w:fldChar w:fldCharType="begin"/>
        </w:r>
        <w:r w:rsidRPr="00595A6D">
          <w:rPr>
            <w:rFonts w:cs="Times New Roman"/>
          </w:rPr>
          <w:instrText>PAGE   \* MERGEFORMAT</w:instrText>
        </w:r>
        <w:r w:rsidRPr="00595A6D">
          <w:rPr>
            <w:rFonts w:cs="Times New Roman"/>
          </w:rPr>
          <w:fldChar w:fldCharType="separate"/>
        </w:r>
        <w:r>
          <w:rPr>
            <w:rFonts w:cs="Times New Roman"/>
            <w:noProof/>
          </w:rPr>
          <w:t>2</w:t>
        </w:r>
        <w:r w:rsidRPr="00595A6D">
          <w:rPr>
            <w:rFonts w:cs="Times New Roman"/>
          </w:rPr>
          <w:fldChar w:fldCharType="end"/>
        </w:r>
      </w:p>
    </w:sdtContent>
  </w:sdt>
  <w:p w14:paraId="24E2192D" w14:textId="77777777" w:rsidR="000F70EF" w:rsidRDefault="000F70E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814955147"/>
      <w:docPartObj>
        <w:docPartGallery w:val="Page Numbers (Bottom of Page)"/>
        <w:docPartUnique/>
      </w:docPartObj>
    </w:sdtPr>
    <w:sdtEndPr/>
    <w:sdtContent>
      <w:p w14:paraId="6D1F6F1A" w14:textId="77777777" w:rsidR="000F70EF" w:rsidRDefault="000F70EF">
        <w:pPr>
          <w:pStyle w:val="Footer"/>
          <w:jc w:val="center"/>
        </w:pPr>
        <w:r>
          <w:fldChar w:fldCharType="begin"/>
        </w:r>
        <w:r>
          <w:instrText>PAGE   \* MERGEFORMAT</w:instrText>
        </w:r>
        <w:r>
          <w:fldChar w:fldCharType="separate"/>
        </w:r>
        <w:r>
          <w:rPr>
            <w:noProof/>
          </w:rPr>
          <w:t>22</w:t>
        </w:r>
        <w:r>
          <w:fldChar w:fldCharType="end"/>
        </w:r>
      </w:p>
    </w:sdtContent>
  </w:sdt>
  <w:p w14:paraId="69F635A6" w14:textId="77777777" w:rsidR="000F70EF" w:rsidRDefault="000F70E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1A90C87" w14:textId="77777777" w:rsidR="003D6A74" w:rsidRDefault="003D6A74" w:rsidP="00B14F11">
      <w:pPr>
        <w:spacing w:after="0" w:line="240" w:lineRule="auto"/>
      </w:pPr>
      <w:r>
        <w:separator/>
      </w:r>
    </w:p>
  </w:footnote>
  <w:footnote w:type="continuationSeparator" w:id="0">
    <w:p w14:paraId="30B86925" w14:textId="77777777" w:rsidR="003D6A74" w:rsidRDefault="003D6A74" w:rsidP="00B14F1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46F28F5"/>
    <w:multiLevelType w:val="hybridMultilevel"/>
    <w:tmpl w:val="05525C6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6A08005C"/>
    <w:multiLevelType w:val="hybridMultilevel"/>
    <w:tmpl w:val="E564E134"/>
    <w:lvl w:ilvl="0" w:tplc="B28C4844">
      <w:start w:val="19"/>
      <w:numFmt w:val="bullet"/>
      <w:lvlText w:val=""/>
      <w:lvlJc w:val="left"/>
      <w:pPr>
        <w:ind w:left="720" w:hanging="360"/>
      </w:pPr>
      <w:rPr>
        <w:rFonts w:ascii="Wingdings" w:eastAsiaTheme="minorHAnsi" w:hAnsi="Wingding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4225"/>
    <w:rsid w:val="00002E8D"/>
    <w:rsid w:val="00002F7B"/>
    <w:rsid w:val="0000317C"/>
    <w:rsid w:val="0000349B"/>
    <w:rsid w:val="00003F63"/>
    <w:rsid w:val="000041D9"/>
    <w:rsid w:val="0000477F"/>
    <w:rsid w:val="00004A00"/>
    <w:rsid w:val="00005D08"/>
    <w:rsid w:val="00006461"/>
    <w:rsid w:val="00011BBC"/>
    <w:rsid w:val="00012107"/>
    <w:rsid w:val="00012A35"/>
    <w:rsid w:val="0001324A"/>
    <w:rsid w:val="00014151"/>
    <w:rsid w:val="00015150"/>
    <w:rsid w:val="00016AC1"/>
    <w:rsid w:val="00016F07"/>
    <w:rsid w:val="0001749E"/>
    <w:rsid w:val="00020299"/>
    <w:rsid w:val="00026B00"/>
    <w:rsid w:val="0003138E"/>
    <w:rsid w:val="000337E9"/>
    <w:rsid w:val="00035CCC"/>
    <w:rsid w:val="0003710D"/>
    <w:rsid w:val="00040C78"/>
    <w:rsid w:val="00041943"/>
    <w:rsid w:val="00041C7C"/>
    <w:rsid w:val="000421BC"/>
    <w:rsid w:val="000436FA"/>
    <w:rsid w:val="00043BA1"/>
    <w:rsid w:val="00043D29"/>
    <w:rsid w:val="000454BA"/>
    <w:rsid w:val="00047F5B"/>
    <w:rsid w:val="00050117"/>
    <w:rsid w:val="000508E9"/>
    <w:rsid w:val="00052033"/>
    <w:rsid w:val="0005213D"/>
    <w:rsid w:val="00054BE6"/>
    <w:rsid w:val="000566AC"/>
    <w:rsid w:val="000601D0"/>
    <w:rsid w:val="00061623"/>
    <w:rsid w:val="0006214E"/>
    <w:rsid w:val="00062655"/>
    <w:rsid w:val="00063C02"/>
    <w:rsid w:val="00064339"/>
    <w:rsid w:val="000645C0"/>
    <w:rsid w:val="00065760"/>
    <w:rsid w:val="00066142"/>
    <w:rsid w:val="00066823"/>
    <w:rsid w:val="00066D3A"/>
    <w:rsid w:val="000676DE"/>
    <w:rsid w:val="00067F6E"/>
    <w:rsid w:val="00071A64"/>
    <w:rsid w:val="00071B13"/>
    <w:rsid w:val="00072C84"/>
    <w:rsid w:val="00074000"/>
    <w:rsid w:val="00074080"/>
    <w:rsid w:val="000750C3"/>
    <w:rsid w:val="00076399"/>
    <w:rsid w:val="0007706E"/>
    <w:rsid w:val="000809D3"/>
    <w:rsid w:val="0008197D"/>
    <w:rsid w:val="00081E82"/>
    <w:rsid w:val="00081F71"/>
    <w:rsid w:val="0008285A"/>
    <w:rsid w:val="000835BA"/>
    <w:rsid w:val="00084D54"/>
    <w:rsid w:val="000854A5"/>
    <w:rsid w:val="00091D68"/>
    <w:rsid w:val="00092440"/>
    <w:rsid w:val="00092929"/>
    <w:rsid w:val="0009316C"/>
    <w:rsid w:val="000933DD"/>
    <w:rsid w:val="000937E1"/>
    <w:rsid w:val="00093865"/>
    <w:rsid w:val="00094A74"/>
    <w:rsid w:val="00095231"/>
    <w:rsid w:val="000A17E6"/>
    <w:rsid w:val="000A221D"/>
    <w:rsid w:val="000A2345"/>
    <w:rsid w:val="000A2698"/>
    <w:rsid w:val="000A2C8D"/>
    <w:rsid w:val="000A3813"/>
    <w:rsid w:val="000A39A6"/>
    <w:rsid w:val="000A5BF8"/>
    <w:rsid w:val="000A5D76"/>
    <w:rsid w:val="000A7469"/>
    <w:rsid w:val="000B2485"/>
    <w:rsid w:val="000B32E8"/>
    <w:rsid w:val="000B3460"/>
    <w:rsid w:val="000B3D20"/>
    <w:rsid w:val="000B3E38"/>
    <w:rsid w:val="000B49A6"/>
    <w:rsid w:val="000B4B79"/>
    <w:rsid w:val="000B4DA6"/>
    <w:rsid w:val="000C2233"/>
    <w:rsid w:val="000C2A68"/>
    <w:rsid w:val="000C2E6F"/>
    <w:rsid w:val="000C453B"/>
    <w:rsid w:val="000C5A59"/>
    <w:rsid w:val="000C66BA"/>
    <w:rsid w:val="000C6EBD"/>
    <w:rsid w:val="000C743B"/>
    <w:rsid w:val="000D0E49"/>
    <w:rsid w:val="000D1C7E"/>
    <w:rsid w:val="000D3DC5"/>
    <w:rsid w:val="000D4372"/>
    <w:rsid w:val="000D528E"/>
    <w:rsid w:val="000D5E0F"/>
    <w:rsid w:val="000D66A6"/>
    <w:rsid w:val="000E1338"/>
    <w:rsid w:val="000E42F2"/>
    <w:rsid w:val="000E55E2"/>
    <w:rsid w:val="000E5DCE"/>
    <w:rsid w:val="000E6288"/>
    <w:rsid w:val="000F13D0"/>
    <w:rsid w:val="000F29A2"/>
    <w:rsid w:val="000F2D4E"/>
    <w:rsid w:val="000F35E2"/>
    <w:rsid w:val="000F475D"/>
    <w:rsid w:val="000F493F"/>
    <w:rsid w:val="000F5475"/>
    <w:rsid w:val="000F6635"/>
    <w:rsid w:val="000F67E8"/>
    <w:rsid w:val="000F6E8F"/>
    <w:rsid w:val="000F70EF"/>
    <w:rsid w:val="000F7932"/>
    <w:rsid w:val="001005B5"/>
    <w:rsid w:val="00100707"/>
    <w:rsid w:val="00101ACC"/>
    <w:rsid w:val="00102E19"/>
    <w:rsid w:val="001037E6"/>
    <w:rsid w:val="001038A8"/>
    <w:rsid w:val="00103DDC"/>
    <w:rsid w:val="00104CA5"/>
    <w:rsid w:val="00105513"/>
    <w:rsid w:val="00105875"/>
    <w:rsid w:val="001061B3"/>
    <w:rsid w:val="00106549"/>
    <w:rsid w:val="001124BF"/>
    <w:rsid w:val="0011342E"/>
    <w:rsid w:val="00113985"/>
    <w:rsid w:val="00113A4C"/>
    <w:rsid w:val="001143FA"/>
    <w:rsid w:val="001150CE"/>
    <w:rsid w:val="00115137"/>
    <w:rsid w:val="00115728"/>
    <w:rsid w:val="00120011"/>
    <w:rsid w:val="001207DF"/>
    <w:rsid w:val="00121E37"/>
    <w:rsid w:val="001225A9"/>
    <w:rsid w:val="0012489B"/>
    <w:rsid w:val="001261A9"/>
    <w:rsid w:val="0012654F"/>
    <w:rsid w:val="00126FA8"/>
    <w:rsid w:val="0013084A"/>
    <w:rsid w:val="00130A39"/>
    <w:rsid w:val="00131C78"/>
    <w:rsid w:val="0013250F"/>
    <w:rsid w:val="0013321A"/>
    <w:rsid w:val="00133655"/>
    <w:rsid w:val="00133836"/>
    <w:rsid w:val="001339D2"/>
    <w:rsid w:val="001355D6"/>
    <w:rsid w:val="00137A9A"/>
    <w:rsid w:val="001415A3"/>
    <w:rsid w:val="00142006"/>
    <w:rsid w:val="00143173"/>
    <w:rsid w:val="001436C3"/>
    <w:rsid w:val="00145336"/>
    <w:rsid w:val="00145C96"/>
    <w:rsid w:val="00145FA6"/>
    <w:rsid w:val="001467FB"/>
    <w:rsid w:val="0014712E"/>
    <w:rsid w:val="00147627"/>
    <w:rsid w:val="00147925"/>
    <w:rsid w:val="001509F7"/>
    <w:rsid w:val="00151851"/>
    <w:rsid w:val="001525D1"/>
    <w:rsid w:val="00152693"/>
    <w:rsid w:val="00152B4C"/>
    <w:rsid w:val="00152DE1"/>
    <w:rsid w:val="0015303E"/>
    <w:rsid w:val="00153FDF"/>
    <w:rsid w:val="001541F8"/>
    <w:rsid w:val="00154DA5"/>
    <w:rsid w:val="00156050"/>
    <w:rsid w:val="00156541"/>
    <w:rsid w:val="00157306"/>
    <w:rsid w:val="00160E31"/>
    <w:rsid w:val="00161BDE"/>
    <w:rsid w:val="00164A8A"/>
    <w:rsid w:val="00164ADF"/>
    <w:rsid w:val="00165B17"/>
    <w:rsid w:val="00167596"/>
    <w:rsid w:val="001705EF"/>
    <w:rsid w:val="00170946"/>
    <w:rsid w:val="00172C78"/>
    <w:rsid w:val="00173920"/>
    <w:rsid w:val="00174E37"/>
    <w:rsid w:val="00176504"/>
    <w:rsid w:val="001806D3"/>
    <w:rsid w:val="0018239C"/>
    <w:rsid w:val="00182755"/>
    <w:rsid w:val="00183187"/>
    <w:rsid w:val="00183689"/>
    <w:rsid w:val="00184C8E"/>
    <w:rsid w:val="001853C5"/>
    <w:rsid w:val="00186B88"/>
    <w:rsid w:val="0018729A"/>
    <w:rsid w:val="001902F1"/>
    <w:rsid w:val="001922D1"/>
    <w:rsid w:val="00193C38"/>
    <w:rsid w:val="00194F1F"/>
    <w:rsid w:val="00195072"/>
    <w:rsid w:val="0019578B"/>
    <w:rsid w:val="001957E8"/>
    <w:rsid w:val="00196BA5"/>
    <w:rsid w:val="001A45EE"/>
    <w:rsid w:val="001A4A8C"/>
    <w:rsid w:val="001A52E4"/>
    <w:rsid w:val="001A5424"/>
    <w:rsid w:val="001A640B"/>
    <w:rsid w:val="001A673E"/>
    <w:rsid w:val="001A7AF1"/>
    <w:rsid w:val="001A7B8C"/>
    <w:rsid w:val="001B1736"/>
    <w:rsid w:val="001B1E8E"/>
    <w:rsid w:val="001B26E0"/>
    <w:rsid w:val="001B2FF7"/>
    <w:rsid w:val="001B547B"/>
    <w:rsid w:val="001B58DD"/>
    <w:rsid w:val="001B5BF7"/>
    <w:rsid w:val="001B5D00"/>
    <w:rsid w:val="001B6FBF"/>
    <w:rsid w:val="001B7B2F"/>
    <w:rsid w:val="001C0887"/>
    <w:rsid w:val="001C1B04"/>
    <w:rsid w:val="001C2072"/>
    <w:rsid w:val="001C5255"/>
    <w:rsid w:val="001C5630"/>
    <w:rsid w:val="001C6706"/>
    <w:rsid w:val="001C77B0"/>
    <w:rsid w:val="001D0B94"/>
    <w:rsid w:val="001D0C7B"/>
    <w:rsid w:val="001D21C3"/>
    <w:rsid w:val="001D2886"/>
    <w:rsid w:val="001D2BF3"/>
    <w:rsid w:val="001D3988"/>
    <w:rsid w:val="001D5B54"/>
    <w:rsid w:val="001D6CE7"/>
    <w:rsid w:val="001D7B6E"/>
    <w:rsid w:val="001E0144"/>
    <w:rsid w:val="001E0475"/>
    <w:rsid w:val="001E0585"/>
    <w:rsid w:val="001E06C4"/>
    <w:rsid w:val="001E1053"/>
    <w:rsid w:val="001E1386"/>
    <w:rsid w:val="001E2959"/>
    <w:rsid w:val="001E428B"/>
    <w:rsid w:val="001E5088"/>
    <w:rsid w:val="001E6067"/>
    <w:rsid w:val="001E6208"/>
    <w:rsid w:val="001E7191"/>
    <w:rsid w:val="001E741F"/>
    <w:rsid w:val="001E7823"/>
    <w:rsid w:val="001E79A9"/>
    <w:rsid w:val="001F2395"/>
    <w:rsid w:val="001F24C7"/>
    <w:rsid w:val="001F30A7"/>
    <w:rsid w:val="001F3308"/>
    <w:rsid w:val="001F3830"/>
    <w:rsid w:val="001F38DD"/>
    <w:rsid w:val="001F40D3"/>
    <w:rsid w:val="001F415E"/>
    <w:rsid w:val="0020300F"/>
    <w:rsid w:val="00203831"/>
    <w:rsid w:val="0020423E"/>
    <w:rsid w:val="00204E70"/>
    <w:rsid w:val="002067FB"/>
    <w:rsid w:val="00212767"/>
    <w:rsid w:val="002143B5"/>
    <w:rsid w:val="00215CB0"/>
    <w:rsid w:val="00215D15"/>
    <w:rsid w:val="002167A9"/>
    <w:rsid w:val="00216910"/>
    <w:rsid w:val="002173CD"/>
    <w:rsid w:val="002213F8"/>
    <w:rsid w:val="00221E6B"/>
    <w:rsid w:val="00224D2A"/>
    <w:rsid w:val="00225433"/>
    <w:rsid w:val="0022572A"/>
    <w:rsid w:val="00225CE5"/>
    <w:rsid w:val="00225CF7"/>
    <w:rsid w:val="00225DEE"/>
    <w:rsid w:val="00227545"/>
    <w:rsid w:val="0022776E"/>
    <w:rsid w:val="00230EBE"/>
    <w:rsid w:val="0023225B"/>
    <w:rsid w:val="00232A6F"/>
    <w:rsid w:val="00232CA1"/>
    <w:rsid w:val="00233608"/>
    <w:rsid w:val="0023441A"/>
    <w:rsid w:val="002352D6"/>
    <w:rsid w:val="002354A3"/>
    <w:rsid w:val="002361BB"/>
    <w:rsid w:val="00237421"/>
    <w:rsid w:val="00237AE2"/>
    <w:rsid w:val="00237D20"/>
    <w:rsid w:val="00241A08"/>
    <w:rsid w:val="002427FF"/>
    <w:rsid w:val="00243390"/>
    <w:rsid w:val="0024343C"/>
    <w:rsid w:val="002434AF"/>
    <w:rsid w:val="00244EB8"/>
    <w:rsid w:val="0024546D"/>
    <w:rsid w:val="00245956"/>
    <w:rsid w:val="00245AC6"/>
    <w:rsid w:val="0024601D"/>
    <w:rsid w:val="0025081C"/>
    <w:rsid w:val="00251234"/>
    <w:rsid w:val="0025171B"/>
    <w:rsid w:val="00251B4A"/>
    <w:rsid w:val="00251FCB"/>
    <w:rsid w:val="002521C9"/>
    <w:rsid w:val="00252810"/>
    <w:rsid w:val="00252AB6"/>
    <w:rsid w:val="00262BCB"/>
    <w:rsid w:val="00263773"/>
    <w:rsid w:val="00264FD6"/>
    <w:rsid w:val="00265E6C"/>
    <w:rsid w:val="00266BA8"/>
    <w:rsid w:val="002671F3"/>
    <w:rsid w:val="0026751E"/>
    <w:rsid w:val="00267DD9"/>
    <w:rsid w:val="00273376"/>
    <w:rsid w:val="0027603F"/>
    <w:rsid w:val="00277080"/>
    <w:rsid w:val="00280861"/>
    <w:rsid w:val="00280D73"/>
    <w:rsid w:val="00281F0A"/>
    <w:rsid w:val="0028443E"/>
    <w:rsid w:val="00284486"/>
    <w:rsid w:val="00284EF3"/>
    <w:rsid w:val="00285D73"/>
    <w:rsid w:val="0028673D"/>
    <w:rsid w:val="0028783C"/>
    <w:rsid w:val="0029185B"/>
    <w:rsid w:val="00291AD3"/>
    <w:rsid w:val="00291E23"/>
    <w:rsid w:val="00292620"/>
    <w:rsid w:val="002930C7"/>
    <w:rsid w:val="00293720"/>
    <w:rsid w:val="002938D8"/>
    <w:rsid w:val="00293D48"/>
    <w:rsid w:val="00294C66"/>
    <w:rsid w:val="00295679"/>
    <w:rsid w:val="0029644E"/>
    <w:rsid w:val="002967A3"/>
    <w:rsid w:val="00296893"/>
    <w:rsid w:val="002970A7"/>
    <w:rsid w:val="002A044E"/>
    <w:rsid w:val="002A0711"/>
    <w:rsid w:val="002A0FE9"/>
    <w:rsid w:val="002A15F0"/>
    <w:rsid w:val="002A1964"/>
    <w:rsid w:val="002A5E37"/>
    <w:rsid w:val="002B0375"/>
    <w:rsid w:val="002B085B"/>
    <w:rsid w:val="002B08AE"/>
    <w:rsid w:val="002B0931"/>
    <w:rsid w:val="002B1B84"/>
    <w:rsid w:val="002B1B9C"/>
    <w:rsid w:val="002B1DF2"/>
    <w:rsid w:val="002B24EF"/>
    <w:rsid w:val="002B37B5"/>
    <w:rsid w:val="002B438A"/>
    <w:rsid w:val="002B4A5B"/>
    <w:rsid w:val="002B4CD1"/>
    <w:rsid w:val="002B6F3D"/>
    <w:rsid w:val="002B6FDF"/>
    <w:rsid w:val="002B7059"/>
    <w:rsid w:val="002B79A7"/>
    <w:rsid w:val="002C0C2C"/>
    <w:rsid w:val="002C1095"/>
    <w:rsid w:val="002C1B5C"/>
    <w:rsid w:val="002C2F04"/>
    <w:rsid w:val="002C3187"/>
    <w:rsid w:val="002C4E6E"/>
    <w:rsid w:val="002C53DD"/>
    <w:rsid w:val="002C5F57"/>
    <w:rsid w:val="002C679B"/>
    <w:rsid w:val="002C7723"/>
    <w:rsid w:val="002D0230"/>
    <w:rsid w:val="002D1A18"/>
    <w:rsid w:val="002D1B75"/>
    <w:rsid w:val="002D1C78"/>
    <w:rsid w:val="002D29D4"/>
    <w:rsid w:val="002D2E52"/>
    <w:rsid w:val="002D60D1"/>
    <w:rsid w:val="002D6DB5"/>
    <w:rsid w:val="002D7443"/>
    <w:rsid w:val="002D7BFE"/>
    <w:rsid w:val="002E00F7"/>
    <w:rsid w:val="002E146E"/>
    <w:rsid w:val="002E169A"/>
    <w:rsid w:val="002E1B90"/>
    <w:rsid w:val="002E1BAC"/>
    <w:rsid w:val="002E250C"/>
    <w:rsid w:val="002E2D5C"/>
    <w:rsid w:val="002E30D5"/>
    <w:rsid w:val="002E4471"/>
    <w:rsid w:val="002E51B0"/>
    <w:rsid w:val="002E5490"/>
    <w:rsid w:val="002E59B8"/>
    <w:rsid w:val="002E6876"/>
    <w:rsid w:val="002E7D6D"/>
    <w:rsid w:val="002F3616"/>
    <w:rsid w:val="002F4603"/>
    <w:rsid w:val="002F4912"/>
    <w:rsid w:val="002F50E5"/>
    <w:rsid w:val="002F54B0"/>
    <w:rsid w:val="002F6727"/>
    <w:rsid w:val="002F71DD"/>
    <w:rsid w:val="002F7BD4"/>
    <w:rsid w:val="002F7CA9"/>
    <w:rsid w:val="00303563"/>
    <w:rsid w:val="0030387E"/>
    <w:rsid w:val="00304C15"/>
    <w:rsid w:val="00306FB1"/>
    <w:rsid w:val="00307E06"/>
    <w:rsid w:val="0031102D"/>
    <w:rsid w:val="0031295D"/>
    <w:rsid w:val="00313277"/>
    <w:rsid w:val="0031390E"/>
    <w:rsid w:val="00314A7F"/>
    <w:rsid w:val="00317D92"/>
    <w:rsid w:val="003202DB"/>
    <w:rsid w:val="00322B5D"/>
    <w:rsid w:val="0032452A"/>
    <w:rsid w:val="00325CB6"/>
    <w:rsid w:val="00326AF0"/>
    <w:rsid w:val="00330BAE"/>
    <w:rsid w:val="00331188"/>
    <w:rsid w:val="0033192C"/>
    <w:rsid w:val="00331FEC"/>
    <w:rsid w:val="00332772"/>
    <w:rsid w:val="00333767"/>
    <w:rsid w:val="00333D25"/>
    <w:rsid w:val="00333F01"/>
    <w:rsid w:val="003341A2"/>
    <w:rsid w:val="00334213"/>
    <w:rsid w:val="003344E0"/>
    <w:rsid w:val="003345BE"/>
    <w:rsid w:val="003346F6"/>
    <w:rsid w:val="00335406"/>
    <w:rsid w:val="003417C7"/>
    <w:rsid w:val="00342161"/>
    <w:rsid w:val="00342BB2"/>
    <w:rsid w:val="00347D77"/>
    <w:rsid w:val="003503ED"/>
    <w:rsid w:val="0035055E"/>
    <w:rsid w:val="00350927"/>
    <w:rsid w:val="0035092D"/>
    <w:rsid w:val="0035381E"/>
    <w:rsid w:val="00354DE6"/>
    <w:rsid w:val="00355A58"/>
    <w:rsid w:val="00355BF8"/>
    <w:rsid w:val="00360B0C"/>
    <w:rsid w:val="0036111A"/>
    <w:rsid w:val="00361DED"/>
    <w:rsid w:val="00361DEE"/>
    <w:rsid w:val="0036284F"/>
    <w:rsid w:val="00362D57"/>
    <w:rsid w:val="00363EC2"/>
    <w:rsid w:val="00366266"/>
    <w:rsid w:val="00367155"/>
    <w:rsid w:val="0036784D"/>
    <w:rsid w:val="00370E1B"/>
    <w:rsid w:val="00370E59"/>
    <w:rsid w:val="0037109E"/>
    <w:rsid w:val="00371516"/>
    <w:rsid w:val="00372B51"/>
    <w:rsid w:val="00373961"/>
    <w:rsid w:val="00373978"/>
    <w:rsid w:val="003743D2"/>
    <w:rsid w:val="00374EB4"/>
    <w:rsid w:val="00375224"/>
    <w:rsid w:val="003762DA"/>
    <w:rsid w:val="003774F3"/>
    <w:rsid w:val="003777BF"/>
    <w:rsid w:val="0037780F"/>
    <w:rsid w:val="00380E44"/>
    <w:rsid w:val="00381113"/>
    <w:rsid w:val="0038132A"/>
    <w:rsid w:val="00381A16"/>
    <w:rsid w:val="00382656"/>
    <w:rsid w:val="0038284A"/>
    <w:rsid w:val="0038442D"/>
    <w:rsid w:val="00386CF2"/>
    <w:rsid w:val="00390091"/>
    <w:rsid w:val="0039076D"/>
    <w:rsid w:val="00390893"/>
    <w:rsid w:val="00390EB7"/>
    <w:rsid w:val="00391177"/>
    <w:rsid w:val="0039265F"/>
    <w:rsid w:val="00392F9E"/>
    <w:rsid w:val="003943A0"/>
    <w:rsid w:val="0039519B"/>
    <w:rsid w:val="003958F0"/>
    <w:rsid w:val="00396D02"/>
    <w:rsid w:val="003A0406"/>
    <w:rsid w:val="003A40F7"/>
    <w:rsid w:val="003A411F"/>
    <w:rsid w:val="003A4E69"/>
    <w:rsid w:val="003A5DCD"/>
    <w:rsid w:val="003A6737"/>
    <w:rsid w:val="003A697B"/>
    <w:rsid w:val="003A6B84"/>
    <w:rsid w:val="003A713D"/>
    <w:rsid w:val="003A7D02"/>
    <w:rsid w:val="003A7F8B"/>
    <w:rsid w:val="003B093F"/>
    <w:rsid w:val="003B2A56"/>
    <w:rsid w:val="003B2DCC"/>
    <w:rsid w:val="003B4474"/>
    <w:rsid w:val="003B4485"/>
    <w:rsid w:val="003B45D7"/>
    <w:rsid w:val="003B46A0"/>
    <w:rsid w:val="003B4A21"/>
    <w:rsid w:val="003B543D"/>
    <w:rsid w:val="003B714F"/>
    <w:rsid w:val="003C1348"/>
    <w:rsid w:val="003C1F8D"/>
    <w:rsid w:val="003C2DF4"/>
    <w:rsid w:val="003C315E"/>
    <w:rsid w:val="003C3711"/>
    <w:rsid w:val="003C4049"/>
    <w:rsid w:val="003C58E2"/>
    <w:rsid w:val="003C69D3"/>
    <w:rsid w:val="003C7F29"/>
    <w:rsid w:val="003D037F"/>
    <w:rsid w:val="003D0E9D"/>
    <w:rsid w:val="003D1602"/>
    <w:rsid w:val="003D1AE6"/>
    <w:rsid w:val="003D1C13"/>
    <w:rsid w:val="003D25DD"/>
    <w:rsid w:val="003D4376"/>
    <w:rsid w:val="003D4F7E"/>
    <w:rsid w:val="003D5D7F"/>
    <w:rsid w:val="003D5E31"/>
    <w:rsid w:val="003D6A74"/>
    <w:rsid w:val="003D7067"/>
    <w:rsid w:val="003E0B47"/>
    <w:rsid w:val="003E1EA2"/>
    <w:rsid w:val="003E2A31"/>
    <w:rsid w:val="003E3D41"/>
    <w:rsid w:val="003E43EB"/>
    <w:rsid w:val="003E5177"/>
    <w:rsid w:val="003E56E2"/>
    <w:rsid w:val="003E5A33"/>
    <w:rsid w:val="003E5A41"/>
    <w:rsid w:val="003E6239"/>
    <w:rsid w:val="003F022A"/>
    <w:rsid w:val="003F422B"/>
    <w:rsid w:val="003F51E1"/>
    <w:rsid w:val="003F57C2"/>
    <w:rsid w:val="003F7791"/>
    <w:rsid w:val="003F7D16"/>
    <w:rsid w:val="0040062A"/>
    <w:rsid w:val="00401A31"/>
    <w:rsid w:val="00401C24"/>
    <w:rsid w:val="00402A09"/>
    <w:rsid w:val="00403A1F"/>
    <w:rsid w:val="00403F1C"/>
    <w:rsid w:val="00404B1D"/>
    <w:rsid w:val="004052D1"/>
    <w:rsid w:val="00406FB3"/>
    <w:rsid w:val="00407D00"/>
    <w:rsid w:val="0041005F"/>
    <w:rsid w:val="004100FC"/>
    <w:rsid w:val="004130DD"/>
    <w:rsid w:val="004131B4"/>
    <w:rsid w:val="00413F8A"/>
    <w:rsid w:val="00414093"/>
    <w:rsid w:val="004213F1"/>
    <w:rsid w:val="00421F4B"/>
    <w:rsid w:val="00422D7C"/>
    <w:rsid w:val="00423772"/>
    <w:rsid w:val="004261E5"/>
    <w:rsid w:val="00430161"/>
    <w:rsid w:val="00430989"/>
    <w:rsid w:val="00432CE7"/>
    <w:rsid w:val="00433620"/>
    <w:rsid w:val="004359DF"/>
    <w:rsid w:val="00436FAF"/>
    <w:rsid w:val="004411A5"/>
    <w:rsid w:val="004416C8"/>
    <w:rsid w:val="00441AB7"/>
    <w:rsid w:val="00441E6B"/>
    <w:rsid w:val="00442EF7"/>
    <w:rsid w:val="00443AB0"/>
    <w:rsid w:val="00445937"/>
    <w:rsid w:val="00450631"/>
    <w:rsid w:val="004507B1"/>
    <w:rsid w:val="00450A92"/>
    <w:rsid w:val="00450C90"/>
    <w:rsid w:val="004513D9"/>
    <w:rsid w:val="00452A8D"/>
    <w:rsid w:val="004537BD"/>
    <w:rsid w:val="00453AFB"/>
    <w:rsid w:val="00455BF5"/>
    <w:rsid w:val="00457272"/>
    <w:rsid w:val="004606AA"/>
    <w:rsid w:val="0046099B"/>
    <w:rsid w:val="00460CB2"/>
    <w:rsid w:val="0046200B"/>
    <w:rsid w:val="00462E5F"/>
    <w:rsid w:val="00463F5F"/>
    <w:rsid w:val="0046604A"/>
    <w:rsid w:val="00467EEF"/>
    <w:rsid w:val="004705B9"/>
    <w:rsid w:val="00470E3F"/>
    <w:rsid w:val="004712E4"/>
    <w:rsid w:val="004713EC"/>
    <w:rsid w:val="0047192C"/>
    <w:rsid w:val="00473429"/>
    <w:rsid w:val="0047412F"/>
    <w:rsid w:val="00474ABB"/>
    <w:rsid w:val="004757C7"/>
    <w:rsid w:val="004778DF"/>
    <w:rsid w:val="0048050F"/>
    <w:rsid w:val="004805B9"/>
    <w:rsid w:val="00483B59"/>
    <w:rsid w:val="00483E9C"/>
    <w:rsid w:val="00486758"/>
    <w:rsid w:val="00491BB0"/>
    <w:rsid w:val="00492DAC"/>
    <w:rsid w:val="004933CD"/>
    <w:rsid w:val="004934A9"/>
    <w:rsid w:val="00493813"/>
    <w:rsid w:val="004955C4"/>
    <w:rsid w:val="00495A77"/>
    <w:rsid w:val="00495F81"/>
    <w:rsid w:val="0049617E"/>
    <w:rsid w:val="004961F9"/>
    <w:rsid w:val="004974E4"/>
    <w:rsid w:val="00497B7F"/>
    <w:rsid w:val="004A0161"/>
    <w:rsid w:val="004A24A8"/>
    <w:rsid w:val="004A2A7C"/>
    <w:rsid w:val="004A35C2"/>
    <w:rsid w:val="004A36AF"/>
    <w:rsid w:val="004A3FBC"/>
    <w:rsid w:val="004A4376"/>
    <w:rsid w:val="004A548D"/>
    <w:rsid w:val="004A7D52"/>
    <w:rsid w:val="004A7DE2"/>
    <w:rsid w:val="004A7FC5"/>
    <w:rsid w:val="004B099B"/>
    <w:rsid w:val="004B1BB1"/>
    <w:rsid w:val="004B2130"/>
    <w:rsid w:val="004B4AFE"/>
    <w:rsid w:val="004B5012"/>
    <w:rsid w:val="004B532D"/>
    <w:rsid w:val="004B578B"/>
    <w:rsid w:val="004B69DB"/>
    <w:rsid w:val="004B6A03"/>
    <w:rsid w:val="004B750E"/>
    <w:rsid w:val="004C069E"/>
    <w:rsid w:val="004C18D5"/>
    <w:rsid w:val="004C1C4C"/>
    <w:rsid w:val="004C42DB"/>
    <w:rsid w:val="004C435B"/>
    <w:rsid w:val="004C4863"/>
    <w:rsid w:val="004C4A20"/>
    <w:rsid w:val="004C5CCC"/>
    <w:rsid w:val="004C60C4"/>
    <w:rsid w:val="004C64CA"/>
    <w:rsid w:val="004C6A35"/>
    <w:rsid w:val="004C6A66"/>
    <w:rsid w:val="004C7EDB"/>
    <w:rsid w:val="004D0693"/>
    <w:rsid w:val="004D2386"/>
    <w:rsid w:val="004D34A0"/>
    <w:rsid w:val="004D518A"/>
    <w:rsid w:val="004D521A"/>
    <w:rsid w:val="004D6893"/>
    <w:rsid w:val="004E08B0"/>
    <w:rsid w:val="004E117A"/>
    <w:rsid w:val="004E1D17"/>
    <w:rsid w:val="004E41AD"/>
    <w:rsid w:val="004E655A"/>
    <w:rsid w:val="004E6564"/>
    <w:rsid w:val="004E6741"/>
    <w:rsid w:val="004E6B5B"/>
    <w:rsid w:val="004E7756"/>
    <w:rsid w:val="004F1285"/>
    <w:rsid w:val="004F1BF6"/>
    <w:rsid w:val="004F2CC7"/>
    <w:rsid w:val="004F2EB3"/>
    <w:rsid w:val="004F3079"/>
    <w:rsid w:val="004F41C4"/>
    <w:rsid w:val="004F4669"/>
    <w:rsid w:val="004F4E00"/>
    <w:rsid w:val="004F4FA0"/>
    <w:rsid w:val="00500934"/>
    <w:rsid w:val="0050140C"/>
    <w:rsid w:val="005030A4"/>
    <w:rsid w:val="005032FB"/>
    <w:rsid w:val="005036EA"/>
    <w:rsid w:val="00503D00"/>
    <w:rsid w:val="00505284"/>
    <w:rsid w:val="00505393"/>
    <w:rsid w:val="00505453"/>
    <w:rsid w:val="00506569"/>
    <w:rsid w:val="005068DC"/>
    <w:rsid w:val="00507645"/>
    <w:rsid w:val="00507D80"/>
    <w:rsid w:val="00507EFE"/>
    <w:rsid w:val="0051078A"/>
    <w:rsid w:val="00510D61"/>
    <w:rsid w:val="00510E76"/>
    <w:rsid w:val="0051120E"/>
    <w:rsid w:val="005120FA"/>
    <w:rsid w:val="00512488"/>
    <w:rsid w:val="005145B6"/>
    <w:rsid w:val="00514BA6"/>
    <w:rsid w:val="00522041"/>
    <w:rsid w:val="005235B1"/>
    <w:rsid w:val="005244A5"/>
    <w:rsid w:val="00524E0A"/>
    <w:rsid w:val="00526801"/>
    <w:rsid w:val="00527508"/>
    <w:rsid w:val="005278E5"/>
    <w:rsid w:val="005301A2"/>
    <w:rsid w:val="005321B0"/>
    <w:rsid w:val="00533FB0"/>
    <w:rsid w:val="00534897"/>
    <w:rsid w:val="00535DA2"/>
    <w:rsid w:val="00536114"/>
    <w:rsid w:val="005362EA"/>
    <w:rsid w:val="00536AA0"/>
    <w:rsid w:val="0053723D"/>
    <w:rsid w:val="00537325"/>
    <w:rsid w:val="005379A0"/>
    <w:rsid w:val="0054178A"/>
    <w:rsid w:val="00541900"/>
    <w:rsid w:val="005438C9"/>
    <w:rsid w:val="00543CFA"/>
    <w:rsid w:val="005449D9"/>
    <w:rsid w:val="00547BDC"/>
    <w:rsid w:val="005518A2"/>
    <w:rsid w:val="00551D39"/>
    <w:rsid w:val="00552048"/>
    <w:rsid w:val="0055249B"/>
    <w:rsid w:val="00552718"/>
    <w:rsid w:val="00552FFF"/>
    <w:rsid w:val="00553559"/>
    <w:rsid w:val="005544B0"/>
    <w:rsid w:val="00554733"/>
    <w:rsid w:val="0055565A"/>
    <w:rsid w:val="00555683"/>
    <w:rsid w:val="005562D4"/>
    <w:rsid w:val="00556D41"/>
    <w:rsid w:val="005570D7"/>
    <w:rsid w:val="0055715D"/>
    <w:rsid w:val="00557DBE"/>
    <w:rsid w:val="00560050"/>
    <w:rsid w:val="00562074"/>
    <w:rsid w:val="00562DB4"/>
    <w:rsid w:val="00563B4C"/>
    <w:rsid w:val="00564F09"/>
    <w:rsid w:val="005674F0"/>
    <w:rsid w:val="0057098B"/>
    <w:rsid w:val="00570E79"/>
    <w:rsid w:val="00573574"/>
    <w:rsid w:val="00573F8A"/>
    <w:rsid w:val="00575463"/>
    <w:rsid w:val="005761D6"/>
    <w:rsid w:val="00576892"/>
    <w:rsid w:val="00576C6F"/>
    <w:rsid w:val="00577191"/>
    <w:rsid w:val="005776D0"/>
    <w:rsid w:val="00580039"/>
    <w:rsid w:val="00583101"/>
    <w:rsid w:val="00584233"/>
    <w:rsid w:val="00584825"/>
    <w:rsid w:val="005858E1"/>
    <w:rsid w:val="00587CA0"/>
    <w:rsid w:val="005903B2"/>
    <w:rsid w:val="00590744"/>
    <w:rsid w:val="0059125D"/>
    <w:rsid w:val="0059138C"/>
    <w:rsid w:val="00591B21"/>
    <w:rsid w:val="00591EA4"/>
    <w:rsid w:val="00592495"/>
    <w:rsid w:val="00592EE7"/>
    <w:rsid w:val="005934A5"/>
    <w:rsid w:val="00593694"/>
    <w:rsid w:val="00593886"/>
    <w:rsid w:val="005950D2"/>
    <w:rsid w:val="00595A6D"/>
    <w:rsid w:val="00595DE5"/>
    <w:rsid w:val="00595FB9"/>
    <w:rsid w:val="005963F6"/>
    <w:rsid w:val="00597BC9"/>
    <w:rsid w:val="00597E9C"/>
    <w:rsid w:val="005A0B40"/>
    <w:rsid w:val="005A1FF5"/>
    <w:rsid w:val="005A2F15"/>
    <w:rsid w:val="005A4E53"/>
    <w:rsid w:val="005A61F8"/>
    <w:rsid w:val="005A7788"/>
    <w:rsid w:val="005A78FD"/>
    <w:rsid w:val="005B028E"/>
    <w:rsid w:val="005B02EC"/>
    <w:rsid w:val="005B0AB9"/>
    <w:rsid w:val="005B2331"/>
    <w:rsid w:val="005B2DEE"/>
    <w:rsid w:val="005B2F98"/>
    <w:rsid w:val="005B367B"/>
    <w:rsid w:val="005B3899"/>
    <w:rsid w:val="005B4C78"/>
    <w:rsid w:val="005C0FA4"/>
    <w:rsid w:val="005C10C0"/>
    <w:rsid w:val="005C142B"/>
    <w:rsid w:val="005C1444"/>
    <w:rsid w:val="005C16C8"/>
    <w:rsid w:val="005C213C"/>
    <w:rsid w:val="005C26B0"/>
    <w:rsid w:val="005C3CF3"/>
    <w:rsid w:val="005C40F7"/>
    <w:rsid w:val="005C5E88"/>
    <w:rsid w:val="005C6518"/>
    <w:rsid w:val="005D09AD"/>
    <w:rsid w:val="005D13C7"/>
    <w:rsid w:val="005D1A33"/>
    <w:rsid w:val="005D1BA2"/>
    <w:rsid w:val="005D2C02"/>
    <w:rsid w:val="005D463C"/>
    <w:rsid w:val="005D4766"/>
    <w:rsid w:val="005D476D"/>
    <w:rsid w:val="005D7195"/>
    <w:rsid w:val="005D7CD5"/>
    <w:rsid w:val="005E0431"/>
    <w:rsid w:val="005E0CE8"/>
    <w:rsid w:val="005E10E4"/>
    <w:rsid w:val="005E15D7"/>
    <w:rsid w:val="005E3216"/>
    <w:rsid w:val="005E37C4"/>
    <w:rsid w:val="005E4965"/>
    <w:rsid w:val="005E4FDA"/>
    <w:rsid w:val="005E539F"/>
    <w:rsid w:val="005E5B9D"/>
    <w:rsid w:val="005E5FA6"/>
    <w:rsid w:val="005E6ADA"/>
    <w:rsid w:val="005E7A68"/>
    <w:rsid w:val="005F001C"/>
    <w:rsid w:val="005F06B4"/>
    <w:rsid w:val="005F17E0"/>
    <w:rsid w:val="005F181E"/>
    <w:rsid w:val="005F1CA5"/>
    <w:rsid w:val="005F1ED6"/>
    <w:rsid w:val="005F2100"/>
    <w:rsid w:val="005F24E9"/>
    <w:rsid w:val="005F3424"/>
    <w:rsid w:val="005F4C7F"/>
    <w:rsid w:val="006003B9"/>
    <w:rsid w:val="00600998"/>
    <w:rsid w:val="00601A06"/>
    <w:rsid w:val="00601E67"/>
    <w:rsid w:val="00602AC1"/>
    <w:rsid w:val="00604773"/>
    <w:rsid w:val="00604B1E"/>
    <w:rsid w:val="00606A8C"/>
    <w:rsid w:val="00606FD4"/>
    <w:rsid w:val="00610165"/>
    <w:rsid w:val="006103CC"/>
    <w:rsid w:val="0061243D"/>
    <w:rsid w:val="00613116"/>
    <w:rsid w:val="0061312E"/>
    <w:rsid w:val="006134AA"/>
    <w:rsid w:val="006145CB"/>
    <w:rsid w:val="006174B1"/>
    <w:rsid w:val="00620999"/>
    <w:rsid w:val="00620DA8"/>
    <w:rsid w:val="00621271"/>
    <w:rsid w:val="0062240D"/>
    <w:rsid w:val="00622575"/>
    <w:rsid w:val="006229F7"/>
    <w:rsid w:val="00623716"/>
    <w:rsid w:val="00623F54"/>
    <w:rsid w:val="00624558"/>
    <w:rsid w:val="006249FC"/>
    <w:rsid w:val="00626C26"/>
    <w:rsid w:val="00630109"/>
    <w:rsid w:val="006318A9"/>
    <w:rsid w:val="00631D8B"/>
    <w:rsid w:val="0063318B"/>
    <w:rsid w:val="00634EDE"/>
    <w:rsid w:val="00636289"/>
    <w:rsid w:val="00636304"/>
    <w:rsid w:val="0063680C"/>
    <w:rsid w:val="00636F9D"/>
    <w:rsid w:val="006374B2"/>
    <w:rsid w:val="00640B56"/>
    <w:rsid w:val="006419CA"/>
    <w:rsid w:val="00642316"/>
    <w:rsid w:val="00642E76"/>
    <w:rsid w:val="0064388D"/>
    <w:rsid w:val="00644214"/>
    <w:rsid w:val="006446E0"/>
    <w:rsid w:val="0064756C"/>
    <w:rsid w:val="00647826"/>
    <w:rsid w:val="00647C97"/>
    <w:rsid w:val="006509D5"/>
    <w:rsid w:val="00650D2C"/>
    <w:rsid w:val="006522D7"/>
    <w:rsid w:val="0065253E"/>
    <w:rsid w:val="0065376A"/>
    <w:rsid w:val="006548A0"/>
    <w:rsid w:val="006549AA"/>
    <w:rsid w:val="006549D1"/>
    <w:rsid w:val="00656490"/>
    <w:rsid w:val="006568B1"/>
    <w:rsid w:val="0066036B"/>
    <w:rsid w:val="00662E6C"/>
    <w:rsid w:val="00663698"/>
    <w:rsid w:val="006648C0"/>
    <w:rsid w:val="00665990"/>
    <w:rsid w:val="00665F2D"/>
    <w:rsid w:val="00666973"/>
    <w:rsid w:val="00667EB0"/>
    <w:rsid w:val="0067041F"/>
    <w:rsid w:val="0067054D"/>
    <w:rsid w:val="00670655"/>
    <w:rsid w:val="0067186A"/>
    <w:rsid w:val="00671CF0"/>
    <w:rsid w:val="00672A0E"/>
    <w:rsid w:val="00672BCF"/>
    <w:rsid w:val="00673405"/>
    <w:rsid w:val="0067370B"/>
    <w:rsid w:val="00673EA0"/>
    <w:rsid w:val="006745C4"/>
    <w:rsid w:val="00674A51"/>
    <w:rsid w:val="0067563F"/>
    <w:rsid w:val="00675698"/>
    <w:rsid w:val="006765B0"/>
    <w:rsid w:val="006814D9"/>
    <w:rsid w:val="00681FDC"/>
    <w:rsid w:val="00682260"/>
    <w:rsid w:val="006832E4"/>
    <w:rsid w:val="00683434"/>
    <w:rsid w:val="00683AA6"/>
    <w:rsid w:val="006846A0"/>
    <w:rsid w:val="00687704"/>
    <w:rsid w:val="00691E3B"/>
    <w:rsid w:val="00692294"/>
    <w:rsid w:val="00692710"/>
    <w:rsid w:val="00693D5C"/>
    <w:rsid w:val="0069400D"/>
    <w:rsid w:val="0069484F"/>
    <w:rsid w:val="00694E6A"/>
    <w:rsid w:val="0069549E"/>
    <w:rsid w:val="00695548"/>
    <w:rsid w:val="00695E85"/>
    <w:rsid w:val="006A0163"/>
    <w:rsid w:val="006A01C7"/>
    <w:rsid w:val="006A0863"/>
    <w:rsid w:val="006A1C6F"/>
    <w:rsid w:val="006A1CE4"/>
    <w:rsid w:val="006A216A"/>
    <w:rsid w:val="006A2B67"/>
    <w:rsid w:val="006A2BB2"/>
    <w:rsid w:val="006A3F90"/>
    <w:rsid w:val="006A42D0"/>
    <w:rsid w:val="006A49E3"/>
    <w:rsid w:val="006A4F4E"/>
    <w:rsid w:val="006A5575"/>
    <w:rsid w:val="006A5DA0"/>
    <w:rsid w:val="006A656B"/>
    <w:rsid w:val="006A65E6"/>
    <w:rsid w:val="006A79A9"/>
    <w:rsid w:val="006A7DA8"/>
    <w:rsid w:val="006B0B6B"/>
    <w:rsid w:val="006B5A2F"/>
    <w:rsid w:val="006B63EC"/>
    <w:rsid w:val="006B6BE4"/>
    <w:rsid w:val="006B6FB0"/>
    <w:rsid w:val="006C0678"/>
    <w:rsid w:val="006C10A7"/>
    <w:rsid w:val="006C13E3"/>
    <w:rsid w:val="006C1B9B"/>
    <w:rsid w:val="006C24CC"/>
    <w:rsid w:val="006C31B1"/>
    <w:rsid w:val="006C3394"/>
    <w:rsid w:val="006C3A61"/>
    <w:rsid w:val="006C401E"/>
    <w:rsid w:val="006C41B8"/>
    <w:rsid w:val="006C43BA"/>
    <w:rsid w:val="006C45A6"/>
    <w:rsid w:val="006C493A"/>
    <w:rsid w:val="006C502D"/>
    <w:rsid w:val="006C5B29"/>
    <w:rsid w:val="006C62FF"/>
    <w:rsid w:val="006C646F"/>
    <w:rsid w:val="006D0192"/>
    <w:rsid w:val="006D0536"/>
    <w:rsid w:val="006D056F"/>
    <w:rsid w:val="006D0754"/>
    <w:rsid w:val="006D0A8D"/>
    <w:rsid w:val="006D268B"/>
    <w:rsid w:val="006D2B85"/>
    <w:rsid w:val="006D35C0"/>
    <w:rsid w:val="006D52AE"/>
    <w:rsid w:val="006D55C4"/>
    <w:rsid w:val="006D587B"/>
    <w:rsid w:val="006D5B68"/>
    <w:rsid w:val="006D5DB9"/>
    <w:rsid w:val="006D615D"/>
    <w:rsid w:val="006D77FC"/>
    <w:rsid w:val="006E07FD"/>
    <w:rsid w:val="006E2DB1"/>
    <w:rsid w:val="006E4E54"/>
    <w:rsid w:val="006E5DB8"/>
    <w:rsid w:val="006E668C"/>
    <w:rsid w:val="006E677A"/>
    <w:rsid w:val="006E6BFC"/>
    <w:rsid w:val="006E75F6"/>
    <w:rsid w:val="006E7B5D"/>
    <w:rsid w:val="006F00D6"/>
    <w:rsid w:val="006F1BEC"/>
    <w:rsid w:val="006F2F59"/>
    <w:rsid w:val="006F317A"/>
    <w:rsid w:val="006F43D0"/>
    <w:rsid w:val="006F5C91"/>
    <w:rsid w:val="006F648C"/>
    <w:rsid w:val="006F7041"/>
    <w:rsid w:val="006F7C2E"/>
    <w:rsid w:val="007012FD"/>
    <w:rsid w:val="0070229D"/>
    <w:rsid w:val="007028C0"/>
    <w:rsid w:val="007101FD"/>
    <w:rsid w:val="007109BA"/>
    <w:rsid w:val="00710F1C"/>
    <w:rsid w:val="00711F69"/>
    <w:rsid w:val="007121C4"/>
    <w:rsid w:val="00713661"/>
    <w:rsid w:val="007147AA"/>
    <w:rsid w:val="00715592"/>
    <w:rsid w:val="00716453"/>
    <w:rsid w:val="00717736"/>
    <w:rsid w:val="00717845"/>
    <w:rsid w:val="0071784C"/>
    <w:rsid w:val="007212AE"/>
    <w:rsid w:val="00721D98"/>
    <w:rsid w:val="0072207B"/>
    <w:rsid w:val="0072295F"/>
    <w:rsid w:val="00723921"/>
    <w:rsid w:val="007254D7"/>
    <w:rsid w:val="007258B7"/>
    <w:rsid w:val="00726ADF"/>
    <w:rsid w:val="00730687"/>
    <w:rsid w:val="00730906"/>
    <w:rsid w:val="00730AE7"/>
    <w:rsid w:val="00731653"/>
    <w:rsid w:val="0073177E"/>
    <w:rsid w:val="00733FE1"/>
    <w:rsid w:val="00734714"/>
    <w:rsid w:val="00734AF1"/>
    <w:rsid w:val="0073510B"/>
    <w:rsid w:val="007357C4"/>
    <w:rsid w:val="00735822"/>
    <w:rsid w:val="00735CE4"/>
    <w:rsid w:val="007371E3"/>
    <w:rsid w:val="00737D63"/>
    <w:rsid w:val="00737E66"/>
    <w:rsid w:val="00741939"/>
    <w:rsid w:val="007443E4"/>
    <w:rsid w:val="007459DA"/>
    <w:rsid w:val="00746641"/>
    <w:rsid w:val="00747067"/>
    <w:rsid w:val="0075017E"/>
    <w:rsid w:val="0075417E"/>
    <w:rsid w:val="00755E37"/>
    <w:rsid w:val="00756F90"/>
    <w:rsid w:val="007577FB"/>
    <w:rsid w:val="00757C8D"/>
    <w:rsid w:val="00757D1B"/>
    <w:rsid w:val="00761716"/>
    <w:rsid w:val="00761E1A"/>
    <w:rsid w:val="007622B2"/>
    <w:rsid w:val="00762400"/>
    <w:rsid w:val="00762A72"/>
    <w:rsid w:val="00762F61"/>
    <w:rsid w:val="00765CC0"/>
    <w:rsid w:val="00766FA1"/>
    <w:rsid w:val="00771AC7"/>
    <w:rsid w:val="007749EA"/>
    <w:rsid w:val="00774F14"/>
    <w:rsid w:val="00775AE8"/>
    <w:rsid w:val="00775CCE"/>
    <w:rsid w:val="00776B98"/>
    <w:rsid w:val="00777372"/>
    <w:rsid w:val="00777FBB"/>
    <w:rsid w:val="00780633"/>
    <w:rsid w:val="0078188E"/>
    <w:rsid w:val="00784C0B"/>
    <w:rsid w:val="00784D99"/>
    <w:rsid w:val="0078692F"/>
    <w:rsid w:val="00790760"/>
    <w:rsid w:val="00792008"/>
    <w:rsid w:val="0079279C"/>
    <w:rsid w:val="007939F9"/>
    <w:rsid w:val="007953F6"/>
    <w:rsid w:val="0079543A"/>
    <w:rsid w:val="00796F1B"/>
    <w:rsid w:val="007A10FC"/>
    <w:rsid w:val="007A17EB"/>
    <w:rsid w:val="007A2BBB"/>
    <w:rsid w:val="007A3F13"/>
    <w:rsid w:val="007A40E6"/>
    <w:rsid w:val="007A4C15"/>
    <w:rsid w:val="007A4FB4"/>
    <w:rsid w:val="007A60FB"/>
    <w:rsid w:val="007B3622"/>
    <w:rsid w:val="007B386F"/>
    <w:rsid w:val="007B5132"/>
    <w:rsid w:val="007B515C"/>
    <w:rsid w:val="007B75D2"/>
    <w:rsid w:val="007C056F"/>
    <w:rsid w:val="007C073C"/>
    <w:rsid w:val="007C0CA4"/>
    <w:rsid w:val="007C1CE8"/>
    <w:rsid w:val="007C2135"/>
    <w:rsid w:val="007C2B23"/>
    <w:rsid w:val="007C3541"/>
    <w:rsid w:val="007C63F8"/>
    <w:rsid w:val="007C6E18"/>
    <w:rsid w:val="007C6F19"/>
    <w:rsid w:val="007D0314"/>
    <w:rsid w:val="007D05E6"/>
    <w:rsid w:val="007D27B1"/>
    <w:rsid w:val="007D4C63"/>
    <w:rsid w:val="007D506B"/>
    <w:rsid w:val="007D64FD"/>
    <w:rsid w:val="007D6B3A"/>
    <w:rsid w:val="007D786E"/>
    <w:rsid w:val="007E0227"/>
    <w:rsid w:val="007E2BCE"/>
    <w:rsid w:val="007E2F0F"/>
    <w:rsid w:val="007E371B"/>
    <w:rsid w:val="007E394E"/>
    <w:rsid w:val="007E4C93"/>
    <w:rsid w:val="007E52CF"/>
    <w:rsid w:val="007E5E67"/>
    <w:rsid w:val="007E67B9"/>
    <w:rsid w:val="007E6D7E"/>
    <w:rsid w:val="007E7118"/>
    <w:rsid w:val="007E7C31"/>
    <w:rsid w:val="007F0AEC"/>
    <w:rsid w:val="007F2713"/>
    <w:rsid w:val="007F271C"/>
    <w:rsid w:val="007F284E"/>
    <w:rsid w:val="007F44B8"/>
    <w:rsid w:val="007F6EB2"/>
    <w:rsid w:val="007F71AE"/>
    <w:rsid w:val="007F77FE"/>
    <w:rsid w:val="00801010"/>
    <w:rsid w:val="008017E6"/>
    <w:rsid w:val="008024C5"/>
    <w:rsid w:val="00802A81"/>
    <w:rsid w:val="0080478F"/>
    <w:rsid w:val="0080505A"/>
    <w:rsid w:val="0080527A"/>
    <w:rsid w:val="00806D3D"/>
    <w:rsid w:val="008131DB"/>
    <w:rsid w:val="00815086"/>
    <w:rsid w:val="00815C76"/>
    <w:rsid w:val="00816BB2"/>
    <w:rsid w:val="00817729"/>
    <w:rsid w:val="0081776B"/>
    <w:rsid w:val="0082299B"/>
    <w:rsid w:val="00822AD3"/>
    <w:rsid w:val="00824581"/>
    <w:rsid w:val="008248D9"/>
    <w:rsid w:val="00825F14"/>
    <w:rsid w:val="008260F3"/>
    <w:rsid w:val="008272BF"/>
    <w:rsid w:val="008272F6"/>
    <w:rsid w:val="008276DB"/>
    <w:rsid w:val="008303F5"/>
    <w:rsid w:val="00833475"/>
    <w:rsid w:val="00833A36"/>
    <w:rsid w:val="00833D91"/>
    <w:rsid w:val="0083522B"/>
    <w:rsid w:val="00835A3E"/>
    <w:rsid w:val="00835F85"/>
    <w:rsid w:val="008365ED"/>
    <w:rsid w:val="00836C6B"/>
    <w:rsid w:val="008444B0"/>
    <w:rsid w:val="00844FBF"/>
    <w:rsid w:val="008475C2"/>
    <w:rsid w:val="00850587"/>
    <w:rsid w:val="00850A39"/>
    <w:rsid w:val="008539F1"/>
    <w:rsid w:val="00855B5D"/>
    <w:rsid w:val="00855EED"/>
    <w:rsid w:val="00856725"/>
    <w:rsid w:val="00857C3B"/>
    <w:rsid w:val="00857FB0"/>
    <w:rsid w:val="00860316"/>
    <w:rsid w:val="0086080B"/>
    <w:rsid w:val="00860D2B"/>
    <w:rsid w:val="00861259"/>
    <w:rsid w:val="00862911"/>
    <w:rsid w:val="00863E0B"/>
    <w:rsid w:val="00865372"/>
    <w:rsid w:val="00866A25"/>
    <w:rsid w:val="0087079C"/>
    <w:rsid w:val="0087229D"/>
    <w:rsid w:val="00873282"/>
    <w:rsid w:val="00874AC4"/>
    <w:rsid w:val="0087565B"/>
    <w:rsid w:val="00876D9E"/>
    <w:rsid w:val="00877139"/>
    <w:rsid w:val="008775D2"/>
    <w:rsid w:val="008779C0"/>
    <w:rsid w:val="00880005"/>
    <w:rsid w:val="00880B88"/>
    <w:rsid w:val="008824DC"/>
    <w:rsid w:val="008825CC"/>
    <w:rsid w:val="00882D56"/>
    <w:rsid w:val="00883C81"/>
    <w:rsid w:val="00884698"/>
    <w:rsid w:val="008847CC"/>
    <w:rsid w:val="00884D62"/>
    <w:rsid w:val="008869E2"/>
    <w:rsid w:val="00890078"/>
    <w:rsid w:val="00891D79"/>
    <w:rsid w:val="008935AC"/>
    <w:rsid w:val="00893C36"/>
    <w:rsid w:val="00893CDC"/>
    <w:rsid w:val="00894C4D"/>
    <w:rsid w:val="00895C9A"/>
    <w:rsid w:val="00896F26"/>
    <w:rsid w:val="00897049"/>
    <w:rsid w:val="008970F3"/>
    <w:rsid w:val="00897EDC"/>
    <w:rsid w:val="008A0CD9"/>
    <w:rsid w:val="008A10EC"/>
    <w:rsid w:val="008A25B2"/>
    <w:rsid w:val="008A3180"/>
    <w:rsid w:val="008A48CB"/>
    <w:rsid w:val="008A4D00"/>
    <w:rsid w:val="008A5A97"/>
    <w:rsid w:val="008A5B33"/>
    <w:rsid w:val="008A602D"/>
    <w:rsid w:val="008A6040"/>
    <w:rsid w:val="008A62A8"/>
    <w:rsid w:val="008A677B"/>
    <w:rsid w:val="008A74CC"/>
    <w:rsid w:val="008A7ADA"/>
    <w:rsid w:val="008A7BF2"/>
    <w:rsid w:val="008B118D"/>
    <w:rsid w:val="008B2A57"/>
    <w:rsid w:val="008B30EE"/>
    <w:rsid w:val="008B31D8"/>
    <w:rsid w:val="008C0344"/>
    <w:rsid w:val="008C04DB"/>
    <w:rsid w:val="008C0754"/>
    <w:rsid w:val="008C253E"/>
    <w:rsid w:val="008C2BAE"/>
    <w:rsid w:val="008C2D96"/>
    <w:rsid w:val="008C38B1"/>
    <w:rsid w:val="008C3B21"/>
    <w:rsid w:val="008C4273"/>
    <w:rsid w:val="008C4AD6"/>
    <w:rsid w:val="008C5DD9"/>
    <w:rsid w:val="008C6950"/>
    <w:rsid w:val="008C69B6"/>
    <w:rsid w:val="008C7589"/>
    <w:rsid w:val="008D4B9B"/>
    <w:rsid w:val="008D57BA"/>
    <w:rsid w:val="008D5C08"/>
    <w:rsid w:val="008D7E2E"/>
    <w:rsid w:val="008E03FF"/>
    <w:rsid w:val="008E0F06"/>
    <w:rsid w:val="008E1130"/>
    <w:rsid w:val="008E1863"/>
    <w:rsid w:val="008E1D4E"/>
    <w:rsid w:val="008E340D"/>
    <w:rsid w:val="008E3EBD"/>
    <w:rsid w:val="008E40E6"/>
    <w:rsid w:val="008E63AA"/>
    <w:rsid w:val="008E65FA"/>
    <w:rsid w:val="008E7B02"/>
    <w:rsid w:val="008F19F7"/>
    <w:rsid w:val="008F33E5"/>
    <w:rsid w:val="008F46EB"/>
    <w:rsid w:val="008F5815"/>
    <w:rsid w:val="008F6652"/>
    <w:rsid w:val="008F6E02"/>
    <w:rsid w:val="008F763B"/>
    <w:rsid w:val="009005B0"/>
    <w:rsid w:val="009015F2"/>
    <w:rsid w:val="00901D1C"/>
    <w:rsid w:val="009027A3"/>
    <w:rsid w:val="00902B11"/>
    <w:rsid w:val="00903F2F"/>
    <w:rsid w:val="00903F99"/>
    <w:rsid w:val="009043E2"/>
    <w:rsid w:val="00904B16"/>
    <w:rsid w:val="00904C0B"/>
    <w:rsid w:val="00904CD1"/>
    <w:rsid w:val="00904CFE"/>
    <w:rsid w:val="009062F9"/>
    <w:rsid w:val="00911182"/>
    <w:rsid w:val="00911A88"/>
    <w:rsid w:val="00911DF1"/>
    <w:rsid w:val="00913308"/>
    <w:rsid w:val="009152EB"/>
    <w:rsid w:val="00915BF1"/>
    <w:rsid w:val="00916892"/>
    <w:rsid w:val="009169D4"/>
    <w:rsid w:val="0091759F"/>
    <w:rsid w:val="009176AF"/>
    <w:rsid w:val="00922335"/>
    <w:rsid w:val="00922C5C"/>
    <w:rsid w:val="00923214"/>
    <w:rsid w:val="00923E54"/>
    <w:rsid w:val="009242ED"/>
    <w:rsid w:val="009255FD"/>
    <w:rsid w:val="00925DBF"/>
    <w:rsid w:val="0092666A"/>
    <w:rsid w:val="00930D0C"/>
    <w:rsid w:val="00930E95"/>
    <w:rsid w:val="00935773"/>
    <w:rsid w:val="00935885"/>
    <w:rsid w:val="00935E5B"/>
    <w:rsid w:val="00935FEF"/>
    <w:rsid w:val="00937755"/>
    <w:rsid w:val="00940945"/>
    <w:rsid w:val="00940A30"/>
    <w:rsid w:val="00944030"/>
    <w:rsid w:val="0094430D"/>
    <w:rsid w:val="00946689"/>
    <w:rsid w:val="00947959"/>
    <w:rsid w:val="00947E7D"/>
    <w:rsid w:val="009507C7"/>
    <w:rsid w:val="0095094A"/>
    <w:rsid w:val="00952598"/>
    <w:rsid w:val="00952773"/>
    <w:rsid w:val="00953064"/>
    <w:rsid w:val="009531E3"/>
    <w:rsid w:val="0095428E"/>
    <w:rsid w:val="00955934"/>
    <w:rsid w:val="00960DA2"/>
    <w:rsid w:val="00961A1D"/>
    <w:rsid w:val="00961F19"/>
    <w:rsid w:val="0096213F"/>
    <w:rsid w:val="009628AE"/>
    <w:rsid w:val="00962BC8"/>
    <w:rsid w:val="009646E7"/>
    <w:rsid w:val="009656D6"/>
    <w:rsid w:val="00966A0E"/>
    <w:rsid w:val="00967AA0"/>
    <w:rsid w:val="009708D0"/>
    <w:rsid w:val="00971AA1"/>
    <w:rsid w:val="00973838"/>
    <w:rsid w:val="00973A96"/>
    <w:rsid w:val="00973C55"/>
    <w:rsid w:val="00976539"/>
    <w:rsid w:val="00976DF6"/>
    <w:rsid w:val="009772D6"/>
    <w:rsid w:val="00977B79"/>
    <w:rsid w:val="009808FB"/>
    <w:rsid w:val="00980D59"/>
    <w:rsid w:val="00982658"/>
    <w:rsid w:val="00983054"/>
    <w:rsid w:val="00983B63"/>
    <w:rsid w:val="00984512"/>
    <w:rsid w:val="0098552F"/>
    <w:rsid w:val="009856DB"/>
    <w:rsid w:val="0099081D"/>
    <w:rsid w:val="00990B17"/>
    <w:rsid w:val="00991169"/>
    <w:rsid w:val="009922CE"/>
    <w:rsid w:val="00992423"/>
    <w:rsid w:val="00992B98"/>
    <w:rsid w:val="00993EF4"/>
    <w:rsid w:val="009954A3"/>
    <w:rsid w:val="00995CD1"/>
    <w:rsid w:val="00996163"/>
    <w:rsid w:val="00996CE2"/>
    <w:rsid w:val="009973FA"/>
    <w:rsid w:val="009A13EF"/>
    <w:rsid w:val="009A147E"/>
    <w:rsid w:val="009A1D40"/>
    <w:rsid w:val="009A1EA5"/>
    <w:rsid w:val="009A27CA"/>
    <w:rsid w:val="009A2868"/>
    <w:rsid w:val="009A391F"/>
    <w:rsid w:val="009A420E"/>
    <w:rsid w:val="009A486F"/>
    <w:rsid w:val="009A5587"/>
    <w:rsid w:val="009A56B6"/>
    <w:rsid w:val="009A58AE"/>
    <w:rsid w:val="009A5F36"/>
    <w:rsid w:val="009A7218"/>
    <w:rsid w:val="009B04F8"/>
    <w:rsid w:val="009B1BDD"/>
    <w:rsid w:val="009B2BF7"/>
    <w:rsid w:val="009B4D66"/>
    <w:rsid w:val="009B538D"/>
    <w:rsid w:val="009B649A"/>
    <w:rsid w:val="009B675E"/>
    <w:rsid w:val="009B6DAC"/>
    <w:rsid w:val="009C1356"/>
    <w:rsid w:val="009C1E6E"/>
    <w:rsid w:val="009C2B41"/>
    <w:rsid w:val="009C4923"/>
    <w:rsid w:val="009C4B30"/>
    <w:rsid w:val="009C55E6"/>
    <w:rsid w:val="009C5608"/>
    <w:rsid w:val="009C6023"/>
    <w:rsid w:val="009C6362"/>
    <w:rsid w:val="009C72BA"/>
    <w:rsid w:val="009C7520"/>
    <w:rsid w:val="009C7CE0"/>
    <w:rsid w:val="009D00B5"/>
    <w:rsid w:val="009D09DF"/>
    <w:rsid w:val="009D0BBB"/>
    <w:rsid w:val="009D1C22"/>
    <w:rsid w:val="009D3139"/>
    <w:rsid w:val="009D4162"/>
    <w:rsid w:val="009D42A9"/>
    <w:rsid w:val="009D6FAE"/>
    <w:rsid w:val="009D7F9C"/>
    <w:rsid w:val="009E01DF"/>
    <w:rsid w:val="009E0483"/>
    <w:rsid w:val="009E04AD"/>
    <w:rsid w:val="009E04E6"/>
    <w:rsid w:val="009E09C8"/>
    <w:rsid w:val="009E0F00"/>
    <w:rsid w:val="009E368F"/>
    <w:rsid w:val="009E439B"/>
    <w:rsid w:val="009E48DF"/>
    <w:rsid w:val="009E68F5"/>
    <w:rsid w:val="009E6E16"/>
    <w:rsid w:val="009F00AA"/>
    <w:rsid w:val="009F0544"/>
    <w:rsid w:val="009F1A56"/>
    <w:rsid w:val="009F2627"/>
    <w:rsid w:val="009F30EE"/>
    <w:rsid w:val="009F4993"/>
    <w:rsid w:val="009F5057"/>
    <w:rsid w:val="009F600F"/>
    <w:rsid w:val="009F692A"/>
    <w:rsid w:val="009F6B64"/>
    <w:rsid w:val="009F6DB9"/>
    <w:rsid w:val="009F6ED7"/>
    <w:rsid w:val="009F733A"/>
    <w:rsid w:val="009F7C8C"/>
    <w:rsid w:val="009F7CD7"/>
    <w:rsid w:val="00A00716"/>
    <w:rsid w:val="00A0109C"/>
    <w:rsid w:val="00A02777"/>
    <w:rsid w:val="00A03E01"/>
    <w:rsid w:val="00A048E7"/>
    <w:rsid w:val="00A05201"/>
    <w:rsid w:val="00A05632"/>
    <w:rsid w:val="00A07AD6"/>
    <w:rsid w:val="00A11729"/>
    <w:rsid w:val="00A12330"/>
    <w:rsid w:val="00A12AAD"/>
    <w:rsid w:val="00A12C22"/>
    <w:rsid w:val="00A1315C"/>
    <w:rsid w:val="00A147F2"/>
    <w:rsid w:val="00A148FE"/>
    <w:rsid w:val="00A14F5A"/>
    <w:rsid w:val="00A164AB"/>
    <w:rsid w:val="00A16E63"/>
    <w:rsid w:val="00A2090A"/>
    <w:rsid w:val="00A21A8E"/>
    <w:rsid w:val="00A229C0"/>
    <w:rsid w:val="00A234EA"/>
    <w:rsid w:val="00A23868"/>
    <w:rsid w:val="00A2420A"/>
    <w:rsid w:val="00A2470A"/>
    <w:rsid w:val="00A269CA"/>
    <w:rsid w:val="00A26C14"/>
    <w:rsid w:val="00A2752B"/>
    <w:rsid w:val="00A27985"/>
    <w:rsid w:val="00A304F0"/>
    <w:rsid w:val="00A32421"/>
    <w:rsid w:val="00A33F4F"/>
    <w:rsid w:val="00A355FB"/>
    <w:rsid w:val="00A35F64"/>
    <w:rsid w:val="00A36798"/>
    <w:rsid w:val="00A370C9"/>
    <w:rsid w:val="00A37587"/>
    <w:rsid w:val="00A408AD"/>
    <w:rsid w:val="00A41147"/>
    <w:rsid w:val="00A41AD3"/>
    <w:rsid w:val="00A42C2F"/>
    <w:rsid w:val="00A43C1B"/>
    <w:rsid w:val="00A44DFF"/>
    <w:rsid w:val="00A46886"/>
    <w:rsid w:val="00A47778"/>
    <w:rsid w:val="00A5123A"/>
    <w:rsid w:val="00A5222D"/>
    <w:rsid w:val="00A549A8"/>
    <w:rsid w:val="00A55110"/>
    <w:rsid w:val="00A557AF"/>
    <w:rsid w:val="00A62C4E"/>
    <w:rsid w:val="00A631CE"/>
    <w:rsid w:val="00A63ECF"/>
    <w:rsid w:val="00A64CE5"/>
    <w:rsid w:val="00A65367"/>
    <w:rsid w:val="00A65DD1"/>
    <w:rsid w:val="00A671E2"/>
    <w:rsid w:val="00A6776C"/>
    <w:rsid w:val="00A701BB"/>
    <w:rsid w:val="00A703DC"/>
    <w:rsid w:val="00A70ABD"/>
    <w:rsid w:val="00A71D70"/>
    <w:rsid w:val="00A71E17"/>
    <w:rsid w:val="00A74F6C"/>
    <w:rsid w:val="00A832EE"/>
    <w:rsid w:val="00A83E61"/>
    <w:rsid w:val="00A84FB6"/>
    <w:rsid w:val="00A8510D"/>
    <w:rsid w:val="00A85BF8"/>
    <w:rsid w:val="00A85C0C"/>
    <w:rsid w:val="00A86933"/>
    <w:rsid w:val="00A873FC"/>
    <w:rsid w:val="00A87553"/>
    <w:rsid w:val="00A90A82"/>
    <w:rsid w:val="00A91CB8"/>
    <w:rsid w:val="00A92B6E"/>
    <w:rsid w:val="00A92DBB"/>
    <w:rsid w:val="00A93430"/>
    <w:rsid w:val="00A943AA"/>
    <w:rsid w:val="00A94E6D"/>
    <w:rsid w:val="00A95D1E"/>
    <w:rsid w:val="00A9603B"/>
    <w:rsid w:val="00AA0D20"/>
    <w:rsid w:val="00AA100E"/>
    <w:rsid w:val="00AA2B3D"/>
    <w:rsid w:val="00AA3099"/>
    <w:rsid w:val="00AA482C"/>
    <w:rsid w:val="00AA498D"/>
    <w:rsid w:val="00AA50E8"/>
    <w:rsid w:val="00AA5401"/>
    <w:rsid w:val="00AA553A"/>
    <w:rsid w:val="00AA621D"/>
    <w:rsid w:val="00AA70CE"/>
    <w:rsid w:val="00AB08DA"/>
    <w:rsid w:val="00AB1041"/>
    <w:rsid w:val="00AB2F33"/>
    <w:rsid w:val="00AB3C71"/>
    <w:rsid w:val="00AB43A6"/>
    <w:rsid w:val="00AB4605"/>
    <w:rsid w:val="00AB5E7C"/>
    <w:rsid w:val="00AC054A"/>
    <w:rsid w:val="00AC0735"/>
    <w:rsid w:val="00AC178D"/>
    <w:rsid w:val="00AC1F9F"/>
    <w:rsid w:val="00AC2419"/>
    <w:rsid w:val="00AC2954"/>
    <w:rsid w:val="00AC3040"/>
    <w:rsid w:val="00AC49E8"/>
    <w:rsid w:val="00AC4A93"/>
    <w:rsid w:val="00AC57D1"/>
    <w:rsid w:val="00AD3376"/>
    <w:rsid w:val="00AD68E7"/>
    <w:rsid w:val="00AD6961"/>
    <w:rsid w:val="00AD6B7F"/>
    <w:rsid w:val="00AE0038"/>
    <w:rsid w:val="00AE1391"/>
    <w:rsid w:val="00AE1CD8"/>
    <w:rsid w:val="00AE1F1D"/>
    <w:rsid w:val="00AE238F"/>
    <w:rsid w:val="00AE3E04"/>
    <w:rsid w:val="00AE7548"/>
    <w:rsid w:val="00AE75FF"/>
    <w:rsid w:val="00AF037D"/>
    <w:rsid w:val="00AF283A"/>
    <w:rsid w:val="00AF5359"/>
    <w:rsid w:val="00AF604C"/>
    <w:rsid w:val="00AF66FB"/>
    <w:rsid w:val="00AF6F13"/>
    <w:rsid w:val="00AF6FC1"/>
    <w:rsid w:val="00AF7649"/>
    <w:rsid w:val="00AF7A64"/>
    <w:rsid w:val="00B030B5"/>
    <w:rsid w:val="00B034DC"/>
    <w:rsid w:val="00B04103"/>
    <w:rsid w:val="00B041FD"/>
    <w:rsid w:val="00B04225"/>
    <w:rsid w:val="00B05887"/>
    <w:rsid w:val="00B065D5"/>
    <w:rsid w:val="00B07304"/>
    <w:rsid w:val="00B0773D"/>
    <w:rsid w:val="00B07D0B"/>
    <w:rsid w:val="00B101A4"/>
    <w:rsid w:val="00B10CAE"/>
    <w:rsid w:val="00B11F4D"/>
    <w:rsid w:val="00B1239E"/>
    <w:rsid w:val="00B12BA4"/>
    <w:rsid w:val="00B12F7F"/>
    <w:rsid w:val="00B132FE"/>
    <w:rsid w:val="00B13B12"/>
    <w:rsid w:val="00B14F11"/>
    <w:rsid w:val="00B152C8"/>
    <w:rsid w:val="00B157DC"/>
    <w:rsid w:val="00B159FD"/>
    <w:rsid w:val="00B1630F"/>
    <w:rsid w:val="00B16497"/>
    <w:rsid w:val="00B169B2"/>
    <w:rsid w:val="00B201FA"/>
    <w:rsid w:val="00B21230"/>
    <w:rsid w:val="00B21706"/>
    <w:rsid w:val="00B22289"/>
    <w:rsid w:val="00B2238F"/>
    <w:rsid w:val="00B237A2"/>
    <w:rsid w:val="00B24BDD"/>
    <w:rsid w:val="00B25BE4"/>
    <w:rsid w:val="00B265B8"/>
    <w:rsid w:val="00B27E28"/>
    <w:rsid w:val="00B30267"/>
    <w:rsid w:val="00B30635"/>
    <w:rsid w:val="00B30E3E"/>
    <w:rsid w:val="00B32956"/>
    <w:rsid w:val="00B331A3"/>
    <w:rsid w:val="00B3335B"/>
    <w:rsid w:val="00B34BD4"/>
    <w:rsid w:val="00B34F83"/>
    <w:rsid w:val="00B35209"/>
    <w:rsid w:val="00B354DF"/>
    <w:rsid w:val="00B36B4E"/>
    <w:rsid w:val="00B37E24"/>
    <w:rsid w:val="00B40AD1"/>
    <w:rsid w:val="00B41585"/>
    <w:rsid w:val="00B42A47"/>
    <w:rsid w:val="00B440FF"/>
    <w:rsid w:val="00B448C0"/>
    <w:rsid w:val="00B45B22"/>
    <w:rsid w:val="00B45C1E"/>
    <w:rsid w:val="00B46AE0"/>
    <w:rsid w:val="00B51871"/>
    <w:rsid w:val="00B5290B"/>
    <w:rsid w:val="00B52947"/>
    <w:rsid w:val="00B52A8E"/>
    <w:rsid w:val="00B52C61"/>
    <w:rsid w:val="00B55B6F"/>
    <w:rsid w:val="00B57C68"/>
    <w:rsid w:val="00B60A31"/>
    <w:rsid w:val="00B60C50"/>
    <w:rsid w:val="00B615E5"/>
    <w:rsid w:val="00B61E5C"/>
    <w:rsid w:val="00B62254"/>
    <w:rsid w:val="00B63775"/>
    <w:rsid w:val="00B64463"/>
    <w:rsid w:val="00B64A9F"/>
    <w:rsid w:val="00B6631D"/>
    <w:rsid w:val="00B671AA"/>
    <w:rsid w:val="00B677E9"/>
    <w:rsid w:val="00B715B9"/>
    <w:rsid w:val="00B72B09"/>
    <w:rsid w:val="00B731BE"/>
    <w:rsid w:val="00B739F2"/>
    <w:rsid w:val="00B77365"/>
    <w:rsid w:val="00B77BF7"/>
    <w:rsid w:val="00B809D9"/>
    <w:rsid w:val="00B80A1D"/>
    <w:rsid w:val="00B80EA3"/>
    <w:rsid w:val="00B8131A"/>
    <w:rsid w:val="00B82E44"/>
    <w:rsid w:val="00B84F39"/>
    <w:rsid w:val="00B850DF"/>
    <w:rsid w:val="00B851A1"/>
    <w:rsid w:val="00B87F03"/>
    <w:rsid w:val="00B90D57"/>
    <w:rsid w:val="00B91186"/>
    <w:rsid w:val="00B9179E"/>
    <w:rsid w:val="00B91C40"/>
    <w:rsid w:val="00B91DDB"/>
    <w:rsid w:val="00B91E3D"/>
    <w:rsid w:val="00B92172"/>
    <w:rsid w:val="00B94780"/>
    <w:rsid w:val="00B94FD3"/>
    <w:rsid w:val="00B96052"/>
    <w:rsid w:val="00B963A1"/>
    <w:rsid w:val="00B963BA"/>
    <w:rsid w:val="00B97447"/>
    <w:rsid w:val="00BA062F"/>
    <w:rsid w:val="00BA0772"/>
    <w:rsid w:val="00BA157E"/>
    <w:rsid w:val="00BA1A7A"/>
    <w:rsid w:val="00BA370F"/>
    <w:rsid w:val="00BA3A4B"/>
    <w:rsid w:val="00BA415D"/>
    <w:rsid w:val="00BA5E10"/>
    <w:rsid w:val="00BA716A"/>
    <w:rsid w:val="00BB0FF8"/>
    <w:rsid w:val="00BB1416"/>
    <w:rsid w:val="00BB347B"/>
    <w:rsid w:val="00BB3909"/>
    <w:rsid w:val="00BB4494"/>
    <w:rsid w:val="00BB4AA0"/>
    <w:rsid w:val="00BB4BE0"/>
    <w:rsid w:val="00BB5073"/>
    <w:rsid w:val="00BB68ED"/>
    <w:rsid w:val="00BB7203"/>
    <w:rsid w:val="00BB7635"/>
    <w:rsid w:val="00BB7A6D"/>
    <w:rsid w:val="00BC03E0"/>
    <w:rsid w:val="00BC1A9C"/>
    <w:rsid w:val="00BC1D04"/>
    <w:rsid w:val="00BC3E4A"/>
    <w:rsid w:val="00BC64CF"/>
    <w:rsid w:val="00BD0A4E"/>
    <w:rsid w:val="00BD22F0"/>
    <w:rsid w:val="00BD27BB"/>
    <w:rsid w:val="00BD28B8"/>
    <w:rsid w:val="00BD3C28"/>
    <w:rsid w:val="00BD4F4C"/>
    <w:rsid w:val="00BD50F3"/>
    <w:rsid w:val="00BD52CB"/>
    <w:rsid w:val="00BD542B"/>
    <w:rsid w:val="00BD6C5B"/>
    <w:rsid w:val="00BD6D0E"/>
    <w:rsid w:val="00BE0703"/>
    <w:rsid w:val="00BE0C94"/>
    <w:rsid w:val="00BE1753"/>
    <w:rsid w:val="00BE29A9"/>
    <w:rsid w:val="00BE2CC5"/>
    <w:rsid w:val="00BE3331"/>
    <w:rsid w:val="00BE46DF"/>
    <w:rsid w:val="00BE4A1E"/>
    <w:rsid w:val="00BE4CF1"/>
    <w:rsid w:val="00BE6294"/>
    <w:rsid w:val="00BE6667"/>
    <w:rsid w:val="00BE666C"/>
    <w:rsid w:val="00BE6E81"/>
    <w:rsid w:val="00BE7DEA"/>
    <w:rsid w:val="00BF1592"/>
    <w:rsid w:val="00BF1E5B"/>
    <w:rsid w:val="00BF293A"/>
    <w:rsid w:val="00BF2E91"/>
    <w:rsid w:val="00BF4B6E"/>
    <w:rsid w:val="00BF4DC3"/>
    <w:rsid w:val="00BF4DDF"/>
    <w:rsid w:val="00BF53F5"/>
    <w:rsid w:val="00BF5ACD"/>
    <w:rsid w:val="00BF662E"/>
    <w:rsid w:val="00BF68C4"/>
    <w:rsid w:val="00BF6C00"/>
    <w:rsid w:val="00BF7ACE"/>
    <w:rsid w:val="00BF7AD0"/>
    <w:rsid w:val="00BF7D4F"/>
    <w:rsid w:val="00C013A4"/>
    <w:rsid w:val="00C0268E"/>
    <w:rsid w:val="00C055FE"/>
    <w:rsid w:val="00C05AF0"/>
    <w:rsid w:val="00C06F5E"/>
    <w:rsid w:val="00C10B9C"/>
    <w:rsid w:val="00C13512"/>
    <w:rsid w:val="00C138F9"/>
    <w:rsid w:val="00C140E1"/>
    <w:rsid w:val="00C14538"/>
    <w:rsid w:val="00C1511D"/>
    <w:rsid w:val="00C152F5"/>
    <w:rsid w:val="00C15990"/>
    <w:rsid w:val="00C1781C"/>
    <w:rsid w:val="00C21342"/>
    <w:rsid w:val="00C26DF0"/>
    <w:rsid w:val="00C27041"/>
    <w:rsid w:val="00C271C1"/>
    <w:rsid w:val="00C30851"/>
    <w:rsid w:val="00C315BC"/>
    <w:rsid w:val="00C32B76"/>
    <w:rsid w:val="00C35E99"/>
    <w:rsid w:val="00C37A6E"/>
    <w:rsid w:val="00C40C35"/>
    <w:rsid w:val="00C426A3"/>
    <w:rsid w:val="00C45CFE"/>
    <w:rsid w:val="00C45E53"/>
    <w:rsid w:val="00C46509"/>
    <w:rsid w:val="00C473E9"/>
    <w:rsid w:val="00C5034A"/>
    <w:rsid w:val="00C50BFC"/>
    <w:rsid w:val="00C53651"/>
    <w:rsid w:val="00C538E8"/>
    <w:rsid w:val="00C53B09"/>
    <w:rsid w:val="00C544DE"/>
    <w:rsid w:val="00C54748"/>
    <w:rsid w:val="00C55ABE"/>
    <w:rsid w:val="00C5767D"/>
    <w:rsid w:val="00C57B0D"/>
    <w:rsid w:val="00C609F0"/>
    <w:rsid w:val="00C610FC"/>
    <w:rsid w:val="00C6246D"/>
    <w:rsid w:val="00C62745"/>
    <w:rsid w:val="00C648C5"/>
    <w:rsid w:val="00C64A3A"/>
    <w:rsid w:val="00C64C9C"/>
    <w:rsid w:val="00C65029"/>
    <w:rsid w:val="00C661F4"/>
    <w:rsid w:val="00C66C7B"/>
    <w:rsid w:val="00C67EA2"/>
    <w:rsid w:val="00C706C2"/>
    <w:rsid w:val="00C71142"/>
    <w:rsid w:val="00C7136A"/>
    <w:rsid w:val="00C71E03"/>
    <w:rsid w:val="00C721A1"/>
    <w:rsid w:val="00C73268"/>
    <w:rsid w:val="00C73858"/>
    <w:rsid w:val="00C74217"/>
    <w:rsid w:val="00C74A6E"/>
    <w:rsid w:val="00C7563B"/>
    <w:rsid w:val="00C7628A"/>
    <w:rsid w:val="00C773C1"/>
    <w:rsid w:val="00C8230B"/>
    <w:rsid w:val="00C8454F"/>
    <w:rsid w:val="00C85295"/>
    <w:rsid w:val="00C855B1"/>
    <w:rsid w:val="00C85C9B"/>
    <w:rsid w:val="00C860E7"/>
    <w:rsid w:val="00C87217"/>
    <w:rsid w:val="00C90A15"/>
    <w:rsid w:val="00C90E08"/>
    <w:rsid w:val="00C92202"/>
    <w:rsid w:val="00C926A2"/>
    <w:rsid w:val="00C932C4"/>
    <w:rsid w:val="00C937E7"/>
    <w:rsid w:val="00C9473E"/>
    <w:rsid w:val="00C947A4"/>
    <w:rsid w:val="00C94ACB"/>
    <w:rsid w:val="00C94C77"/>
    <w:rsid w:val="00C94E69"/>
    <w:rsid w:val="00C95D0F"/>
    <w:rsid w:val="00CA038B"/>
    <w:rsid w:val="00CA3148"/>
    <w:rsid w:val="00CA3351"/>
    <w:rsid w:val="00CA388C"/>
    <w:rsid w:val="00CA4980"/>
    <w:rsid w:val="00CA753B"/>
    <w:rsid w:val="00CA77EA"/>
    <w:rsid w:val="00CA7A99"/>
    <w:rsid w:val="00CA7BF8"/>
    <w:rsid w:val="00CA7FBC"/>
    <w:rsid w:val="00CB0B9E"/>
    <w:rsid w:val="00CB0C65"/>
    <w:rsid w:val="00CB16B7"/>
    <w:rsid w:val="00CB19B7"/>
    <w:rsid w:val="00CB1C66"/>
    <w:rsid w:val="00CB2169"/>
    <w:rsid w:val="00CB27CC"/>
    <w:rsid w:val="00CB295C"/>
    <w:rsid w:val="00CB70BE"/>
    <w:rsid w:val="00CC0062"/>
    <w:rsid w:val="00CC01FD"/>
    <w:rsid w:val="00CC091A"/>
    <w:rsid w:val="00CC1976"/>
    <w:rsid w:val="00CC2DF8"/>
    <w:rsid w:val="00CC6910"/>
    <w:rsid w:val="00CC735E"/>
    <w:rsid w:val="00CC7B1D"/>
    <w:rsid w:val="00CC7DC4"/>
    <w:rsid w:val="00CC7FEB"/>
    <w:rsid w:val="00CD21D9"/>
    <w:rsid w:val="00CD2515"/>
    <w:rsid w:val="00CD36EF"/>
    <w:rsid w:val="00CD3A32"/>
    <w:rsid w:val="00CD7A6A"/>
    <w:rsid w:val="00CE0DD6"/>
    <w:rsid w:val="00CE134E"/>
    <w:rsid w:val="00CE3C01"/>
    <w:rsid w:val="00CE4AC7"/>
    <w:rsid w:val="00CE50D0"/>
    <w:rsid w:val="00CE7B66"/>
    <w:rsid w:val="00CF1110"/>
    <w:rsid w:val="00CF3EBA"/>
    <w:rsid w:val="00CF44AF"/>
    <w:rsid w:val="00CF4A31"/>
    <w:rsid w:val="00CF69E0"/>
    <w:rsid w:val="00CF7D84"/>
    <w:rsid w:val="00CF7E4B"/>
    <w:rsid w:val="00CF7F0D"/>
    <w:rsid w:val="00D00B94"/>
    <w:rsid w:val="00D00EA1"/>
    <w:rsid w:val="00D019B5"/>
    <w:rsid w:val="00D04BAE"/>
    <w:rsid w:val="00D056CF"/>
    <w:rsid w:val="00D05C9A"/>
    <w:rsid w:val="00D06310"/>
    <w:rsid w:val="00D0643B"/>
    <w:rsid w:val="00D133F1"/>
    <w:rsid w:val="00D13F9F"/>
    <w:rsid w:val="00D141F2"/>
    <w:rsid w:val="00D14548"/>
    <w:rsid w:val="00D1537A"/>
    <w:rsid w:val="00D15F86"/>
    <w:rsid w:val="00D16927"/>
    <w:rsid w:val="00D20B0E"/>
    <w:rsid w:val="00D2183D"/>
    <w:rsid w:val="00D21F5B"/>
    <w:rsid w:val="00D22666"/>
    <w:rsid w:val="00D2284C"/>
    <w:rsid w:val="00D22BCC"/>
    <w:rsid w:val="00D22EA0"/>
    <w:rsid w:val="00D2476E"/>
    <w:rsid w:val="00D273D6"/>
    <w:rsid w:val="00D303F6"/>
    <w:rsid w:val="00D306EF"/>
    <w:rsid w:val="00D31540"/>
    <w:rsid w:val="00D31894"/>
    <w:rsid w:val="00D31CA0"/>
    <w:rsid w:val="00D320E4"/>
    <w:rsid w:val="00D32ED5"/>
    <w:rsid w:val="00D33710"/>
    <w:rsid w:val="00D34619"/>
    <w:rsid w:val="00D34F02"/>
    <w:rsid w:val="00D35CE3"/>
    <w:rsid w:val="00D400FB"/>
    <w:rsid w:val="00D40445"/>
    <w:rsid w:val="00D40951"/>
    <w:rsid w:val="00D423AB"/>
    <w:rsid w:val="00D426C3"/>
    <w:rsid w:val="00D438B2"/>
    <w:rsid w:val="00D47291"/>
    <w:rsid w:val="00D50331"/>
    <w:rsid w:val="00D50485"/>
    <w:rsid w:val="00D5089E"/>
    <w:rsid w:val="00D50B77"/>
    <w:rsid w:val="00D5251D"/>
    <w:rsid w:val="00D54357"/>
    <w:rsid w:val="00D54363"/>
    <w:rsid w:val="00D5441B"/>
    <w:rsid w:val="00D54D39"/>
    <w:rsid w:val="00D57792"/>
    <w:rsid w:val="00D57CC7"/>
    <w:rsid w:val="00D60A5A"/>
    <w:rsid w:val="00D60D3C"/>
    <w:rsid w:val="00D61A9F"/>
    <w:rsid w:val="00D650DF"/>
    <w:rsid w:val="00D66164"/>
    <w:rsid w:val="00D6725D"/>
    <w:rsid w:val="00D6782C"/>
    <w:rsid w:val="00D703DE"/>
    <w:rsid w:val="00D71383"/>
    <w:rsid w:val="00D736B6"/>
    <w:rsid w:val="00D73F4D"/>
    <w:rsid w:val="00D73FCD"/>
    <w:rsid w:val="00D74225"/>
    <w:rsid w:val="00D74BF5"/>
    <w:rsid w:val="00D75D4E"/>
    <w:rsid w:val="00D76356"/>
    <w:rsid w:val="00D76A9A"/>
    <w:rsid w:val="00D812D9"/>
    <w:rsid w:val="00D83DEC"/>
    <w:rsid w:val="00D856C5"/>
    <w:rsid w:val="00D85CFE"/>
    <w:rsid w:val="00D87879"/>
    <w:rsid w:val="00D90C46"/>
    <w:rsid w:val="00D94F24"/>
    <w:rsid w:val="00D95B92"/>
    <w:rsid w:val="00D96A60"/>
    <w:rsid w:val="00D96D84"/>
    <w:rsid w:val="00DA08A6"/>
    <w:rsid w:val="00DA1552"/>
    <w:rsid w:val="00DA1AE2"/>
    <w:rsid w:val="00DA3BF0"/>
    <w:rsid w:val="00DA5447"/>
    <w:rsid w:val="00DA716F"/>
    <w:rsid w:val="00DB0DAC"/>
    <w:rsid w:val="00DB1417"/>
    <w:rsid w:val="00DB1CEB"/>
    <w:rsid w:val="00DB1D09"/>
    <w:rsid w:val="00DB1DAC"/>
    <w:rsid w:val="00DB43D2"/>
    <w:rsid w:val="00DB725F"/>
    <w:rsid w:val="00DB73AB"/>
    <w:rsid w:val="00DB73D7"/>
    <w:rsid w:val="00DC0700"/>
    <w:rsid w:val="00DC16A4"/>
    <w:rsid w:val="00DC2990"/>
    <w:rsid w:val="00DC33FD"/>
    <w:rsid w:val="00DC3F7C"/>
    <w:rsid w:val="00DC4969"/>
    <w:rsid w:val="00DC517F"/>
    <w:rsid w:val="00DC7D3F"/>
    <w:rsid w:val="00DD00B0"/>
    <w:rsid w:val="00DD08F2"/>
    <w:rsid w:val="00DD18B5"/>
    <w:rsid w:val="00DD23BE"/>
    <w:rsid w:val="00DD2ED9"/>
    <w:rsid w:val="00DD360C"/>
    <w:rsid w:val="00DD464F"/>
    <w:rsid w:val="00DD49E1"/>
    <w:rsid w:val="00DD4AE5"/>
    <w:rsid w:val="00DD5381"/>
    <w:rsid w:val="00DD56F9"/>
    <w:rsid w:val="00DD6102"/>
    <w:rsid w:val="00DD62EE"/>
    <w:rsid w:val="00DD72E4"/>
    <w:rsid w:val="00DD7769"/>
    <w:rsid w:val="00DE115B"/>
    <w:rsid w:val="00DE29E1"/>
    <w:rsid w:val="00DE311B"/>
    <w:rsid w:val="00DE319D"/>
    <w:rsid w:val="00DE323A"/>
    <w:rsid w:val="00DE35DB"/>
    <w:rsid w:val="00DE472C"/>
    <w:rsid w:val="00DE498E"/>
    <w:rsid w:val="00DE55B4"/>
    <w:rsid w:val="00DE639A"/>
    <w:rsid w:val="00DE7D37"/>
    <w:rsid w:val="00DF1571"/>
    <w:rsid w:val="00DF16B4"/>
    <w:rsid w:val="00DF25B3"/>
    <w:rsid w:val="00DF3269"/>
    <w:rsid w:val="00DF4376"/>
    <w:rsid w:val="00DF51D8"/>
    <w:rsid w:val="00E00267"/>
    <w:rsid w:val="00E00C11"/>
    <w:rsid w:val="00E01232"/>
    <w:rsid w:val="00E02052"/>
    <w:rsid w:val="00E03353"/>
    <w:rsid w:val="00E0450E"/>
    <w:rsid w:val="00E048B4"/>
    <w:rsid w:val="00E05DAA"/>
    <w:rsid w:val="00E069B2"/>
    <w:rsid w:val="00E06AE7"/>
    <w:rsid w:val="00E100B2"/>
    <w:rsid w:val="00E10B86"/>
    <w:rsid w:val="00E10C93"/>
    <w:rsid w:val="00E10E3E"/>
    <w:rsid w:val="00E115D8"/>
    <w:rsid w:val="00E12D4C"/>
    <w:rsid w:val="00E1427C"/>
    <w:rsid w:val="00E142B7"/>
    <w:rsid w:val="00E145E0"/>
    <w:rsid w:val="00E1594D"/>
    <w:rsid w:val="00E16DAC"/>
    <w:rsid w:val="00E17B10"/>
    <w:rsid w:val="00E21D81"/>
    <w:rsid w:val="00E238BD"/>
    <w:rsid w:val="00E24348"/>
    <w:rsid w:val="00E25A0C"/>
    <w:rsid w:val="00E25E00"/>
    <w:rsid w:val="00E2614A"/>
    <w:rsid w:val="00E26765"/>
    <w:rsid w:val="00E27709"/>
    <w:rsid w:val="00E310F7"/>
    <w:rsid w:val="00E33408"/>
    <w:rsid w:val="00E337CC"/>
    <w:rsid w:val="00E33811"/>
    <w:rsid w:val="00E33E46"/>
    <w:rsid w:val="00E33EAA"/>
    <w:rsid w:val="00E35D57"/>
    <w:rsid w:val="00E36CB1"/>
    <w:rsid w:val="00E37787"/>
    <w:rsid w:val="00E40583"/>
    <w:rsid w:val="00E41643"/>
    <w:rsid w:val="00E421E2"/>
    <w:rsid w:val="00E427CC"/>
    <w:rsid w:val="00E42C9D"/>
    <w:rsid w:val="00E430F1"/>
    <w:rsid w:val="00E443BF"/>
    <w:rsid w:val="00E45141"/>
    <w:rsid w:val="00E45C5E"/>
    <w:rsid w:val="00E4628A"/>
    <w:rsid w:val="00E47283"/>
    <w:rsid w:val="00E47722"/>
    <w:rsid w:val="00E51D2D"/>
    <w:rsid w:val="00E51E05"/>
    <w:rsid w:val="00E52B50"/>
    <w:rsid w:val="00E52BFD"/>
    <w:rsid w:val="00E54343"/>
    <w:rsid w:val="00E55883"/>
    <w:rsid w:val="00E56216"/>
    <w:rsid w:val="00E600F6"/>
    <w:rsid w:val="00E60526"/>
    <w:rsid w:val="00E6080F"/>
    <w:rsid w:val="00E60D71"/>
    <w:rsid w:val="00E6145A"/>
    <w:rsid w:val="00E6214F"/>
    <w:rsid w:val="00E62F14"/>
    <w:rsid w:val="00E635D3"/>
    <w:rsid w:val="00E65E98"/>
    <w:rsid w:val="00E671BE"/>
    <w:rsid w:val="00E677D2"/>
    <w:rsid w:val="00E71FA2"/>
    <w:rsid w:val="00E7281F"/>
    <w:rsid w:val="00E73D61"/>
    <w:rsid w:val="00E769E8"/>
    <w:rsid w:val="00E76BED"/>
    <w:rsid w:val="00E76F66"/>
    <w:rsid w:val="00E7759E"/>
    <w:rsid w:val="00E802E8"/>
    <w:rsid w:val="00E825EB"/>
    <w:rsid w:val="00E8288E"/>
    <w:rsid w:val="00E8344C"/>
    <w:rsid w:val="00E83CCA"/>
    <w:rsid w:val="00E9278D"/>
    <w:rsid w:val="00E92956"/>
    <w:rsid w:val="00E9439B"/>
    <w:rsid w:val="00E962AE"/>
    <w:rsid w:val="00E96980"/>
    <w:rsid w:val="00E96A8D"/>
    <w:rsid w:val="00E96F51"/>
    <w:rsid w:val="00E97862"/>
    <w:rsid w:val="00E97E98"/>
    <w:rsid w:val="00EA040F"/>
    <w:rsid w:val="00EA256C"/>
    <w:rsid w:val="00EA27B2"/>
    <w:rsid w:val="00EA3828"/>
    <w:rsid w:val="00EA3B0B"/>
    <w:rsid w:val="00EA3ED7"/>
    <w:rsid w:val="00EA4C28"/>
    <w:rsid w:val="00EA56AB"/>
    <w:rsid w:val="00EA573F"/>
    <w:rsid w:val="00EA5A8F"/>
    <w:rsid w:val="00EB1CB6"/>
    <w:rsid w:val="00EB1DA6"/>
    <w:rsid w:val="00EB4D6C"/>
    <w:rsid w:val="00EB6018"/>
    <w:rsid w:val="00EB6843"/>
    <w:rsid w:val="00EB6E2E"/>
    <w:rsid w:val="00EB6E42"/>
    <w:rsid w:val="00EB7090"/>
    <w:rsid w:val="00EB7BB2"/>
    <w:rsid w:val="00EC0F68"/>
    <w:rsid w:val="00EC1597"/>
    <w:rsid w:val="00EC3A70"/>
    <w:rsid w:val="00EC4A49"/>
    <w:rsid w:val="00EC6407"/>
    <w:rsid w:val="00EC7901"/>
    <w:rsid w:val="00EC7F23"/>
    <w:rsid w:val="00ED08CA"/>
    <w:rsid w:val="00ED1244"/>
    <w:rsid w:val="00ED1561"/>
    <w:rsid w:val="00ED2140"/>
    <w:rsid w:val="00ED27CE"/>
    <w:rsid w:val="00ED7CB4"/>
    <w:rsid w:val="00EE022F"/>
    <w:rsid w:val="00EE216B"/>
    <w:rsid w:val="00EE2757"/>
    <w:rsid w:val="00EE2907"/>
    <w:rsid w:val="00EE2B4C"/>
    <w:rsid w:val="00EE79B6"/>
    <w:rsid w:val="00EF0F4F"/>
    <w:rsid w:val="00EF13DF"/>
    <w:rsid w:val="00EF15CB"/>
    <w:rsid w:val="00EF2CF0"/>
    <w:rsid w:val="00EF3A1E"/>
    <w:rsid w:val="00EF454E"/>
    <w:rsid w:val="00EF6A46"/>
    <w:rsid w:val="00EF748B"/>
    <w:rsid w:val="00F00674"/>
    <w:rsid w:val="00F00C94"/>
    <w:rsid w:val="00F023C0"/>
    <w:rsid w:val="00F0241D"/>
    <w:rsid w:val="00F02988"/>
    <w:rsid w:val="00F03397"/>
    <w:rsid w:val="00F03D87"/>
    <w:rsid w:val="00F0500D"/>
    <w:rsid w:val="00F0546C"/>
    <w:rsid w:val="00F056A9"/>
    <w:rsid w:val="00F071E6"/>
    <w:rsid w:val="00F10B31"/>
    <w:rsid w:val="00F1188F"/>
    <w:rsid w:val="00F119D4"/>
    <w:rsid w:val="00F1245C"/>
    <w:rsid w:val="00F126E2"/>
    <w:rsid w:val="00F14319"/>
    <w:rsid w:val="00F14A1B"/>
    <w:rsid w:val="00F15F03"/>
    <w:rsid w:val="00F17248"/>
    <w:rsid w:val="00F20011"/>
    <w:rsid w:val="00F2054D"/>
    <w:rsid w:val="00F20FBF"/>
    <w:rsid w:val="00F210FC"/>
    <w:rsid w:val="00F21DD2"/>
    <w:rsid w:val="00F22084"/>
    <w:rsid w:val="00F22E87"/>
    <w:rsid w:val="00F233DC"/>
    <w:rsid w:val="00F238B3"/>
    <w:rsid w:val="00F23FD1"/>
    <w:rsid w:val="00F249C7"/>
    <w:rsid w:val="00F251C9"/>
    <w:rsid w:val="00F25DFB"/>
    <w:rsid w:val="00F26005"/>
    <w:rsid w:val="00F26B03"/>
    <w:rsid w:val="00F3177F"/>
    <w:rsid w:val="00F3269B"/>
    <w:rsid w:val="00F32DDD"/>
    <w:rsid w:val="00F330E4"/>
    <w:rsid w:val="00F334C0"/>
    <w:rsid w:val="00F34CCD"/>
    <w:rsid w:val="00F3516A"/>
    <w:rsid w:val="00F35569"/>
    <w:rsid w:val="00F3689D"/>
    <w:rsid w:val="00F36A50"/>
    <w:rsid w:val="00F36CFC"/>
    <w:rsid w:val="00F371A8"/>
    <w:rsid w:val="00F40B70"/>
    <w:rsid w:val="00F40D26"/>
    <w:rsid w:val="00F41A02"/>
    <w:rsid w:val="00F4370D"/>
    <w:rsid w:val="00F4378A"/>
    <w:rsid w:val="00F45390"/>
    <w:rsid w:val="00F462C5"/>
    <w:rsid w:val="00F46E04"/>
    <w:rsid w:val="00F50D27"/>
    <w:rsid w:val="00F52A9B"/>
    <w:rsid w:val="00F5312A"/>
    <w:rsid w:val="00F536B7"/>
    <w:rsid w:val="00F53EF7"/>
    <w:rsid w:val="00F54DF4"/>
    <w:rsid w:val="00F54E07"/>
    <w:rsid w:val="00F54E9E"/>
    <w:rsid w:val="00F5506E"/>
    <w:rsid w:val="00F568ED"/>
    <w:rsid w:val="00F57C18"/>
    <w:rsid w:val="00F63346"/>
    <w:rsid w:val="00F65272"/>
    <w:rsid w:val="00F655D7"/>
    <w:rsid w:val="00F663FA"/>
    <w:rsid w:val="00F66E46"/>
    <w:rsid w:val="00F720DD"/>
    <w:rsid w:val="00F7225B"/>
    <w:rsid w:val="00F72920"/>
    <w:rsid w:val="00F73923"/>
    <w:rsid w:val="00F747B3"/>
    <w:rsid w:val="00F75396"/>
    <w:rsid w:val="00F75DD5"/>
    <w:rsid w:val="00F8180C"/>
    <w:rsid w:val="00F82630"/>
    <w:rsid w:val="00F83B65"/>
    <w:rsid w:val="00F844B5"/>
    <w:rsid w:val="00F84B2E"/>
    <w:rsid w:val="00F85BA8"/>
    <w:rsid w:val="00F86226"/>
    <w:rsid w:val="00F87ADE"/>
    <w:rsid w:val="00F90172"/>
    <w:rsid w:val="00F9140C"/>
    <w:rsid w:val="00F91D82"/>
    <w:rsid w:val="00F91F76"/>
    <w:rsid w:val="00F924BE"/>
    <w:rsid w:val="00F93590"/>
    <w:rsid w:val="00F9369D"/>
    <w:rsid w:val="00F94229"/>
    <w:rsid w:val="00F96736"/>
    <w:rsid w:val="00F96795"/>
    <w:rsid w:val="00FA08E4"/>
    <w:rsid w:val="00FA0D71"/>
    <w:rsid w:val="00FA3643"/>
    <w:rsid w:val="00FA39D0"/>
    <w:rsid w:val="00FA44FF"/>
    <w:rsid w:val="00FA512A"/>
    <w:rsid w:val="00FA5597"/>
    <w:rsid w:val="00FA582A"/>
    <w:rsid w:val="00FA6ABB"/>
    <w:rsid w:val="00FA6EAF"/>
    <w:rsid w:val="00FA6FA1"/>
    <w:rsid w:val="00FA7697"/>
    <w:rsid w:val="00FB104B"/>
    <w:rsid w:val="00FB14FD"/>
    <w:rsid w:val="00FB1E77"/>
    <w:rsid w:val="00FB2536"/>
    <w:rsid w:val="00FB25AE"/>
    <w:rsid w:val="00FB568F"/>
    <w:rsid w:val="00FB5838"/>
    <w:rsid w:val="00FC35ED"/>
    <w:rsid w:val="00FC3D06"/>
    <w:rsid w:val="00FC46FF"/>
    <w:rsid w:val="00FC4A36"/>
    <w:rsid w:val="00FC533C"/>
    <w:rsid w:val="00FC7A01"/>
    <w:rsid w:val="00FD05FF"/>
    <w:rsid w:val="00FD0677"/>
    <w:rsid w:val="00FD0748"/>
    <w:rsid w:val="00FD1320"/>
    <w:rsid w:val="00FD1FB7"/>
    <w:rsid w:val="00FD2886"/>
    <w:rsid w:val="00FD4210"/>
    <w:rsid w:val="00FD45FA"/>
    <w:rsid w:val="00FD5569"/>
    <w:rsid w:val="00FD6288"/>
    <w:rsid w:val="00FD7A15"/>
    <w:rsid w:val="00FD7B71"/>
    <w:rsid w:val="00FE0036"/>
    <w:rsid w:val="00FE12E4"/>
    <w:rsid w:val="00FE1BFD"/>
    <w:rsid w:val="00FE1CA0"/>
    <w:rsid w:val="00FE298B"/>
    <w:rsid w:val="00FE2AAA"/>
    <w:rsid w:val="00FE42F6"/>
    <w:rsid w:val="00FE5B01"/>
    <w:rsid w:val="00FE5DA0"/>
    <w:rsid w:val="00FE672B"/>
    <w:rsid w:val="00FF06DB"/>
    <w:rsid w:val="00FF0999"/>
    <w:rsid w:val="00FF0A87"/>
    <w:rsid w:val="00FF0B65"/>
    <w:rsid w:val="00FF1448"/>
    <w:rsid w:val="00FF2B2F"/>
    <w:rsid w:val="00FF2B39"/>
    <w:rsid w:val="00FF2F9C"/>
    <w:rsid w:val="00FF3449"/>
    <w:rsid w:val="00FF3670"/>
    <w:rsid w:val="00FF36AE"/>
    <w:rsid w:val="00FF59C0"/>
    <w:rsid w:val="00FF63BE"/>
    <w:rsid w:val="00FF6E47"/>
    <w:rsid w:val="00FF72B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2FAE5C8"/>
  <w15:chartTrackingRefBased/>
  <w15:docId w15:val="{D412C441-E94F-4670-9D85-6353E0E911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543CFA"/>
    <w:pPr>
      <w:spacing w:line="480" w:lineRule="auto"/>
    </w:pPr>
    <w:rPr>
      <w:rFonts w:ascii="Times New Roman" w:hAnsi="Times New Roman"/>
      <w:sz w:val="24"/>
    </w:rPr>
  </w:style>
  <w:style w:type="paragraph" w:styleId="Heading1">
    <w:name w:val="heading 1"/>
    <w:basedOn w:val="Normal"/>
    <w:next w:val="Normal"/>
    <w:link w:val="Heading1Char"/>
    <w:uiPriority w:val="9"/>
    <w:qFormat/>
    <w:rsid w:val="00543CFA"/>
    <w:pPr>
      <w:keepNext/>
      <w:keepLines/>
      <w:spacing w:before="240" w:after="240"/>
      <w:outlineLvl w:val="0"/>
    </w:pPr>
    <w:rPr>
      <w:rFonts w:eastAsiaTheme="majorEastAsia" w:cstheme="majorBidi"/>
      <w:b/>
      <w:szCs w:val="32"/>
    </w:rPr>
  </w:style>
  <w:style w:type="paragraph" w:styleId="Heading2">
    <w:name w:val="heading 2"/>
    <w:basedOn w:val="Normal"/>
    <w:next w:val="Normal"/>
    <w:link w:val="Heading2Char"/>
    <w:qFormat/>
    <w:rsid w:val="00A9603B"/>
    <w:pPr>
      <w:spacing w:before="240" w:after="240" w:line="240" w:lineRule="auto"/>
      <w:outlineLvl w:val="1"/>
    </w:pPr>
    <w:rPr>
      <w:rFonts w:eastAsia="Times New Roman" w:cs="Times New Roman"/>
      <w:b/>
      <w:bCs/>
      <w:i/>
      <w:color w:val="000000"/>
      <w:kern w:val="28"/>
      <w:szCs w:val="24"/>
      <w:lang w:val="en-CA" w:eastAsia="en-CA"/>
    </w:rPr>
  </w:style>
  <w:style w:type="paragraph" w:styleId="Heading3">
    <w:name w:val="heading 3"/>
    <w:basedOn w:val="Normal"/>
    <w:next w:val="Normal"/>
    <w:link w:val="Heading3Char"/>
    <w:uiPriority w:val="9"/>
    <w:unhideWhenUsed/>
    <w:qFormat/>
    <w:rsid w:val="00A9603B"/>
    <w:pPr>
      <w:keepNext/>
      <w:keepLines/>
      <w:spacing w:before="240" w:after="240" w:line="240" w:lineRule="auto"/>
      <w:outlineLvl w:val="2"/>
    </w:pPr>
    <w:rPr>
      <w:rFonts w:eastAsiaTheme="majorEastAsia" w:cstheme="majorBidi"/>
      <w:i/>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B14F11"/>
    <w:pPr>
      <w:tabs>
        <w:tab w:val="center" w:pos="4703"/>
        <w:tab w:val="right" w:pos="9406"/>
      </w:tabs>
      <w:spacing w:after="0" w:line="240" w:lineRule="auto"/>
    </w:pPr>
  </w:style>
  <w:style w:type="character" w:customStyle="1" w:styleId="HeaderChar">
    <w:name w:val="Header Char"/>
    <w:basedOn w:val="DefaultParagraphFont"/>
    <w:link w:val="Header"/>
    <w:uiPriority w:val="99"/>
    <w:rsid w:val="00B14F11"/>
  </w:style>
  <w:style w:type="paragraph" w:styleId="Footer">
    <w:name w:val="footer"/>
    <w:basedOn w:val="Normal"/>
    <w:link w:val="FooterChar"/>
    <w:uiPriority w:val="99"/>
    <w:unhideWhenUsed/>
    <w:rsid w:val="00B14F11"/>
    <w:pPr>
      <w:tabs>
        <w:tab w:val="center" w:pos="4703"/>
        <w:tab w:val="right" w:pos="9406"/>
      </w:tabs>
      <w:spacing w:after="0" w:line="240" w:lineRule="auto"/>
    </w:pPr>
  </w:style>
  <w:style w:type="character" w:customStyle="1" w:styleId="FooterChar">
    <w:name w:val="Footer Char"/>
    <w:basedOn w:val="DefaultParagraphFont"/>
    <w:link w:val="Footer"/>
    <w:uiPriority w:val="99"/>
    <w:rsid w:val="00B14F11"/>
  </w:style>
  <w:style w:type="character" w:customStyle="1" w:styleId="Heading2Char">
    <w:name w:val="Heading 2 Char"/>
    <w:basedOn w:val="DefaultParagraphFont"/>
    <w:link w:val="Heading2"/>
    <w:rsid w:val="00A9603B"/>
    <w:rPr>
      <w:rFonts w:ascii="Times New Roman" w:eastAsia="Times New Roman" w:hAnsi="Times New Roman" w:cs="Times New Roman"/>
      <w:b/>
      <w:bCs/>
      <w:i/>
      <w:color w:val="000000"/>
      <w:kern w:val="28"/>
      <w:sz w:val="24"/>
      <w:szCs w:val="24"/>
      <w:lang w:val="en-CA" w:eastAsia="en-CA"/>
    </w:rPr>
  </w:style>
  <w:style w:type="character" w:styleId="CommentReference">
    <w:name w:val="annotation reference"/>
    <w:basedOn w:val="DefaultParagraphFont"/>
    <w:uiPriority w:val="99"/>
    <w:semiHidden/>
    <w:unhideWhenUsed/>
    <w:rsid w:val="007E52CF"/>
    <w:rPr>
      <w:sz w:val="16"/>
      <w:szCs w:val="16"/>
    </w:rPr>
  </w:style>
  <w:style w:type="paragraph" w:styleId="CommentText">
    <w:name w:val="annotation text"/>
    <w:basedOn w:val="Normal"/>
    <w:link w:val="CommentTextChar"/>
    <w:uiPriority w:val="99"/>
    <w:semiHidden/>
    <w:unhideWhenUsed/>
    <w:rsid w:val="007E52CF"/>
    <w:pPr>
      <w:spacing w:line="240" w:lineRule="auto"/>
    </w:pPr>
    <w:rPr>
      <w:sz w:val="20"/>
      <w:szCs w:val="20"/>
    </w:rPr>
  </w:style>
  <w:style w:type="character" w:customStyle="1" w:styleId="CommentTextChar">
    <w:name w:val="Comment Text Char"/>
    <w:basedOn w:val="DefaultParagraphFont"/>
    <w:link w:val="CommentText"/>
    <w:uiPriority w:val="99"/>
    <w:semiHidden/>
    <w:rsid w:val="007E52CF"/>
    <w:rPr>
      <w:sz w:val="20"/>
      <w:szCs w:val="20"/>
    </w:rPr>
  </w:style>
  <w:style w:type="paragraph" w:styleId="CommentSubject">
    <w:name w:val="annotation subject"/>
    <w:basedOn w:val="CommentText"/>
    <w:next w:val="CommentText"/>
    <w:link w:val="CommentSubjectChar"/>
    <w:uiPriority w:val="99"/>
    <w:semiHidden/>
    <w:unhideWhenUsed/>
    <w:rsid w:val="007E52CF"/>
    <w:rPr>
      <w:b/>
      <w:bCs/>
    </w:rPr>
  </w:style>
  <w:style w:type="character" w:customStyle="1" w:styleId="CommentSubjectChar">
    <w:name w:val="Comment Subject Char"/>
    <w:basedOn w:val="CommentTextChar"/>
    <w:link w:val="CommentSubject"/>
    <w:uiPriority w:val="99"/>
    <w:semiHidden/>
    <w:rsid w:val="007E52CF"/>
    <w:rPr>
      <w:b/>
      <w:bCs/>
      <w:sz w:val="20"/>
      <w:szCs w:val="20"/>
    </w:rPr>
  </w:style>
  <w:style w:type="paragraph" w:styleId="BalloonText">
    <w:name w:val="Balloon Text"/>
    <w:basedOn w:val="Normal"/>
    <w:link w:val="BalloonTextChar"/>
    <w:uiPriority w:val="99"/>
    <w:semiHidden/>
    <w:unhideWhenUsed/>
    <w:rsid w:val="007E52C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E52CF"/>
    <w:rPr>
      <w:rFonts w:ascii="Segoe UI" w:hAnsi="Segoe UI" w:cs="Segoe UI"/>
      <w:sz w:val="18"/>
      <w:szCs w:val="18"/>
    </w:rPr>
  </w:style>
  <w:style w:type="character" w:styleId="LineNumber">
    <w:name w:val="line number"/>
    <w:basedOn w:val="DefaultParagraphFont"/>
    <w:uiPriority w:val="99"/>
    <w:semiHidden/>
    <w:unhideWhenUsed/>
    <w:rsid w:val="00B64A9F"/>
  </w:style>
  <w:style w:type="paragraph" w:styleId="EndnoteText">
    <w:name w:val="endnote text"/>
    <w:basedOn w:val="Normal"/>
    <w:link w:val="EndnoteTextChar"/>
    <w:uiPriority w:val="99"/>
    <w:semiHidden/>
    <w:unhideWhenUsed/>
    <w:rsid w:val="00237421"/>
    <w:pPr>
      <w:spacing w:after="0" w:line="240" w:lineRule="auto"/>
    </w:pPr>
    <w:rPr>
      <w:sz w:val="20"/>
      <w:szCs w:val="20"/>
    </w:rPr>
  </w:style>
  <w:style w:type="character" w:customStyle="1" w:styleId="EndnoteTextChar">
    <w:name w:val="Endnote Text Char"/>
    <w:basedOn w:val="DefaultParagraphFont"/>
    <w:link w:val="EndnoteText"/>
    <w:uiPriority w:val="99"/>
    <w:semiHidden/>
    <w:rsid w:val="00237421"/>
    <w:rPr>
      <w:sz w:val="20"/>
      <w:szCs w:val="20"/>
    </w:rPr>
  </w:style>
  <w:style w:type="character" w:styleId="EndnoteReference">
    <w:name w:val="endnote reference"/>
    <w:basedOn w:val="DefaultParagraphFont"/>
    <w:uiPriority w:val="99"/>
    <w:semiHidden/>
    <w:unhideWhenUsed/>
    <w:rsid w:val="00237421"/>
    <w:rPr>
      <w:vertAlign w:val="superscript"/>
    </w:rPr>
  </w:style>
  <w:style w:type="paragraph" w:styleId="NormalWeb">
    <w:name w:val="Normal (Web)"/>
    <w:basedOn w:val="Normal"/>
    <w:uiPriority w:val="99"/>
    <w:semiHidden/>
    <w:unhideWhenUsed/>
    <w:rsid w:val="00E6145A"/>
    <w:pPr>
      <w:spacing w:before="100" w:beforeAutospacing="1" w:after="100" w:afterAutospacing="1" w:line="240" w:lineRule="auto"/>
    </w:pPr>
    <w:rPr>
      <w:rFonts w:eastAsia="Times New Roman" w:cs="Times New Roman"/>
      <w:szCs w:val="24"/>
      <w:lang w:val="en-GB" w:eastAsia="en-GB"/>
    </w:rPr>
  </w:style>
  <w:style w:type="character" w:styleId="Hyperlink">
    <w:name w:val="Hyperlink"/>
    <w:basedOn w:val="DefaultParagraphFont"/>
    <w:uiPriority w:val="99"/>
    <w:unhideWhenUsed/>
    <w:rsid w:val="00E6145A"/>
    <w:rPr>
      <w:color w:val="0000FF"/>
      <w:u w:val="single"/>
    </w:rPr>
  </w:style>
  <w:style w:type="character" w:styleId="PlaceholderText">
    <w:name w:val="Placeholder Text"/>
    <w:basedOn w:val="DefaultParagraphFont"/>
    <w:uiPriority w:val="99"/>
    <w:semiHidden/>
    <w:rsid w:val="001E79A9"/>
    <w:rPr>
      <w:color w:val="808080"/>
    </w:rPr>
  </w:style>
  <w:style w:type="table" w:styleId="TableGrid">
    <w:name w:val="Table Grid"/>
    <w:basedOn w:val="TableNormal"/>
    <w:uiPriority w:val="39"/>
    <w:rsid w:val="0015303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EF2CF0"/>
    <w:pPr>
      <w:spacing w:after="0" w:line="240" w:lineRule="auto"/>
    </w:pPr>
    <w:rPr>
      <w:lang w:val="en-GB"/>
    </w:rPr>
  </w:style>
  <w:style w:type="paragraph" w:styleId="Caption">
    <w:name w:val="caption"/>
    <w:basedOn w:val="Normal"/>
    <w:next w:val="Normal"/>
    <w:uiPriority w:val="35"/>
    <w:unhideWhenUsed/>
    <w:qFormat/>
    <w:rsid w:val="001038A8"/>
    <w:pPr>
      <w:spacing w:after="200" w:line="240" w:lineRule="auto"/>
    </w:pPr>
    <w:rPr>
      <w:i/>
      <w:iCs/>
      <w:color w:val="44546A" w:themeColor="text2"/>
      <w:sz w:val="18"/>
      <w:szCs w:val="18"/>
    </w:rPr>
  </w:style>
  <w:style w:type="character" w:customStyle="1" w:styleId="Heading1Char">
    <w:name w:val="Heading 1 Char"/>
    <w:basedOn w:val="DefaultParagraphFont"/>
    <w:link w:val="Heading1"/>
    <w:uiPriority w:val="9"/>
    <w:rsid w:val="00543CFA"/>
    <w:rPr>
      <w:rFonts w:ascii="Times New Roman" w:eastAsiaTheme="majorEastAsia" w:hAnsi="Times New Roman" w:cstheme="majorBidi"/>
      <w:b/>
      <w:sz w:val="24"/>
      <w:szCs w:val="32"/>
    </w:rPr>
  </w:style>
  <w:style w:type="character" w:customStyle="1" w:styleId="Heading3Char">
    <w:name w:val="Heading 3 Char"/>
    <w:basedOn w:val="DefaultParagraphFont"/>
    <w:link w:val="Heading3"/>
    <w:uiPriority w:val="9"/>
    <w:rsid w:val="00A9603B"/>
    <w:rPr>
      <w:rFonts w:ascii="Times New Roman" w:eastAsiaTheme="majorEastAsia" w:hAnsi="Times New Roman" w:cstheme="majorBidi"/>
      <w:i/>
      <w:sz w:val="24"/>
      <w:szCs w:val="24"/>
    </w:rPr>
  </w:style>
  <w:style w:type="character" w:styleId="UnresolvedMention">
    <w:name w:val="Unresolved Mention"/>
    <w:basedOn w:val="DefaultParagraphFont"/>
    <w:uiPriority w:val="99"/>
    <w:semiHidden/>
    <w:unhideWhenUsed/>
    <w:rsid w:val="006568B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060283">
      <w:bodyDiv w:val="1"/>
      <w:marLeft w:val="0"/>
      <w:marRight w:val="0"/>
      <w:marTop w:val="0"/>
      <w:marBottom w:val="0"/>
      <w:divBdr>
        <w:top w:val="none" w:sz="0" w:space="0" w:color="auto"/>
        <w:left w:val="none" w:sz="0" w:space="0" w:color="auto"/>
        <w:bottom w:val="none" w:sz="0" w:space="0" w:color="auto"/>
        <w:right w:val="none" w:sz="0" w:space="0" w:color="auto"/>
      </w:divBdr>
    </w:div>
    <w:div w:id="653609891">
      <w:bodyDiv w:val="1"/>
      <w:marLeft w:val="0"/>
      <w:marRight w:val="0"/>
      <w:marTop w:val="0"/>
      <w:marBottom w:val="0"/>
      <w:divBdr>
        <w:top w:val="none" w:sz="0" w:space="0" w:color="auto"/>
        <w:left w:val="none" w:sz="0" w:space="0" w:color="auto"/>
        <w:bottom w:val="none" w:sz="0" w:space="0" w:color="auto"/>
        <w:right w:val="none" w:sz="0" w:space="0" w:color="auto"/>
      </w:divBdr>
    </w:div>
    <w:div w:id="844445438">
      <w:bodyDiv w:val="1"/>
      <w:marLeft w:val="0"/>
      <w:marRight w:val="0"/>
      <w:marTop w:val="0"/>
      <w:marBottom w:val="0"/>
      <w:divBdr>
        <w:top w:val="none" w:sz="0" w:space="0" w:color="auto"/>
        <w:left w:val="none" w:sz="0" w:space="0" w:color="auto"/>
        <w:bottom w:val="none" w:sz="0" w:space="0" w:color="auto"/>
        <w:right w:val="none" w:sz="0" w:space="0" w:color="auto"/>
      </w:divBdr>
    </w:div>
    <w:div w:id="1161889503">
      <w:bodyDiv w:val="1"/>
      <w:marLeft w:val="0"/>
      <w:marRight w:val="0"/>
      <w:marTop w:val="0"/>
      <w:marBottom w:val="0"/>
      <w:divBdr>
        <w:top w:val="none" w:sz="0" w:space="0" w:color="auto"/>
        <w:left w:val="none" w:sz="0" w:space="0" w:color="auto"/>
        <w:bottom w:val="none" w:sz="0" w:space="0" w:color="auto"/>
        <w:right w:val="none" w:sz="0" w:space="0" w:color="auto"/>
      </w:divBdr>
    </w:div>
    <w:div w:id="16431928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F6BBDE-DFE4-4F46-990F-43923D5C64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17</Pages>
  <Words>12326</Words>
  <Characters>70259</Characters>
  <Application>Microsoft Office Word</Application>
  <DocSecurity>0</DocSecurity>
  <Lines>585</Lines>
  <Paragraphs>164</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MPI</Company>
  <LinksUpToDate>false</LinksUpToDate>
  <CharactersWithSpaces>82421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Kappelmann, Nils</dc:creator>
  <cp:keywords/>
  <dc:description/>
  <cp:lastModifiedBy>Nils Kappelmann</cp:lastModifiedBy>
  <cp:revision>276</cp:revision>
  <dcterms:created xsi:type="dcterms:W3CDTF">2020-01-31T14:31:00Z</dcterms:created>
  <dcterms:modified xsi:type="dcterms:W3CDTF">2020-07-27T07:50:00Z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http://www.zotero.org/styles/american-sociological-association</vt:lpwstr>
  </property>
  <property fmtid="{D5CDD505-2E9C-101B-9397-08002B2CF9AE}" pid="7" name="Mendeley Recent Style Name 2_1">
    <vt:lpwstr>American Sociological Association</vt:lpwstr>
  </property>
  <property fmtid="{D5CDD505-2E9C-101B-9397-08002B2CF9AE}" pid="8" name="Mendeley Recent Style Id 3_1">
    <vt:lpwstr>http://www.zotero.org/styles/archives-of-general-psychiatry</vt:lpwstr>
  </property>
  <property fmtid="{D5CDD505-2E9C-101B-9397-08002B2CF9AE}" pid="9" name="Mendeley Recent Style Name 3_1">
    <vt:lpwstr>Archives of General Psychiatry</vt:lpwstr>
  </property>
  <property fmtid="{D5CDD505-2E9C-101B-9397-08002B2CF9AE}" pid="10" name="Mendeley Recent Style Id 4_1">
    <vt:lpwstr>http://www.zotero.org/styles/brain-behavior-and-immunity</vt:lpwstr>
  </property>
  <property fmtid="{D5CDD505-2E9C-101B-9397-08002B2CF9AE}" pid="11" name="Mendeley Recent Style Name 4_1">
    <vt:lpwstr>Brain Behavior and Immunity</vt:lpwstr>
  </property>
  <property fmtid="{D5CDD505-2E9C-101B-9397-08002B2CF9AE}" pid="12" name="Mendeley Recent Style Id 5_1">
    <vt:lpwstr>http://www.zotero.org/styles/chicago-author-date</vt:lpwstr>
  </property>
  <property fmtid="{D5CDD505-2E9C-101B-9397-08002B2CF9AE}" pid="13" name="Mendeley Recent Style Name 5_1">
    <vt:lpwstr>Chicago Manual of Style 17th edition (author-date)</vt:lpwstr>
  </property>
  <property fmtid="{D5CDD505-2E9C-101B-9397-08002B2CF9AE}" pid="14" name="Mendeley Recent Style Id 6_1">
    <vt:lpwstr>http://www.zotero.org/styles/harvard-cite-them-right</vt:lpwstr>
  </property>
  <property fmtid="{D5CDD505-2E9C-101B-9397-08002B2CF9AE}" pid="15" name="Mendeley Recent Style Name 6_1">
    <vt:lpwstr>Cite Them Right 10th edition - Harvard</vt:lpwstr>
  </property>
  <property fmtid="{D5CDD505-2E9C-101B-9397-08002B2CF9AE}" pid="16" name="Mendeley Recent Style Id 7_1">
    <vt:lpwstr>http://www.zotero.org/styles/ieee</vt:lpwstr>
  </property>
  <property fmtid="{D5CDD505-2E9C-101B-9397-08002B2CF9AE}" pid="17" name="Mendeley Recent Style Name 7_1">
    <vt:lpwstr>IEEE</vt:lpwstr>
  </property>
  <property fmtid="{D5CDD505-2E9C-101B-9397-08002B2CF9AE}" pid="18" name="Mendeley Recent Style Id 8_1">
    <vt:lpwstr>http://www.zotero.org/styles/jama</vt:lpwstr>
  </property>
  <property fmtid="{D5CDD505-2E9C-101B-9397-08002B2CF9AE}" pid="19" name="Mendeley Recent Style Name 8_1">
    <vt:lpwstr>JAMA (The Journal of the American Medical Association)</vt:lpwstr>
  </property>
  <property fmtid="{D5CDD505-2E9C-101B-9397-08002B2CF9AE}" pid="20" name="Mendeley Recent Style Id 9_1">
    <vt:lpwstr>http://www.zotero.org/styles/the-lancet</vt:lpwstr>
  </property>
  <property fmtid="{D5CDD505-2E9C-101B-9397-08002B2CF9AE}" pid="21" name="Mendeley Recent Style Name 9_1">
    <vt:lpwstr>The Lancet</vt:lpwstr>
  </property>
  <property fmtid="{D5CDD505-2E9C-101B-9397-08002B2CF9AE}" pid="22" name="Mendeley Document_1">
    <vt:lpwstr>True</vt:lpwstr>
  </property>
  <property fmtid="{D5CDD505-2E9C-101B-9397-08002B2CF9AE}" pid="23" name="Mendeley Unique User Id_1">
    <vt:lpwstr>35b55aec-20df-383b-a8ad-b86c592c76eb</vt:lpwstr>
  </property>
  <property fmtid="{D5CDD505-2E9C-101B-9397-08002B2CF9AE}" pid="24" name="Mendeley Citation Style_1">
    <vt:lpwstr>http://www.zotero.org/styles/brain-behavior-and-immunity</vt:lpwstr>
  </property>
</Properties>
</file>