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45DA29" w14:textId="4F48922F" w:rsidR="00D2476E" w:rsidRPr="006145CB" w:rsidRDefault="008B31D8" w:rsidP="002B438A">
      <w:pPr>
        <w:jc w:val="center"/>
        <w:rPr>
          <w:rFonts w:cs="Times New Roman"/>
          <w:b/>
          <w:szCs w:val="24"/>
          <w:lang w:val="en-GB"/>
        </w:rPr>
      </w:pPr>
      <w:r>
        <w:rPr>
          <w:rFonts w:cs="Times New Roman"/>
          <w:b/>
          <w:szCs w:val="24"/>
          <w:lang w:val="en-GB"/>
        </w:rPr>
        <w:t>Predicting</w:t>
      </w:r>
      <w:r w:rsidR="00FE0036">
        <w:rPr>
          <w:rFonts w:cs="Times New Roman"/>
          <w:b/>
          <w:szCs w:val="24"/>
          <w:lang w:val="en-GB"/>
        </w:rPr>
        <w:t xml:space="preserve"> Inpatient Treatment Outcome in Depression</w:t>
      </w:r>
      <w:r w:rsidR="00CB0B9E">
        <w:rPr>
          <w:rFonts w:cs="Times New Roman"/>
          <w:b/>
          <w:szCs w:val="24"/>
          <w:lang w:val="en-GB"/>
        </w:rPr>
        <w:t xml:space="preserve"> Using</w:t>
      </w:r>
      <w:r w:rsidR="005674F0">
        <w:rPr>
          <w:rFonts w:cs="Times New Roman"/>
          <w:b/>
          <w:szCs w:val="24"/>
          <w:lang w:val="en-GB"/>
        </w:rPr>
        <w:t xml:space="preserve"> </w:t>
      </w:r>
      <w:r w:rsidR="00DD56F9">
        <w:rPr>
          <w:rFonts w:cs="Times New Roman"/>
          <w:b/>
          <w:szCs w:val="24"/>
          <w:lang w:val="en-GB"/>
        </w:rPr>
        <w:t>In-Depth Immunophenotyping</w:t>
      </w:r>
      <w:r w:rsidR="00952598">
        <w:rPr>
          <w:rFonts w:cs="Times New Roman"/>
          <w:b/>
          <w:szCs w:val="24"/>
          <w:lang w:val="en-GB"/>
        </w:rPr>
        <w:t>: A Machine Learning Approach</w:t>
      </w:r>
    </w:p>
    <w:p w14:paraId="5031721B" w14:textId="77777777" w:rsidR="002B438A" w:rsidRPr="006145CB" w:rsidRDefault="002B438A" w:rsidP="002B438A">
      <w:pPr>
        <w:rPr>
          <w:rFonts w:cs="Times New Roman"/>
          <w:szCs w:val="24"/>
          <w:lang w:val="en-GB"/>
        </w:rPr>
      </w:pPr>
    </w:p>
    <w:p w14:paraId="13F35FFC" w14:textId="11204310" w:rsidR="002B438A" w:rsidRPr="00F90172" w:rsidRDefault="002B438A" w:rsidP="002B438A">
      <w:pPr>
        <w:rPr>
          <w:rFonts w:cs="Times New Roman"/>
          <w:szCs w:val="24"/>
          <w:lang w:val="en-GB"/>
        </w:rPr>
      </w:pPr>
      <w:r w:rsidRPr="00F90172">
        <w:rPr>
          <w:rFonts w:cs="Times New Roman"/>
          <w:szCs w:val="24"/>
          <w:lang w:val="en-GB"/>
        </w:rPr>
        <w:t>Nils Kappelmann</w:t>
      </w:r>
      <w:r w:rsidR="00A93430" w:rsidRPr="00F90172">
        <w:rPr>
          <w:rFonts w:cs="Times New Roman"/>
          <w:szCs w:val="24"/>
          <w:vertAlign w:val="superscript"/>
          <w:lang w:val="en-GB"/>
        </w:rPr>
        <w:t>1</w:t>
      </w:r>
      <w:r w:rsidR="003B4485" w:rsidRPr="00F90172">
        <w:rPr>
          <w:rFonts w:cs="Times New Roman"/>
          <w:szCs w:val="24"/>
          <w:vertAlign w:val="superscript"/>
          <w:lang w:val="en-GB"/>
        </w:rPr>
        <w:t>, 2</w:t>
      </w:r>
      <w:r w:rsidRPr="00F90172">
        <w:rPr>
          <w:rFonts w:cs="Times New Roman"/>
          <w:szCs w:val="24"/>
          <w:lang w:val="en-GB"/>
        </w:rPr>
        <w:t xml:space="preserve">, </w:t>
      </w:r>
      <w:r w:rsidR="00CB1C66" w:rsidRPr="00F90172">
        <w:rPr>
          <w:rFonts w:cs="Times New Roman"/>
          <w:szCs w:val="24"/>
          <w:lang w:val="en-GB"/>
        </w:rPr>
        <w:t>Nicolas Rost</w:t>
      </w:r>
      <w:r w:rsidR="003777BF" w:rsidRPr="00F90172">
        <w:rPr>
          <w:rFonts w:cs="Times New Roman"/>
          <w:szCs w:val="24"/>
          <w:vertAlign w:val="superscript"/>
          <w:lang w:val="en-GB"/>
        </w:rPr>
        <w:t xml:space="preserve">1, </w:t>
      </w:r>
      <w:proofErr w:type="gramStart"/>
      <w:r w:rsidR="003777BF" w:rsidRPr="00F90172">
        <w:rPr>
          <w:rFonts w:cs="Times New Roman"/>
          <w:szCs w:val="24"/>
          <w:vertAlign w:val="superscript"/>
          <w:lang w:val="en-GB"/>
        </w:rPr>
        <w:t>2</w:t>
      </w:r>
      <w:r w:rsidR="00CB1C66" w:rsidRPr="00F90172">
        <w:rPr>
          <w:rFonts w:cs="Times New Roman"/>
          <w:szCs w:val="24"/>
          <w:lang w:val="en-GB"/>
        </w:rPr>
        <w:t>?,</w:t>
      </w:r>
      <w:proofErr w:type="gramEnd"/>
      <w:r w:rsidR="00CB1C66" w:rsidRPr="00F90172">
        <w:rPr>
          <w:rFonts w:cs="Times New Roman"/>
          <w:szCs w:val="24"/>
          <w:lang w:val="en-GB"/>
        </w:rPr>
        <w:t xml:space="preserve"> </w:t>
      </w:r>
      <w:r w:rsidR="000421BC" w:rsidRPr="00F90172">
        <w:rPr>
          <w:rFonts w:cs="Times New Roman"/>
          <w:szCs w:val="24"/>
          <w:lang w:val="en-GB"/>
        </w:rPr>
        <w:t>Johannes Kopf-Beck</w:t>
      </w:r>
      <w:r w:rsidR="004C6A35" w:rsidRPr="00F90172">
        <w:rPr>
          <w:rFonts w:cs="Times New Roman"/>
          <w:szCs w:val="24"/>
          <w:vertAlign w:val="superscript"/>
          <w:lang w:val="en-GB"/>
        </w:rPr>
        <w:t>3</w:t>
      </w:r>
      <w:r w:rsidR="000421BC" w:rsidRPr="00F90172">
        <w:rPr>
          <w:rFonts w:cs="Times New Roman"/>
          <w:szCs w:val="24"/>
          <w:lang w:val="en-GB"/>
        </w:rPr>
        <w:t>,</w:t>
      </w:r>
      <w:r w:rsidR="00824581" w:rsidRPr="00F90172">
        <w:rPr>
          <w:rFonts w:cs="Times New Roman"/>
          <w:szCs w:val="24"/>
          <w:lang w:val="en-GB"/>
        </w:rPr>
        <w:t xml:space="preserve"> </w:t>
      </w:r>
      <w:r w:rsidR="0046099B" w:rsidRPr="00F90172">
        <w:rPr>
          <w:rFonts w:cs="Times New Roman"/>
          <w:szCs w:val="24"/>
          <w:lang w:val="en-GB"/>
        </w:rPr>
        <w:t>Elisabeth B. Binder</w:t>
      </w:r>
      <w:r w:rsidR="0046099B" w:rsidRPr="00F90172">
        <w:rPr>
          <w:rFonts w:cs="Times New Roman"/>
          <w:szCs w:val="24"/>
          <w:vertAlign w:val="superscript"/>
          <w:lang w:val="en-GB"/>
        </w:rPr>
        <w:t>1</w:t>
      </w:r>
      <w:r w:rsidR="0046099B" w:rsidRPr="00F90172">
        <w:rPr>
          <w:rFonts w:cs="Times New Roman"/>
          <w:szCs w:val="24"/>
          <w:lang w:val="en-GB"/>
        </w:rPr>
        <w:t xml:space="preserve">?, </w:t>
      </w:r>
      <w:r w:rsidR="004C6A35" w:rsidRPr="00F90172">
        <w:rPr>
          <w:rFonts w:cs="Times New Roman"/>
          <w:szCs w:val="24"/>
          <w:lang w:val="en-GB"/>
        </w:rPr>
        <w:t>Golam M. Khandaker</w:t>
      </w:r>
      <w:r w:rsidR="004C6A35" w:rsidRPr="00F90172">
        <w:rPr>
          <w:rFonts w:cs="Times New Roman"/>
          <w:szCs w:val="24"/>
          <w:vertAlign w:val="superscript"/>
          <w:lang w:val="en-GB"/>
        </w:rPr>
        <w:t>4, 5</w:t>
      </w:r>
      <w:r w:rsidR="004C6A35" w:rsidRPr="00F90172">
        <w:rPr>
          <w:rFonts w:cs="Times New Roman"/>
          <w:szCs w:val="24"/>
          <w:lang w:val="en-GB"/>
        </w:rPr>
        <w:t xml:space="preserve">, </w:t>
      </w:r>
      <w:r w:rsidR="000F7932" w:rsidRPr="00F90172">
        <w:rPr>
          <w:rFonts w:cs="Times New Roman"/>
          <w:szCs w:val="24"/>
          <w:lang w:val="en-GB"/>
        </w:rPr>
        <w:t>OPTIMA study team</w:t>
      </w:r>
      <w:r w:rsidR="002C2F04" w:rsidRPr="00F90172">
        <w:rPr>
          <w:rFonts w:cs="Times New Roman"/>
          <w:szCs w:val="24"/>
          <w:vertAlign w:val="superscript"/>
          <w:lang w:val="en-GB"/>
        </w:rPr>
        <w:t>*</w:t>
      </w:r>
      <w:r w:rsidR="000F7932" w:rsidRPr="00F90172">
        <w:rPr>
          <w:rFonts w:cs="Times New Roman"/>
          <w:szCs w:val="24"/>
          <w:lang w:val="en-GB"/>
        </w:rPr>
        <w:t xml:space="preserve">, </w:t>
      </w:r>
      <w:r w:rsidR="00EA5A8F" w:rsidRPr="00F90172">
        <w:rPr>
          <w:rFonts w:cs="Times New Roman"/>
          <w:szCs w:val="24"/>
          <w:lang w:val="en-GB"/>
        </w:rPr>
        <w:t>Janine Arloth</w:t>
      </w:r>
      <w:r w:rsidR="00E96A8D" w:rsidRPr="00F90172">
        <w:rPr>
          <w:rFonts w:cs="Times New Roman"/>
          <w:szCs w:val="24"/>
          <w:vertAlign w:val="superscript"/>
          <w:lang w:val="en-GB"/>
        </w:rPr>
        <w:t>1</w:t>
      </w:r>
      <w:r w:rsidR="006E07FD" w:rsidRPr="00F90172">
        <w:rPr>
          <w:rFonts w:cs="Times New Roman"/>
          <w:szCs w:val="24"/>
          <w:vertAlign w:val="superscript"/>
          <w:lang w:val="en-GB"/>
        </w:rPr>
        <w:t>, 6</w:t>
      </w:r>
    </w:p>
    <w:p w14:paraId="7AB608C8" w14:textId="735D138D" w:rsidR="00693D5C" w:rsidRDefault="00281F0A" w:rsidP="00673405">
      <w:pPr>
        <w:spacing w:after="0" w:line="240" w:lineRule="auto"/>
        <w:rPr>
          <w:rFonts w:cs="Times New Roman"/>
          <w:szCs w:val="24"/>
          <w:lang w:val="en-GB"/>
        </w:rPr>
      </w:pPr>
      <w:r w:rsidRPr="00281F0A">
        <w:rPr>
          <w:rFonts w:cs="Times New Roman"/>
          <w:szCs w:val="24"/>
          <w:vertAlign w:val="superscript"/>
          <w:lang w:val="en-GB"/>
        </w:rPr>
        <w:t>1</w:t>
      </w:r>
      <w:r w:rsidR="00A64CE5" w:rsidRPr="006145CB">
        <w:rPr>
          <w:rFonts w:cs="Times New Roman"/>
          <w:szCs w:val="24"/>
          <w:lang w:val="en-GB"/>
        </w:rPr>
        <w:t xml:space="preserve">Department of </w:t>
      </w:r>
      <w:r w:rsidR="00E96A8D">
        <w:rPr>
          <w:rFonts w:cs="Times New Roman"/>
          <w:szCs w:val="24"/>
          <w:lang w:val="en-GB"/>
        </w:rPr>
        <w:t>Translational Research in Psychiatry</w:t>
      </w:r>
      <w:r w:rsidR="00A64CE5" w:rsidRPr="006145CB">
        <w:rPr>
          <w:rFonts w:cs="Times New Roman"/>
          <w:szCs w:val="24"/>
          <w:lang w:val="en-GB"/>
        </w:rPr>
        <w:t>, Max-Planck-Institute of Psychiatry, Munich, Germany</w:t>
      </w:r>
    </w:p>
    <w:p w14:paraId="4AC0479B" w14:textId="26AEB5F3" w:rsidR="003B4485" w:rsidRDefault="003B4485" w:rsidP="00673405">
      <w:pPr>
        <w:spacing w:after="0" w:line="240" w:lineRule="auto"/>
        <w:rPr>
          <w:szCs w:val="24"/>
          <w:lang w:val="en-US"/>
        </w:rPr>
      </w:pPr>
      <w:r>
        <w:rPr>
          <w:rFonts w:cs="Times New Roman"/>
          <w:szCs w:val="24"/>
          <w:vertAlign w:val="superscript"/>
          <w:lang w:val="en-GB"/>
        </w:rPr>
        <w:t>2</w:t>
      </w:r>
      <w:r>
        <w:rPr>
          <w:szCs w:val="24"/>
          <w:lang w:val="en-US"/>
        </w:rPr>
        <w:t>International Max Planck Research School for Translational Psychiatry (IMPRS-TP), Munich, Germany</w:t>
      </w:r>
    </w:p>
    <w:p w14:paraId="2C9CE8C6" w14:textId="003F7857" w:rsidR="006E07FD" w:rsidRDefault="004C6A35" w:rsidP="006E07FD">
      <w:pPr>
        <w:spacing w:after="0" w:line="240" w:lineRule="auto"/>
        <w:rPr>
          <w:rFonts w:cs="Times New Roman"/>
          <w:szCs w:val="24"/>
          <w:lang w:val="en-GB"/>
        </w:rPr>
      </w:pPr>
      <w:r>
        <w:rPr>
          <w:rFonts w:cs="Times New Roman"/>
          <w:szCs w:val="24"/>
          <w:vertAlign w:val="superscript"/>
          <w:lang w:val="en-GB"/>
        </w:rPr>
        <w:t>3</w:t>
      </w:r>
      <w:r w:rsidR="000421BC" w:rsidRPr="006145CB">
        <w:rPr>
          <w:rFonts w:cs="Times New Roman"/>
          <w:szCs w:val="24"/>
          <w:lang w:val="en-GB"/>
        </w:rPr>
        <w:t>Max-Planck-Institute of Psychiatry, Munich, Germany</w:t>
      </w:r>
    </w:p>
    <w:p w14:paraId="64D346D1" w14:textId="69A75EEA" w:rsidR="004C6A35" w:rsidRPr="00B3335B" w:rsidRDefault="004C6A35" w:rsidP="004C6A35">
      <w:pPr>
        <w:spacing w:after="0" w:line="240" w:lineRule="auto"/>
        <w:rPr>
          <w:rFonts w:cs="Times New Roman"/>
          <w:szCs w:val="24"/>
          <w:lang w:val="en-GB"/>
        </w:rPr>
      </w:pPr>
      <w:r>
        <w:rPr>
          <w:rFonts w:cs="Times New Roman"/>
          <w:szCs w:val="24"/>
          <w:vertAlign w:val="superscript"/>
          <w:lang w:val="en-GB"/>
        </w:rPr>
        <w:t>4</w:t>
      </w:r>
      <w:r w:rsidRPr="00B3335B">
        <w:rPr>
          <w:rFonts w:cs="Times New Roman"/>
          <w:szCs w:val="24"/>
          <w:lang w:val="en-GB"/>
        </w:rPr>
        <w:t>Department of Psychiatry, University of Cambridge, Cambridge, United Kingdom</w:t>
      </w:r>
    </w:p>
    <w:p w14:paraId="695B0B74" w14:textId="43955329" w:rsidR="004C6A35" w:rsidRPr="004C6A35" w:rsidRDefault="004C6A35" w:rsidP="006E07FD">
      <w:pPr>
        <w:spacing w:after="0" w:line="240" w:lineRule="auto"/>
        <w:rPr>
          <w:szCs w:val="24"/>
          <w:lang w:val="en-GB"/>
        </w:rPr>
      </w:pPr>
      <w:r>
        <w:rPr>
          <w:rFonts w:cs="Times New Roman"/>
          <w:szCs w:val="24"/>
          <w:vertAlign w:val="superscript"/>
          <w:lang w:val="en-GB"/>
        </w:rPr>
        <w:t>5</w:t>
      </w:r>
      <w:r w:rsidRPr="00B3335B">
        <w:rPr>
          <w:rFonts w:cs="Times New Roman"/>
          <w:szCs w:val="24"/>
          <w:lang w:val="en-GB"/>
        </w:rPr>
        <w:t>Cambridgeshire and Peterborough NHS Foundation Trust, Cambridge, UK</w:t>
      </w:r>
    </w:p>
    <w:p w14:paraId="2E2716A8" w14:textId="5B13398A" w:rsidR="006E07FD" w:rsidRPr="00F90172" w:rsidRDefault="006E07FD" w:rsidP="000421BC">
      <w:pPr>
        <w:spacing w:after="0" w:line="240" w:lineRule="auto"/>
        <w:rPr>
          <w:rFonts w:cs="Times New Roman"/>
          <w:szCs w:val="24"/>
          <w:lang w:val="en-GB"/>
        </w:rPr>
      </w:pPr>
      <w:r w:rsidRPr="00F90172">
        <w:rPr>
          <w:rFonts w:cs="Times New Roman"/>
          <w:szCs w:val="24"/>
          <w:vertAlign w:val="superscript"/>
          <w:lang w:val="en-GB"/>
        </w:rPr>
        <w:t>6</w:t>
      </w:r>
      <w:r w:rsidRPr="00F90172">
        <w:rPr>
          <w:rFonts w:cs="Times New Roman"/>
          <w:szCs w:val="24"/>
          <w:lang w:val="en-GB"/>
        </w:rPr>
        <w:t xml:space="preserve">Institute of Computational Biology, Helmholtz </w:t>
      </w:r>
      <w:proofErr w:type="spellStart"/>
      <w:r w:rsidRPr="00F90172">
        <w:rPr>
          <w:rFonts w:cs="Times New Roman"/>
          <w:szCs w:val="24"/>
          <w:lang w:val="en-GB"/>
        </w:rPr>
        <w:t>Zentrum</w:t>
      </w:r>
      <w:proofErr w:type="spellEnd"/>
      <w:r w:rsidRPr="00F90172">
        <w:rPr>
          <w:rFonts w:cs="Times New Roman"/>
          <w:szCs w:val="24"/>
          <w:lang w:val="en-GB"/>
        </w:rPr>
        <w:t xml:space="preserve"> Munich, </w:t>
      </w:r>
      <w:proofErr w:type="spellStart"/>
      <w:r w:rsidRPr="00F90172">
        <w:rPr>
          <w:rFonts w:cs="Times New Roman"/>
          <w:szCs w:val="24"/>
          <w:lang w:val="en-GB"/>
        </w:rPr>
        <w:t>Neuherberg</w:t>
      </w:r>
      <w:proofErr w:type="spellEnd"/>
      <w:r w:rsidRPr="00F90172">
        <w:rPr>
          <w:rFonts w:cs="Times New Roman"/>
          <w:szCs w:val="24"/>
          <w:lang w:val="en-GB"/>
        </w:rPr>
        <w:t>, Germany</w:t>
      </w:r>
    </w:p>
    <w:p w14:paraId="3F79B2CF" w14:textId="29267F55" w:rsidR="00B851A1" w:rsidRDefault="00B851A1" w:rsidP="000421BC">
      <w:pPr>
        <w:spacing w:after="0" w:line="240" w:lineRule="auto"/>
        <w:rPr>
          <w:rFonts w:cs="Times New Roman"/>
          <w:szCs w:val="24"/>
          <w:lang w:val="en-GB"/>
        </w:rPr>
      </w:pPr>
      <w:r w:rsidRPr="00B851A1">
        <w:rPr>
          <w:rFonts w:cs="Times New Roman"/>
          <w:szCs w:val="24"/>
          <w:vertAlign w:val="superscript"/>
          <w:lang w:val="en-GB"/>
        </w:rPr>
        <w:t>*</w:t>
      </w:r>
      <w:r>
        <w:rPr>
          <w:rFonts w:cs="Times New Roman"/>
          <w:szCs w:val="24"/>
          <w:lang w:val="en-GB"/>
        </w:rPr>
        <w:t>The OPTIMA study team includes X.</w:t>
      </w:r>
    </w:p>
    <w:p w14:paraId="562200B5" w14:textId="77777777" w:rsidR="00FF06DB" w:rsidRPr="006145CB" w:rsidRDefault="00FF06DB" w:rsidP="002B438A">
      <w:pPr>
        <w:rPr>
          <w:rFonts w:cs="Times New Roman"/>
          <w:szCs w:val="24"/>
          <w:lang w:val="en-GB"/>
        </w:rPr>
      </w:pPr>
    </w:p>
    <w:p w14:paraId="0CF5C620" w14:textId="190C99AA" w:rsidR="00A64CE5" w:rsidRDefault="00A64CE5" w:rsidP="00B46AE0">
      <w:pPr>
        <w:spacing w:after="0"/>
        <w:rPr>
          <w:rFonts w:cs="Times New Roman"/>
          <w:szCs w:val="24"/>
          <w:lang w:val="en-GB"/>
        </w:rPr>
      </w:pPr>
      <w:r w:rsidRPr="006145CB">
        <w:rPr>
          <w:rFonts w:cs="Times New Roman"/>
          <w:b/>
          <w:szCs w:val="24"/>
          <w:lang w:val="en-GB"/>
        </w:rPr>
        <w:t>Corresponding author:</w:t>
      </w:r>
      <w:r w:rsidRPr="006145CB">
        <w:rPr>
          <w:rFonts w:cs="Times New Roman"/>
          <w:szCs w:val="24"/>
          <w:lang w:val="en-GB"/>
        </w:rPr>
        <w:t xml:space="preserve"> </w:t>
      </w:r>
    </w:p>
    <w:p w14:paraId="6E4D1252" w14:textId="77777777" w:rsidR="00B850DF" w:rsidRPr="002C53DD" w:rsidRDefault="00B850DF" w:rsidP="00B46AE0">
      <w:pPr>
        <w:spacing w:after="0" w:line="240" w:lineRule="auto"/>
        <w:rPr>
          <w:rFonts w:cs="Times New Roman"/>
          <w:szCs w:val="24"/>
          <w:lang w:val="en-GB"/>
        </w:rPr>
      </w:pPr>
      <w:r w:rsidRPr="002C53DD">
        <w:rPr>
          <w:rFonts w:cs="Times New Roman"/>
          <w:szCs w:val="24"/>
          <w:lang w:val="en-GB"/>
        </w:rPr>
        <w:t xml:space="preserve">Nils Kappelmann </w:t>
      </w:r>
    </w:p>
    <w:p w14:paraId="4BBE6588" w14:textId="2F7C2A7A" w:rsidR="005D2C02" w:rsidRPr="002C53DD" w:rsidRDefault="00B850DF" w:rsidP="003743D2">
      <w:pPr>
        <w:spacing w:after="0" w:line="240" w:lineRule="auto"/>
        <w:rPr>
          <w:rFonts w:cs="Times New Roman"/>
          <w:szCs w:val="24"/>
          <w:lang w:val="en-GB"/>
        </w:rPr>
      </w:pPr>
      <w:r w:rsidRPr="002C53DD">
        <w:rPr>
          <w:rFonts w:cs="Times New Roman"/>
          <w:szCs w:val="24"/>
          <w:lang w:val="en-GB"/>
        </w:rPr>
        <w:t>Max-Planck-Institute of Psychiatry</w:t>
      </w:r>
    </w:p>
    <w:p w14:paraId="2AB57A94" w14:textId="3F1CCC5A" w:rsidR="00B850DF" w:rsidRPr="00B237A2" w:rsidRDefault="00E9278D" w:rsidP="003743D2">
      <w:pPr>
        <w:spacing w:after="0" w:line="240" w:lineRule="auto"/>
        <w:rPr>
          <w:rFonts w:cs="Times New Roman"/>
          <w:szCs w:val="24"/>
        </w:rPr>
      </w:pPr>
      <w:proofErr w:type="spellStart"/>
      <w:r w:rsidRPr="00B237A2">
        <w:rPr>
          <w:rFonts w:cs="Times New Roman"/>
          <w:szCs w:val="24"/>
        </w:rPr>
        <w:t>Kraepelinstraße</w:t>
      </w:r>
      <w:proofErr w:type="spellEnd"/>
      <w:r w:rsidR="00B850DF" w:rsidRPr="00B237A2">
        <w:rPr>
          <w:rFonts w:cs="Times New Roman"/>
          <w:szCs w:val="24"/>
        </w:rPr>
        <w:t xml:space="preserve"> 2-10</w:t>
      </w:r>
    </w:p>
    <w:p w14:paraId="6D7408A0" w14:textId="2CFBC355" w:rsidR="005D2C02" w:rsidRPr="002C53DD" w:rsidRDefault="00B850DF" w:rsidP="003743D2">
      <w:pPr>
        <w:spacing w:after="0" w:line="240" w:lineRule="auto"/>
        <w:rPr>
          <w:rFonts w:cs="Times New Roman"/>
          <w:szCs w:val="24"/>
        </w:rPr>
      </w:pPr>
      <w:r w:rsidRPr="002C53DD">
        <w:rPr>
          <w:rFonts w:cs="Times New Roman"/>
          <w:szCs w:val="24"/>
        </w:rPr>
        <w:t>80804 Munich, Germany</w:t>
      </w:r>
    </w:p>
    <w:p w14:paraId="5181639A" w14:textId="6BD6EEF9" w:rsidR="006568B1" w:rsidRPr="002C53DD" w:rsidRDefault="006568B1" w:rsidP="003743D2">
      <w:pPr>
        <w:spacing w:after="0" w:line="240" w:lineRule="auto"/>
        <w:rPr>
          <w:rFonts w:cs="Times New Roman"/>
          <w:szCs w:val="24"/>
        </w:rPr>
      </w:pPr>
    </w:p>
    <w:p w14:paraId="2F9AB31B" w14:textId="615DE89D" w:rsidR="006568B1" w:rsidRPr="002C53DD" w:rsidRDefault="006568B1" w:rsidP="003743D2">
      <w:pPr>
        <w:spacing w:after="0" w:line="240" w:lineRule="auto"/>
        <w:rPr>
          <w:rFonts w:cs="Times New Roman"/>
          <w:szCs w:val="24"/>
        </w:rPr>
      </w:pPr>
      <w:r w:rsidRPr="002C53DD">
        <w:rPr>
          <w:rFonts w:cs="Times New Roman"/>
          <w:szCs w:val="24"/>
        </w:rPr>
        <w:t xml:space="preserve">Email: nils_kappelmann@psych.mpg.de; n.kappelmann@gmail.com </w:t>
      </w:r>
    </w:p>
    <w:p w14:paraId="27C89C54" w14:textId="77777777" w:rsidR="00FF06DB" w:rsidRPr="002C53DD" w:rsidRDefault="00FF06DB" w:rsidP="002B438A">
      <w:pPr>
        <w:rPr>
          <w:rFonts w:cs="Times New Roman"/>
          <w:szCs w:val="24"/>
        </w:rPr>
      </w:pPr>
    </w:p>
    <w:p w14:paraId="4A97C116" w14:textId="445CDEAC" w:rsidR="005D2C02" w:rsidRPr="006145CB" w:rsidRDefault="00A87553" w:rsidP="005D2C02">
      <w:pPr>
        <w:spacing w:after="0"/>
        <w:rPr>
          <w:rFonts w:cs="Times New Roman"/>
          <w:b/>
          <w:szCs w:val="24"/>
          <w:lang w:val="en-GB"/>
        </w:rPr>
      </w:pPr>
      <w:r w:rsidRPr="006145CB">
        <w:rPr>
          <w:rFonts w:cs="Times New Roman"/>
          <w:b/>
          <w:szCs w:val="24"/>
          <w:lang w:val="en-GB"/>
        </w:rPr>
        <w:t xml:space="preserve">Abstract word </w:t>
      </w:r>
      <w:r w:rsidR="00B05887">
        <w:rPr>
          <w:rFonts w:cs="Times New Roman"/>
          <w:b/>
          <w:szCs w:val="24"/>
          <w:lang w:val="en-GB"/>
        </w:rPr>
        <w:t xml:space="preserve">count: </w:t>
      </w:r>
      <w:r w:rsidR="00FA3643">
        <w:rPr>
          <w:rFonts w:cs="Times New Roman"/>
          <w:b/>
          <w:szCs w:val="24"/>
          <w:lang w:val="en-GB"/>
        </w:rPr>
        <w:t>X</w:t>
      </w:r>
    </w:p>
    <w:p w14:paraId="3AD7489A" w14:textId="77777777" w:rsidR="005D2C02" w:rsidRPr="006145CB" w:rsidRDefault="005D2C02" w:rsidP="005D2C02">
      <w:pPr>
        <w:spacing w:after="0"/>
        <w:rPr>
          <w:rFonts w:cs="Times New Roman"/>
          <w:b/>
          <w:szCs w:val="24"/>
          <w:lang w:val="en-GB"/>
        </w:rPr>
      </w:pPr>
      <w:r w:rsidRPr="006145CB">
        <w:rPr>
          <w:rFonts w:cs="Times New Roman"/>
          <w:b/>
          <w:szCs w:val="24"/>
          <w:lang w:val="en-GB"/>
        </w:rPr>
        <w:t>Manuscript w</w:t>
      </w:r>
      <w:r w:rsidR="00A87553" w:rsidRPr="006145CB">
        <w:rPr>
          <w:rFonts w:cs="Times New Roman"/>
          <w:b/>
          <w:szCs w:val="24"/>
          <w:lang w:val="en-GB"/>
        </w:rPr>
        <w:t>ord count: X</w:t>
      </w:r>
    </w:p>
    <w:p w14:paraId="70090D17" w14:textId="77777777" w:rsidR="005D2C02" w:rsidRPr="006145CB" w:rsidRDefault="00A87553" w:rsidP="005D2C02">
      <w:pPr>
        <w:spacing w:after="0"/>
        <w:rPr>
          <w:rFonts w:cs="Times New Roman"/>
          <w:b/>
          <w:szCs w:val="24"/>
          <w:lang w:val="en-GB"/>
        </w:rPr>
      </w:pPr>
      <w:r w:rsidRPr="006145CB">
        <w:rPr>
          <w:rFonts w:cs="Times New Roman"/>
          <w:b/>
          <w:szCs w:val="24"/>
          <w:lang w:val="en-GB"/>
        </w:rPr>
        <w:t>Tables and Figures: X</w:t>
      </w:r>
    </w:p>
    <w:p w14:paraId="381B1186" w14:textId="702B4749" w:rsidR="009A1D40" w:rsidRPr="006145CB" w:rsidRDefault="005D2C02" w:rsidP="00F8180C">
      <w:pPr>
        <w:spacing w:after="0"/>
        <w:rPr>
          <w:rFonts w:cs="Times New Roman"/>
          <w:b/>
          <w:szCs w:val="24"/>
          <w:lang w:val="en-GB"/>
        </w:rPr>
        <w:sectPr w:rsidR="009A1D40" w:rsidRPr="006145CB">
          <w:footerReference w:type="default" r:id="rId8"/>
          <w:pgSz w:w="12240" w:h="15840"/>
          <w:pgMar w:top="1417" w:right="1417" w:bottom="1134" w:left="1417" w:header="708" w:footer="708" w:gutter="0"/>
          <w:cols w:space="708"/>
          <w:docGrid w:linePitch="360"/>
        </w:sectPr>
      </w:pPr>
      <w:r w:rsidRPr="006145CB">
        <w:rPr>
          <w:rFonts w:cs="Times New Roman"/>
          <w:b/>
          <w:szCs w:val="24"/>
          <w:lang w:val="en-GB"/>
        </w:rPr>
        <w:t xml:space="preserve">Online Supplementary Tables and Figures: </w:t>
      </w:r>
      <w:r w:rsidR="00A87553" w:rsidRPr="006145CB">
        <w:rPr>
          <w:rFonts w:cs="Times New Roman"/>
          <w:b/>
          <w:szCs w:val="24"/>
          <w:lang w:val="en-GB"/>
        </w:rPr>
        <w:t>X</w:t>
      </w:r>
      <w:r w:rsidRPr="006145CB">
        <w:rPr>
          <w:rFonts w:cs="Times New Roman"/>
          <w:b/>
          <w:szCs w:val="24"/>
          <w:lang w:val="en-GB"/>
        </w:rPr>
        <w:t xml:space="preserve"> Tables and </w:t>
      </w:r>
      <w:r w:rsidR="00A87553" w:rsidRPr="006145CB">
        <w:rPr>
          <w:rFonts w:cs="Times New Roman"/>
          <w:b/>
          <w:szCs w:val="24"/>
          <w:lang w:val="en-GB"/>
        </w:rPr>
        <w:t>X</w:t>
      </w:r>
      <w:r w:rsidRPr="006145CB">
        <w:rPr>
          <w:rFonts w:cs="Times New Roman"/>
          <w:b/>
          <w:szCs w:val="24"/>
          <w:lang w:val="en-GB"/>
        </w:rPr>
        <w:t xml:space="preserve"> Figure</w:t>
      </w:r>
    </w:p>
    <w:p w14:paraId="017C18C0" w14:textId="77777777" w:rsidR="005D2C02" w:rsidRPr="006145CB" w:rsidRDefault="009A1D40" w:rsidP="007212AE">
      <w:pPr>
        <w:pStyle w:val="Heading1"/>
        <w:rPr>
          <w:lang w:val="en-GB"/>
        </w:rPr>
      </w:pPr>
      <w:r w:rsidRPr="006145CB">
        <w:rPr>
          <w:lang w:val="en-GB"/>
        </w:rPr>
        <w:lastRenderedPageBreak/>
        <w:t>Abstract</w:t>
      </w:r>
    </w:p>
    <w:p w14:paraId="51A50B58" w14:textId="6BAFFD70" w:rsidR="009A1D40" w:rsidRDefault="00A229C0" w:rsidP="002B438A">
      <w:pPr>
        <w:rPr>
          <w:rFonts w:cs="Times New Roman"/>
          <w:b/>
          <w:szCs w:val="24"/>
          <w:lang w:val="en-GB"/>
        </w:rPr>
      </w:pPr>
      <w:r>
        <w:rPr>
          <w:rFonts w:cs="Times New Roman"/>
          <w:szCs w:val="24"/>
          <w:lang w:val="en-GB"/>
        </w:rPr>
        <w:t>tbc</w:t>
      </w:r>
    </w:p>
    <w:p w14:paraId="2E80D6CC" w14:textId="02B0746D" w:rsidR="001E6067" w:rsidRPr="001E6067" w:rsidRDefault="001E6067" w:rsidP="002B438A">
      <w:pPr>
        <w:rPr>
          <w:rFonts w:cs="Times New Roman"/>
          <w:szCs w:val="24"/>
          <w:lang w:val="en-GB"/>
        </w:rPr>
        <w:sectPr w:rsidR="001E6067" w:rsidRPr="001E6067" w:rsidSect="00237421">
          <w:pgSz w:w="12240" w:h="15840"/>
          <w:pgMar w:top="1417" w:right="1417" w:bottom="1134" w:left="1417" w:header="708" w:footer="708" w:gutter="0"/>
          <w:lnNumType w:countBy="1" w:restart="continuous"/>
          <w:cols w:space="708"/>
          <w:docGrid w:linePitch="360"/>
        </w:sectPr>
      </w:pPr>
      <w:r w:rsidRPr="006D2B85">
        <w:rPr>
          <w:rFonts w:cs="Times New Roman"/>
          <w:i/>
          <w:szCs w:val="24"/>
          <w:lang w:val="en-GB"/>
        </w:rPr>
        <w:t>Keywords:</w:t>
      </w:r>
      <w:r>
        <w:rPr>
          <w:rFonts w:cs="Times New Roman"/>
          <w:szCs w:val="24"/>
          <w:lang w:val="en-GB"/>
        </w:rPr>
        <w:t xml:space="preserve"> Major Depressive Disorder; </w:t>
      </w:r>
      <w:r w:rsidR="00F0500D">
        <w:rPr>
          <w:rFonts w:cs="Times New Roman"/>
          <w:szCs w:val="24"/>
          <w:lang w:val="en-GB"/>
        </w:rPr>
        <w:t>inflammation</w:t>
      </w:r>
      <w:r w:rsidR="001005B5">
        <w:rPr>
          <w:rFonts w:cs="Times New Roman"/>
          <w:szCs w:val="24"/>
          <w:lang w:val="en-GB"/>
        </w:rPr>
        <w:t>;</w:t>
      </w:r>
      <w:r w:rsidR="005244A5">
        <w:rPr>
          <w:rFonts w:cs="Times New Roman"/>
          <w:szCs w:val="24"/>
          <w:lang w:val="en-GB"/>
        </w:rPr>
        <w:t xml:space="preserve"> </w:t>
      </w:r>
      <w:r w:rsidR="00463F5F">
        <w:rPr>
          <w:rFonts w:cs="Times New Roman"/>
          <w:szCs w:val="24"/>
          <w:lang w:val="en-GB"/>
        </w:rPr>
        <w:t xml:space="preserve">cytokine; inpatient </w:t>
      </w:r>
    </w:p>
    <w:p w14:paraId="43B12132" w14:textId="77777777" w:rsidR="009A1D40" w:rsidRPr="006145CB" w:rsidRDefault="009A1D40" w:rsidP="00543CFA">
      <w:pPr>
        <w:pStyle w:val="Heading1"/>
        <w:rPr>
          <w:b w:val="0"/>
          <w:lang w:val="en-GB"/>
        </w:rPr>
      </w:pPr>
      <w:r w:rsidRPr="006145CB">
        <w:rPr>
          <w:lang w:val="en-GB"/>
        </w:rPr>
        <w:lastRenderedPageBreak/>
        <w:t>Introduction</w:t>
      </w:r>
    </w:p>
    <w:p w14:paraId="27529A2C" w14:textId="7AF5561A" w:rsidR="007D4C63" w:rsidRDefault="00E03353" w:rsidP="00E45C5E">
      <w:pPr>
        <w:rPr>
          <w:lang w:val="en-GB"/>
        </w:rPr>
      </w:pPr>
      <w:r>
        <w:rPr>
          <w:lang w:val="en-GB"/>
        </w:rPr>
        <w:t xml:space="preserve">Immune </w:t>
      </w:r>
      <w:r w:rsidR="00F75396">
        <w:rPr>
          <w:lang w:val="en-GB"/>
        </w:rPr>
        <w:t>system alterations have been reliably associated with Major Depressive Disorder (MDD)</w:t>
      </w:r>
      <w:r w:rsidR="000B3E38">
        <w:rPr>
          <w:lang w:val="en-GB"/>
        </w:rPr>
        <w:fldChar w:fldCharType="begin" w:fldLock="1"/>
      </w:r>
      <w:r w:rsidR="007212AE">
        <w:rPr>
          <w:lang w:val="en-GB"/>
        </w:rPr>
        <w:instrText>ADDIN CSL_CITATION {"citationItems":[{"id":"ITEM-1","itemData":{"DOI":"10.1038/nrn2297","ISBN":"1471-0048 (Electronic)\r1471-003X (Linking)","PMID":"18073775","author":[{"dropping-particle":"","family":"Dantzer","given":"R","non-dropping-particle":"","parse-names":false,"suffix":""},{"dropping-particle":"","family":"O'Connor","given":"J C","non-dropping-particle":"","parse-names":false,"suffix":""},{"dropping-particle":"","family":"Freund","given":"G G","non-dropping-particle":"","parse-names":false,"suffix":""},{"dropping-particle":"","family":"Johnson","given":"R W","non-dropping-particle":"","parse-names":false,"suffix":""},{"dropping-particle":"","family":"Kelley","given":"K W","non-dropping-particle":"","parse-names":false,"suffix":""}],"container-title":"Nature Reviews Neuroscience","id":"ITEM-1","issue":"1","issued":{"date-parts":[["2008"]]},"page":"46-56","title":"From inflammation to sickness and depression: when the immune system subjugates the brain","type":"article-journal","volume":"9"},"uris":["http://www.mendeley.com/documents/?uuid=e0d8376d-ae37-4e97-88f4-51d40de3eaac"]}],"mendeley":{"formattedCitation":"(Dantzer et al., 2008)","plainTextFormattedCitation":"(Dantzer et al., 2008)","previouslyFormattedCitation":"(Dantzer et al., 2008)"},"properties":{"noteIndex":0},"schema":"https://github.com/citation-style-language/schema/raw/master/csl-citation.json"}</w:instrText>
      </w:r>
      <w:r w:rsidR="000B3E38">
        <w:rPr>
          <w:lang w:val="en-GB"/>
        </w:rPr>
        <w:fldChar w:fldCharType="separate"/>
      </w:r>
      <w:r w:rsidR="00672BCF" w:rsidRPr="00672BCF">
        <w:rPr>
          <w:noProof/>
          <w:lang w:val="en-GB"/>
        </w:rPr>
        <w:t>(</w:t>
      </w:r>
      <w:proofErr w:type="spellStart"/>
      <w:r w:rsidR="00672BCF" w:rsidRPr="00672BCF">
        <w:rPr>
          <w:noProof/>
          <w:lang w:val="en-GB"/>
        </w:rPr>
        <w:t>Dantzer</w:t>
      </w:r>
      <w:proofErr w:type="spellEnd"/>
      <w:r w:rsidR="00672BCF" w:rsidRPr="00672BCF">
        <w:rPr>
          <w:noProof/>
          <w:lang w:val="en-GB"/>
        </w:rPr>
        <w:t xml:space="preserve"> et al., 2008)</w:t>
      </w:r>
      <w:r w:rsidR="000B3E38">
        <w:rPr>
          <w:lang w:val="en-GB"/>
        </w:rPr>
        <w:fldChar w:fldCharType="end"/>
      </w:r>
      <w:r w:rsidR="00672BCF">
        <w:rPr>
          <w:lang w:val="en-GB"/>
        </w:rPr>
        <w:t>.</w:t>
      </w:r>
      <w:r w:rsidR="002E1B90">
        <w:rPr>
          <w:lang w:val="en-GB"/>
        </w:rPr>
        <w:t xml:space="preserve"> </w:t>
      </w:r>
    </w:p>
    <w:p w14:paraId="30F51A6F" w14:textId="20E9B82B" w:rsidR="00F90172" w:rsidRDefault="00F90172" w:rsidP="00E45C5E">
      <w:pPr>
        <w:rPr>
          <w:rFonts w:cs="Times New Roman"/>
          <w:szCs w:val="24"/>
          <w:lang w:val="en-GB"/>
        </w:rPr>
      </w:pPr>
    </w:p>
    <w:p w14:paraId="414B1A52" w14:textId="6BAADEB7" w:rsidR="00F90172" w:rsidRDefault="00F90172" w:rsidP="00E45C5E">
      <w:pPr>
        <w:rPr>
          <w:rFonts w:cs="Times New Roman"/>
          <w:szCs w:val="24"/>
          <w:lang w:val="en-GB"/>
        </w:rPr>
      </w:pPr>
      <w:r>
        <w:rPr>
          <w:rFonts w:cs="Times New Roman"/>
          <w:szCs w:val="24"/>
          <w:lang w:val="en-GB"/>
        </w:rPr>
        <w:t xml:space="preserve">Inflammation predicts worse treatment response </w:t>
      </w:r>
      <w:r>
        <w:rPr>
          <w:rFonts w:cs="Times New Roman"/>
          <w:szCs w:val="24"/>
          <w:lang w:val="en-GB"/>
        </w:rPr>
        <w:fldChar w:fldCharType="begin" w:fldLock="1"/>
      </w:r>
      <w:r w:rsidR="00450A92">
        <w:rPr>
          <w:rFonts w:cs="Times New Roman"/>
          <w:szCs w:val="24"/>
          <w:lang w:val="en-GB"/>
        </w:rPr>
        <w:instrText>ADDIN CSL_CITATION {"citationItems":[{"id":"ITEM-1","itemData":{"DOI":"10.1016/j.euroneuro.2015.06.007","ISSN":"0924977X","abstract":"The depressive state has been characterised as one of elevated inflammation, which holds promise for better understanding treatment-resistance in affective disorders as well as for future developments in treatment stratification. Aiming to investigate alterations in the inflammatory profiles of individuals with depression as putative biomarkers for clinical response, we conducted meta-analyses examining data from 35 studies that investigated inflammation before and after treatment in depressed patients together with a measure of clinical response. There were sufficient data to analyse IL-6, TNFα and CRP. Levels of IL-6 decreased with antidepressant treatment regardless of outcome, whereas persistently elevated TNFα was associated with prospectively determined treatment resistance. Treatment non-responders tended to have higher baseline inflammation, using a composite measure of inflammatory markers. Our findings suggest that elevated levels of inflammation are contributory to treatment resistance. Combining inflammatory biomarkers might prove a useful tool to improve diagnosis and detection of treatment refractoriness, and targeting persistent inflammation in treatment-resistant depression may offer a potential target for the development of novel intervention strategies.","author":[{"dropping-particle":"","family":"Strawbridge","given":"R.","non-dropping-particle":"","parse-names":false,"suffix":""},{"dropping-particle":"","family":"Arnone","given":"D.","non-dropping-particle":"","parse-names":false,"suffix":""},{"dropping-particle":"","family":"Danese","given":"A.","non-dropping-particle":"","parse-names":false,"suffix":""},{"dropping-particle":"","family":"Papadopoulos","given":"A.","non-dropping-particle":"","parse-names":false,"suffix":""},{"dropping-particle":"","family":"Herane Vives","given":"A.","non-dropping-particle":"","parse-names":false,"suffix":""},{"dropping-particle":"","family":"Cleare","given":"A.J.","non-dropping-particle":"","parse-names":false,"suffix":""}],"container-title":"European Neuropsychopharmacology","id":"ITEM-1","issue":"10","issued":{"date-parts":[["2015","10"]]},"page":"1532-1543","title":"Inflammation and clinical response to treatment in depression: A meta-analysis","type":"article-journal","volume":"25"},"uris":["http://www.mendeley.com/documents/?uuid=b71b6706-10bf-4229-a0f1-75d77ec3491f"]},{"id":"ITEM-2","itemData":{"DOI":"10.1038/s41380-019-0474-5","ISSN":"1359-4184","PMID":"31427752","abstract":"Predicting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Psychiatry","id":"ITEM-2","issue":"2","issued":{"date-parts":[["2020","2","19"]]},"page":"339-350","publisher":"Springer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 Strawbridge et al., 2015)","plainTextFormattedCitation":"(Liu et al., 2020; Strawbridge et al., 2015)","previouslyFormattedCitation":"(Liu et al., 2020; Strawbridge et al., 2015)"},"properties":{"noteIndex":0},"schema":"https://github.com/citation-style-language/schema/raw/master/csl-citation.json"}</w:instrText>
      </w:r>
      <w:r>
        <w:rPr>
          <w:rFonts w:cs="Times New Roman"/>
          <w:szCs w:val="24"/>
          <w:lang w:val="en-GB"/>
        </w:rPr>
        <w:fldChar w:fldCharType="separate"/>
      </w:r>
      <w:r w:rsidRPr="00F90172">
        <w:rPr>
          <w:rFonts w:cs="Times New Roman"/>
          <w:noProof/>
          <w:szCs w:val="24"/>
          <w:lang w:val="en-GB"/>
        </w:rPr>
        <w:t>(Liu et al., 2020; Strawbridge et al., 2015)</w:t>
      </w:r>
      <w:r>
        <w:rPr>
          <w:rFonts w:cs="Times New Roman"/>
          <w:szCs w:val="24"/>
          <w:lang w:val="en-GB"/>
        </w:rPr>
        <w:fldChar w:fldCharType="end"/>
      </w:r>
      <w:r w:rsidR="0029644E">
        <w:rPr>
          <w:rFonts w:cs="Times New Roman"/>
          <w:szCs w:val="24"/>
          <w:lang w:val="en-GB"/>
        </w:rPr>
        <w:t xml:space="preserve"> (and TNF-a changes with anti-depressant treatment </w:t>
      </w:r>
      <w:r w:rsidR="0029644E">
        <w:rPr>
          <w:rFonts w:cs="Times New Roman"/>
          <w:szCs w:val="24"/>
          <w:lang w:val="en-GB"/>
        </w:rPr>
        <w:fldChar w:fldCharType="begin" w:fldLock="1"/>
      </w:r>
      <w:r w:rsidR="009A147E">
        <w:rPr>
          <w:rFonts w:cs="Times New Roman"/>
          <w:szCs w:val="24"/>
          <w:lang w:val="en-GB"/>
        </w:rPr>
        <w:instrText>ADDIN CSL_CITATION {"citationItems":[{"id":"ITEM-1","itemData":{"DOI":"10.1038/npp.2011.132","ISBN":"1740-634X (Electronic)\r0893-133X (Linking)","PMID":"21796103","abstract":"Serum levels of inflammatory cytokines, for example, tumor necrosis factor alpha (TNFalpha), interleukin-6 (IL-6), and IL-1 beta (IL-1beta), are elevated in subjects with major depressive disorder (MDD). The reason why this occurs is unclear. Elevated levels of inflammatory cytokines could be a result of brain dysfunction in MDD. It is also possible that inflammatory cytokines contribute to depressive symptoms in MDD. If the first assumption is correct, one would expect levels to normalize with resolution of the depressive episode after treatment. Several studies have measured changes in cytokine levels during antidepressant treatment; however, the results vary. The purpose of this study was to pool all available data on changes in serum levels of TNFalpha, IL-6, and IL-1beta during antidepressant treatment to determine whether these levels change. Studies were included if they used an approved pharmacological treatment for depression, patients had a diagnosis of MDD, and serum levels of TNFalpha, IL-6, and/or IL-1beta were measured before and after treatment. Twenty-two studies fulfilled these criteria. Meta-analysis of these studies showed that, overall, while pharmacological antidepressant treatment reduced depressive symptoms, it did not reduce serum levels of TNFalpha. On the other hand, antidepressant treatment did reduce levels of IL-1beta and possibly those of IL-6. Stratified subgroup analysis by class of antidepressant indicated that serotonin reuptake inhibitors may reduce levels of IL-6 and TNFalpha. Other antidepressants, while efficacious for depressive symptoms, did not appear to reduce cytokine levels. These results argue against the notion that resolution of a depressive episode is associated with normalization of levels of circulating inflammatory cytokines; however, the results are consistent with the possibility that inflammatory cytokines contribute to depressive symptoms and that antidepressants block the effects of inflammatory cytokines on the brain.","author":[{"dropping-particle":"","family":"Hannestad","given":"J","non-dropping-particle":"","parse-names":false,"suffix":""},{"dropping-particle":"","family":"DellaGioia","given":"N","non-dropping-particle":"","parse-names":false,"suffix":""},{"dropping-particle":"","family":"Bloch","given":"M","non-dropping-particle":"","parse-names":false,"suffix":""}],"container-title":"Neuropsychopharmacology","edition":"2011/07/29","id":"ITEM-1","issue":"12","issued":{"date-parts":[["2011"]]},"language":"eng","note":"Hannestad, Jonas\nDellaGioia, Nicole\nBloch, Michael\n1K23MH091240-01/MH/NIMH NIH HHS/United States\nK12 DA000167/DA/NIDA NIH HHS/United States\nK12 DA000167-19/DA/NIDA NIH HHS/United States\nK12DA00167/DA/NIDA NIH HHS/United States\nK23 MH091240/MH/NIMH NIH HHS/United States\nR25 MH077823/MH/NIMH NIH HHS/United States\nUL1 RR024139/RR/NCRR NIH HHS/United States\nMeta-Analysis\nResearch Support, N.I.H., Extramural\nResearch Support, Non-U.S. Gov't\nEngland\nNeuropsychopharmacology. 2011 Nov;36(12):2452-9. doi: 10.1038/npp.2011.132. Epub 2011 Jul 27.","page":"2452-2459","title":"The effect of antidepressant medication treatment on serum levels of inflammatory cytokines: a meta-analysis","type":"article-journal","volume":"36"},"uris":["http://www.mendeley.com/documents/?uuid=6d9bbfdc-36dd-4cac-a3e9-19e4e32443d6"]}],"mendeley":{"formattedCitation":"(Hannestad et al., 2011)","plainTextFormattedCitation":"(Hannestad et al., 2011)","previouslyFormattedCitation":"(Hannestad et al., 2011)"},"properties":{"noteIndex":0},"schema":"https://github.com/citation-style-language/schema/raw/master/csl-citation.json"}</w:instrText>
      </w:r>
      <w:r w:rsidR="0029644E">
        <w:rPr>
          <w:rFonts w:cs="Times New Roman"/>
          <w:szCs w:val="24"/>
          <w:lang w:val="en-GB"/>
        </w:rPr>
        <w:fldChar w:fldCharType="separate"/>
      </w:r>
      <w:r w:rsidR="0029644E" w:rsidRPr="0029644E">
        <w:rPr>
          <w:rFonts w:cs="Times New Roman"/>
          <w:noProof/>
          <w:szCs w:val="24"/>
          <w:lang w:val="en-GB"/>
        </w:rPr>
        <w:t>(Hannestad et al., 2011)</w:t>
      </w:r>
      <w:r w:rsidR="0029644E">
        <w:rPr>
          <w:rFonts w:cs="Times New Roman"/>
          <w:szCs w:val="24"/>
          <w:lang w:val="en-GB"/>
        </w:rPr>
        <w:fldChar w:fldCharType="end"/>
      </w:r>
      <w:r w:rsidR="0029644E">
        <w:rPr>
          <w:rFonts w:cs="Times New Roman"/>
          <w:szCs w:val="24"/>
          <w:lang w:val="en-GB"/>
        </w:rPr>
        <w:t>).</w:t>
      </w:r>
    </w:p>
    <w:p w14:paraId="0DFC5681" w14:textId="77777777" w:rsidR="0030387E" w:rsidRDefault="0030387E" w:rsidP="009A1D40">
      <w:pPr>
        <w:rPr>
          <w:rFonts w:cs="Times New Roman"/>
          <w:b/>
          <w:szCs w:val="24"/>
          <w:lang w:val="en-GB"/>
        </w:rPr>
      </w:pPr>
    </w:p>
    <w:p w14:paraId="0E0B7CBD" w14:textId="4CD34670" w:rsidR="002C53DD" w:rsidRDefault="002B0931" w:rsidP="002B0931">
      <w:pPr>
        <w:rPr>
          <w:lang w:val="en-GB"/>
        </w:rPr>
      </w:pPr>
      <w:r>
        <w:rPr>
          <w:lang w:val="en-GB"/>
        </w:rPr>
        <w:t xml:space="preserve">Studies to date have only investigated single, few or </w:t>
      </w:r>
      <w:r w:rsidR="008A602D">
        <w:rPr>
          <w:lang w:val="en-GB"/>
        </w:rPr>
        <w:t xml:space="preserve">a maximum of 16 </w:t>
      </w:r>
      <w:r w:rsidR="00054BE6">
        <w:rPr>
          <w:lang w:val="en-GB"/>
        </w:rPr>
        <w:fldChar w:fldCharType="begin" w:fldLock="1"/>
      </w:r>
      <w:r w:rsidR="00CC735E">
        <w:rPr>
          <w:lang w:val="en-GB"/>
        </w:rPr>
        <w:instrText>ADDIN CSL_CITATION {"citationItems":[{"id":"ITEM-1","itemData":{"DOI":"10.1016/j.jpsychires.2017.05.012","ISSN":"18791379","abstract":"Animal and human studies suggest an association between depression and aberrant immune response. Further, common inflammatory markers may change during the course of antidepressant treatment in patients. The objective of this study was to evaluate changes in inflammatory markers and clinical outcomes from subjects enrolled in the Combining Medications to Enhance Depression Outcome (CO-MED) trial. At baseline and week 12 (treatment completion), plasma samples of 102 participants were analyzed via a multiplex assay comprised of inflammatory markers using a 27-plex standard assay panel plus a 4-plex human acute phase xMAP technology based platform. We carried out analyses in two steps. First, t-tests were used to identify inflammatory marker levels that changed between baseline and week 12. For markers that were altered, logistic regression models were then conducted to look for associated changes in remission at week 12. Among the 31 inflammatory markers analyzed, several cytokines (IL-5, IFN-γ, IL-13), two chemokines (Eotaxin-1/CCL11, RANTES) and an acute-phase reactant (serum amyloid P component) showed change from baseline to week 12. However, only two indicated differential remission responses. Interestingly, increased levels of Eotaxin-1/CCL11 correlated with remission at week 12, whereas decreased levels of IFN-γ correlated with non-remission at week 12. Results suggest that these inflammatory proteins may serve as predictors of treatment response.","author":[{"dropping-particle":"","family":"Gadad","given":"Bharathi S.","non-dropping-particle":"","parse-names":false,"suffix":""},{"dropping-particle":"","family":"Jha","given":"Manish K.","non-dropping-particle":"","parse-names":false,"suffix":""},{"dropping-particle":"","family":"Grannemann","given":"Bruce D.","non-dropping-particle":"","parse-names":false,"suffix":""},{"dropping-particle":"","family":"Mayes","given":"Taryn L.","non-dropping-particle":"","parse-names":false,"suffix":""},{"dropping-particle":"","family":"Trivedi","given":"Madhukar H.","non-dropping-particle":"","parse-names":false,"suffix":""}],"container-title":"Journal of Psychiatric Research","id":"ITEM-1","issued":{"date-parts":[["2017"]]},"page":"1-6","publisher":"Elsevier Ltd","title":"Proteomics profiling reveals inflammatory biomarkers of antidepressant treatment response: Findings from the CO-MED trial","type":"article-journal","volume":"94"},"uris":["http://www.mendeley.com/documents/?uuid=2362e2de-0106-431b-b698-f84321a4fbc1"]}],"mendeley":{"formattedCitation":"(Gadad et al., 2017)","plainTextFormattedCitation":"(Gadad et al., 2017)","previouslyFormattedCitation":"(Gadad et al., 2017)"},"properties":{"noteIndex":0},"schema":"https://github.com/citation-style-language/schema/raw/master/csl-citation.json"}</w:instrText>
      </w:r>
      <w:r w:rsidR="00054BE6">
        <w:rPr>
          <w:lang w:val="en-GB"/>
        </w:rPr>
        <w:fldChar w:fldCharType="separate"/>
      </w:r>
      <w:r w:rsidR="00054BE6" w:rsidRPr="00054BE6">
        <w:rPr>
          <w:noProof/>
          <w:lang w:val="en-GB"/>
        </w:rPr>
        <w:t>(Gadad et al., 2017)</w:t>
      </w:r>
      <w:r w:rsidR="00054BE6">
        <w:rPr>
          <w:lang w:val="en-GB"/>
        </w:rPr>
        <w:fldChar w:fldCharType="end"/>
      </w:r>
      <w:r w:rsidR="00054BE6">
        <w:rPr>
          <w:lang w:val="en-GB"/>
        </w:rPr>
        <w:t xml:space="preserve"> </w:t>
      </w:r>
      <w:r w:rsidR="008A602D">
        <w:rPr>
          <w:lang w:val="en-GB"/>
        </w:rPr>
        <w:t xml:space="preserve">different </w:t>
      </w:r>
      <w:r w:rsidR="00AA5401">
        <w:rPr>
          <w:lang w:val="en-GB"/>
        </w:rPr>
        <w:t>cytokines</w:t>
      </w:r>
      <w:r w:rsidR="008A602D">
        <w:rPr>
          <w:lang w:val="en-GB"/>
        </w:rPr>
        <w:t xml:space="preserve"> concurrently</w:t>
      </w:r>
      <w:r w:rsidR="00054BE6">
        <w:rPr>
          <w:lang w:val="en-GB"/>
        </w:rPr>
        <w:t xml:space="preserve"> </w:t>
      </w:r>
      <w:r w:rsidR="00054BE6">
        <w:rPr>
          <w:lang w:val="en-GB"/>
        </w:rPr>
        <w:fldChar w:fldCharType="begin" w:fldLock="1"/>
      </w:r>
      <w:r w:rsidR="00054BE6">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2020)","plainTextFormattedCitation":"(Liu et al., 2020)","previouslyFormattedCitation":"(Liu et al., 2020)"},"properties":{"noteIndex":0},"schema":"https://github.com/citation-style-language/schema/raw/master/csl-citation.json"}</w:instrText>
      </w:r>
      <w:r w:rsidR="00054BE6">
        <w:rPr>
          <w:lang w:val="en-GB"/>
        </w:rPr>
        <w:fldChar w:fldCharType="separate"/>
      </w:r>
      <w:r w:rsidR="00054BE6" w:rsidRPr="00054BE6">
        <w:rPr>
          <w:noProof/>
          <w:lang w:val="en-GB"/>
        </w:rPr>
        <w:t>(Liu et al., 2020)</w:t>
      </w:r>
      <w:r w:rsidR="00054BE6">
        <w:rPr>
          <w:lang w:val="en-GB"/>
        </w:rPr>
        <w:fldChar w:fldCharType="end"/>
      </w:r>
      <w:r w:rsidR="008A602D">
        <w:rPr>
          <w:lang w:val="en-GB"/>
        </w:rPr>
        <w:t xml:space="preserve">. </w:t>
      </w:r>
      <w:r w:rsidR="00F7225B">
        <w:rPr>
          <w:lang w:val="en-GB"/>
        </w:rPr>
        <w:t xml:space="preserve">Cytokine signalling is a complex interrelated process, however, </w:t>
      </w:r>
      <w:r w:rsidR="006A3F90">
        <w:rPr>
          <w:lang w:val="en-GB"/>
        </w:rPr>
        <w:t xml:space="preserve">so methods </w:t>
      </w:r>
      <w:r w:rsidR="003F57C2">
        <w:rPr>
          <w:lang w:val="en-GB"/>
        </w:rPr>
        <w:t xml:space="preserve">are needed that </w:t>
      </w:r>
      <w:r w:rsidR="006A216A">
        <w:rPr>
          <w:lang w:val="en-GB"/>
        </w:rPr>
        <w:t xml:space="preserve">disentangle complex cytokine interactions to </w:t>
      </w:r>
      <w:r w:rsidR="00CC735E">
        <w:rPr>
          <w:lang w:val="en-GB"/>
        </w:rPr>
        <w:t xml:space="preserve">develop algorithms indexing treatment response. </w:t>
      </w:r>
      <w:proofErr w:type="spellStart"/>
      <w:r w:rsidR="00CC735E">
        <w:rPr>
          <w:lang w:val="en-GB"/>
        </w:rPr>
        <w:t>Lynall</w:t>
      </w:r>
      <w:proofErr w:type="spellEnd"/>
      <w:r w:rsidR="00CC735E">
        <w:rPr>
          <w:lang w:val="en-GB"/>
        </w:rPr>
        <w:t xml:space="preserve"> and colleagues have recently XY </w:t>
      </w:r>
      <w:r w:rsidR="00CC735E">
        <w:rPr>
          <w:lang w:val="en-GB"/>
        </w:rPr>
        <w:fldChar w:fldCharType="begin" w:fldLock="1"/>
      </w:r>
      <w:r w:rsidR="007B75D2">
        <w:rPr>
          <w:lang w:val="en-GB"/>
        </w:rPr>
        <w:instrText>ADDIN CSL_CITATION {"citationItems":[{"id":"ITEM-1","itemData":{"DOI":"10.1016/j.biopsych.2019.11.017","ISSN":"00063223","abstract":"Depression has been associated with increased inflammatory proteins but changes in circulating immune cells are less well defined. We used multi-parametric flow cytometry to investigate 14 subsets of peripheral blood cells in 206 cases of major depressive disorder (MDD) and 77 age- and sex-matched controls. There were significant case-control differences, by univariate and multivariate analysis: cases showed increased immune cell counts, especially neutrophils, CD4+ T cells and monocytes, and increased inflammatory proteins (C-reactive protein and interleukin-6). Within-group analysis demonstrated significant association between the severity of depressive symptoms and increased myeloid and CD4+ cell counts. MDD cases could be partitioned into two groups by forced binary clustering of cell counts: the inflamed depression group (N=81 out of 206; 39%) had increased monocyte, CD4+ and neutrophil counts, increased C-reactive protein (CRP) and interleukin 6 (IL-6), and was more depressed than the uninflamed majority of cases. Relaxing the presumption of a binary classification, data-driven clustering identified four subgroups of MDD cases: two of these subgroups (N=38 and N=100; 67% collectively) were associated with increased inflammatory proteins and more severe depression, but differed from each other in the relative weighting of myeloid and lymphoid cell counts. Case-control and within-group results were robust to statistical control for the potentially confounding effects of age, sex, BMI, recent infection status, and tobacco use. Peripheral blood immunophenotyping can be used to identify a candidate cellular biomarker of inflamed depression, and to further decompose that binary partition, suggesting that there is more than one mechanistic pathway underlying inflamed depression. One Sentence Summary Two subgroups of depressed cases (about two-thirds of all 206 cases) were identified by peripheral blood biomarker evidence of distinctive cellular immunophenotypes, biased towards the myeloid or lymphoid lineages in different subgroups, but consistently associated with increased blood concentrations of inflammatory proteins and greater severity of depressive symptoms.","author":[{"dropping-particle":"","family":"Lynall","given":"Mary-Ellen","non-dropping-particle":"","parse-names":false,"suffix":""},{"dropping-particle":"","family":"Turner","given":"Lorinda","non-dropping-particle":"","parse-names":false,"suffix":""},{"dropping-particle":"","family":"Bhatti","given":"Junaid","non-dropping-particle":"","parse-names":false,"suffix":""},{"dropping-particle":"","family":"Cavanagh","given":"Jonathan","non-dropping-particle":"","parse-names":false,"suffix":""},{"dropping-particle":"","family":"Boer","given":"Peter","non-dropping-particle":"de","parse-names":false,"suffix":""},{"dropping-particle":"","family":"Mondelli","given":"Valeria","non-dropping-particle":"","parse-names":false,"suffix":""},{"dropping-particle":"","family":"Jones","given":"Declan","non-dropping-particle":"","parse-names":false,"suffix":""},{"dropping-particle":"","family":"Drevets","given":"Wayne C.","non-dropping-particle":"","parse-names":false,"suffix":""},{"dropping-particle":"","family":"Cowen","given":"Philip","non-dropping-particle":"","parse-names":false,"suffix":""},{"dropping-particle":"","family":"Harrison","given":"Neil A.","non-dropping-particle":"","parse-names":false,"suffix":""},{"dropping-particle":"","family":"Pariante","given":"Carmine M","non-dropping-particle":"","parse-names":false,"suffix":""},{"dropping-particle":"","family":"Pointon","given":"Linda","non-dropping-particle":"","parse-names":false,"suffix":""},{"dropping-particle":"","family":"Clatworthy","given":"Menna R.","non-dropping-particle":"","parse-names":false,"suffix":""},{"dropping-particle":"","family":"Bullmore","given":"Edward","non-dropping-particle":"","parse-names":false,"suffix":""}],"container-title":"Biological Psychiatry","id":"ITEM-1","issue":"2","issued":{"date-parts":[["2020","7"]]},"page":"185-196","publisher":"Society of Biological Psychiatry","title":"Peripheral Blood Cell–Stratified Subgroups of Inflamed Depression","type":"article-journal","volume":"88"},"uris":["http://www.mendeley.com/documents/?uuid=5c680f05-1925-4f4e-bbe9-4736636db96d"]}],"mendeley":{"formattedCitation":"(Lynall et al., 2020)","plainTextFormattedCitation":"(Lynall et al., 2020)","previouslyFormattedCitation":"(Lynall et al., 2020)"},"properties":{"noteIndex":0},"schema":"https://github.com/citation-style-language/schema/raw/master/csl-citation.json"}</w:instrText>
      </w:r>
      <w:r w:rsidR="00CC735E">
        <w:rPr>
          <w:lang w:val="en-GB"/>
        </w:rPr>
        <w:fldChar w:fldCharType="separate"/>
      </w:r>
      <w:r w:rsidR="009A147E" w:rsidRPr="009A147E">
        <w:rPr>
          <w:noProof/>
          <w:lang w:val="en-GB"/>
        </w:rPr>
        <w:t>(Lynall et al., 2020)</w:t>
      </w:r>
      <w:r w:rsidR="00CC735E">
        <w:rPr>
          <w:lang w:val="en-GB"/>
        </w:rPr>
        <w:fldChar w:fldCharType="end"/>
      </w:r>
      <w:r w:rsidR="00CC735E">
        <w:rPr>
          <w:lang w:val="en-GB"/>
        </w:rPr>
        <w:t>.</w:t>
      </w:r>
    </w:p>
    <w:p w14:paraId="5394780F" w14:textId="77777777" w:rsidR="002C53DD" w:rsidRDefault="002C53DD" w:rsidP="002B6F3D">
      <w:pPr>
        <w:rPr>
          <w:lang w:val="en-GB"/>
        </w:rPr>
      </w:pPr>
    </w:p>
    <w:p w14:paraId="12AE520A" w14:textId="48B70417" w:rsidR="002C53DD" w:rsidRPr="002C53DD" w:rsidRDefault="002C53DD" w:rsidP="009A1D40">
      <w:pPr>
        <w:rPr>
          <w:rFonts w:cs="Times New Roman"/>
          <w:szCs w:val="24"/>
          <w:lang w:val="en-GB"/>
        </w:rPr>
        <w:sectPr w:rsidR="002C53DD" w:rsidRPr="002C53DD" w:rsidSect="00B64A9F">
          <w:footerReference w:type="default" r:id="rId9"/>
          <w:pgSz w:w="12240" w:h="15840"/>
          <w:pgMar w:top="1417" w:right="1417" w:bottom="1134" w:left="1417" w:header="708" w:footer="708" w:gutter="0"/>
          <w:lnNumType w:countBy="1" w:restart="continuous"/>
          <w:cols w:space="708"/>
          <w:docGrid w:linePitch="360"/>
        </w:sectPr>
      </w:pPr>
      <w:proofErr w:type="spellStart"/>
      <w:r>
        <w:rPr>
          <w:rFonts w:cs="Times New Roman"/>
          <w:szCs w:val="24"/>
          <w:lang w:val="en-GB"/>
        </w:rPr>
        <w:t>Chekroud</w:t>
      </w:r>
      <w:proofErr w:type="spellEnd"/>
      <w:r>
        <w:rPr>
          <w:rFonts w:cs="Times New Roman"/>
          <w:szCs w:val="24"/>
          <w:lang w:val="en-GB"/>
        </w:rPr>
        <w:t xml:space="preserve"> and colleagues have used machine learning to predict treatment outcome in two antidepressant medication clinical trials </w:t>
      </w:r>
      <w:r>
        <w:rPr>
          <w:rFonts w:cs="Times New Roman"/>
          <w:szCs w:val="24"/>
          <w:lang w:val="en-GB"/>
        </w:rPr>
        <w:fldChar w:fldCharType="begin" w:fldLock="1"/>
      </w:r>
      <w:r w:rsidR="00CD36EF">
        <w:rPr>
          <w:rFonts w:cs="Times New Roman"/>
          <w:szCs w:val="24"/>
          <w:lang w:val="en-GB"/>
        </w:rPr>
        <w:instrText>ADDIN CSL_CITATION {"citationItems":[{"id":"ITEM-1","itemData":{"DOI":"10.1016/S2215-0366(15)00471-X","ISSN":"22150366","abstract":"Background: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Psychiatry","id":"ITEM-1","issue":"3","issued":{"date-parts":[["2016","3"]]},"page":"243-250","publisher":"Elsevier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2016)","plainTextFormattedCitation":"(Chekroud et al., 2016)","previouslyFormattedCitation":"(Chekroud et al., 2016)"},"properties":{"noteIndex":0},"schema":"https://github.com/citation-style-language/schema/raw/master/csl-citation.json"}</w:instrText>
      </w:r>
      <w:r>
        <w:rPr>
          <w:rFonts w:cs="Times New Roman"/>
          <w:szCs w:val="24"/>
          <w:lang w:val="en-GB"/>
        </w:rPr>
        <w:fldChar w:fldCharType="separate"/>
      </w:r>
      <w:r w:rsidRPr="002C53DD">
        <w:rPr>
          <w:rFonts w:cs="Times New Roman"/>
          <w:noProof/>
          <w:szCs w:val="24"/>
          <w:lang w:val="en-GB"/>
        </w:rPr>
        <w:t>(Chekroud et al., 2016)</w:t>
      </w:r>
      <w:r>
        <w:rPr>
          <w:rFonts w:cs="Times New Roman"/>
          <w:szCs w:val="24"/>
          <w:lang w:val="en-GB"/>
        </w:rPr>
        <w:fldChar w:fldCharType="end"/>
      </w:r>
      <w:r>
        <w:rPr>
          <w:rFonts w:cs="Times New Roman"/>
          <w:szCs w:val="24"/>
          <w:lang w:val="en-GB"/>
        </w:rPr>
        <w:t>.</w:t>
      </w:r>
    </w:p>
    <w:p w14:paraId="76A8B7E1" w14:textId="59F2CD1B" w:rsidR="007A4FB4" w:rsidRDefault="009A1D40" w:rsidP="001C2072">
      <w:pPr>
        <w:pStyle w:val="Heading1"/>
        <w:rPr>
          <w:lang w:val="en-GB"/>
        </w:rPr>
      </w:pPr>
      <w:r w:rsidRPr="006145CB">
        <w:rPr>
          <w:lang w:val="en-GB"/>
        </w:rPr>
        <w:lastRenderedPageBreak/>
        <w:t>Methods</w:t>
      </w:r>
    </w:p>
    <w:p w14:paraId="7E5A705C" w14:textId="70A7AA8B" w:rsidR="00A9603B" w:rsidRDefault="00D57792" w:rsidP="00E45C5E">
      <w:pPr>
        <w:pStyle w:val="Heading2"/>
        <w:rPr>
          <w:lang w:val="en-GB"/>
        </w:rPr>
      </w:pPr>
      <w:r w:rsidRPr="00D57792">
        <w:t>Study Population</w:t>
      </w:r>
      <w:r w:rsidR="005B2DEE" w:rsidRPr="00D57792">
        <w:t xml:space="preserve"> </w:t>
      </w:r>
      <w:r w:rsidR="00EA3828" w:rsidRPr="00D57792">
        <w:t xml:space="preserve"> </w:t>
      </w:r>
      <w:r w:rsidR="00B72B09" w:rsidRPr="00D57792">
        <w:t xml:space="preserve"> </w:t>
      </w:r>
    </w:p>
    <w:p w14:paraId="5B84CEC6" w14:textId="067DC49C" w:rsidR="00342BB2" w:rsidRDefault="00E45C5E" w:rsidP="009A1D40">
      <w:pPr>
        <w:rPr>
          <w:rFonts w:cs="Times New Roman"/>
          <w:szCs w:val="24"/>
          <w:lang w:val="en-GB"/>
        </w:rPr>
      </w:pPr>
      <w:r>
        <w:rPr>
          <w:rFonts w:cs="Times New Roman"/>
          <w:szCs w:val="24"/>
          <w:lang w:val="en-GB"/>
        </w:rPr>
        <w:t>We used data from</w:t>
      </w:r>
      <w:r w:rsidR="00FB2536">
        <w:rPr>
          <w:rFonts w:cs="Times New Roman"/>
          <w:szCs w:val="24"/>
          <w:lang w:val="en-GB"/>
        </w:rPr>
        <w:t xml:space="preserve"> a subset of patients participating the</w:t>
      </w:r>
      <w:r>
        <w:rPr>
          <w:rFonts w:cs="Times New Roman"/>
          <w:szCs w:val="24"/>
          <w:lang w:val="en-GB"/>
        </w:rPr>
        <w:t xml:space="preserve"> OPTIMA study</w:t>
      </w:r>
      <w:r w:rsidR="009027A3">
        <w:rPr>
          <w:rFonts w:cs="Times New Roman"/>
          <w:szCs w:val="24"/>
          <w:lang w:val="en-GB"/>
        </w:rPr>
        <w:t xml:space="preserve"> [REF]</w:t>
      </w:r>
      <w:r w:rsidR="00FB2536">
        <w:rPr>
          <w:rFonts w:cs="Times New Roman"/>
          <w:szCs w:val="24"/>
          <w:lang w:val="en-GB"/>
        </w:rPr>
        <w:t>.</w:t>
      </w:r>
    </w:p>
    <w:p w14:paraId="17C2E1E1" w14:textId="3848E3E3" w:rsidR="00647826" w:rsidRPr="00741939" w:rsidRDefault="00E45C5E" w:rsidP="00A9603B">
      <w:pPr>
        <w:pStyle w:val="Heading2"/>
      </w:pPr>
      <w:r>
        <w:t>Measures</w:t>
      </w:r>
    </w:p>
    <w:p w14:paraId="129BA0D8" w14:textId="546A6113" w:rsidR="00DF16B4" w:rsidRDefault="00A62C4E" w:rsidP="00DF16B4">
      <w:pPr>
        <w:pStyle w:val="Heading3"/>
        <w:rPr>
          <w:lang w:val="en-GB"/>
        </w:rPr>
      </w:pPr>
      <w:r>
        <w:rPr>
          <w:lang w:val="en-GB"/>
        </w:rPr>
        <w:t>Immunophenotyping</w:t>
      </w:r>
    </w:p>
    <w:p w14:paraId="6E0AFCFD" w14:textId="55BE675F" w:rsidR="009F00AA" w:rsidRDefault="005C3CF3" w:rsidP="009F00AA">
      <w:pPr>
        <w:rPr>
          <w:lang w:val="en-GB"/>
        </w:rPr>
      </w:pPr>
      <w:r>
        <w:rPr>
          <w:lang w:val="en-GB"/>
        </w:rPr>
        <w:t>In-depth immunophenotyping</w:t>
      </w:r>
      <w:r w:rsidR="009F00AA">
        <w:rPr>
          <w:lang w:val="en-GB"/>
        </w:rPr>
        <w:t xml:space="preserve"> w</w:t>
      </w:r>
      <w:r>
        <w:rPr>
          <w:lang w:val="en-GB"/>
        </w:rPr>
        <w:t>as</w:t>
      </w:r>
      <w:r w:rsidR="009F00AA">
        <w:rPr>
          <w:lang w:val="en-GB"/>
        </w:rPr>
        <w:t xml:space="preserve"> </w:t>
      </w:r>
      <w:r>
        <w:rPr>
          <w:lang w:val="en-GB"/>
        </w:rPr>
        <w:t>conducted</w:t>
      </w:r>
      <w:r w:rsidR="009F00AA">
        <w:rPr>
          <w:lang w:val="en-GB"/>
        </w:rPr>
        <w:t xml:space="preserve"> </w:t>
      </w:r>
      <w:r>
        <w:rPr>
          <w:lang w:val="en-GB"/>
        </w:rPr>
        <w:t>using</w:t>
      </w:r>
      <w:r w:rsidR="009F00AA">
        <w:rPr>
          <w:lang w:val="en-GB"/>
        </w:rPr>
        <w:t xml:space="preserve"> serum samples </w:t>
      </w:r>
      <w:r>
        <w:rPr>
          <w:lang w:val="en-GB"/>
        </w:rPr>
        <w:t>of</w:t>
      </w:r>
      <w:r w:rsidR="009F00AA">
        <w:rPr>
          <w:lang w:val="en-GB"/>
        </w:rPr>
        <w:t xml:space="preserve"> X patients from the OPTIMA and </w:t>
      </w:r>
      <w:proofErr w:type="spellStart"/>
      <w:r w:rsidR="009F00AA">
        <w:rPr>
          <w:lang w:val="en-GB"/>
        </w:rPr>
        <w:t>BeCOME</w:t>
      </w:r>
      <w:proofErr w:type="spellEnd"/>
      <w:r w:rsidR="009F00AA">
        <w:rPr>
          <w:lang w:val="en-GB"/>
        </w:rPr>
        <w:t xml:space="preserve"> </w:t>
      </w:r>
      <w:r w:rsidR="009F00AA">
        <w:rPr>
          <w:lang w:val="en-GB"/>
        </w:rPr>
        <w:fldChar w:fldCharType="begin" w:fldLock="1"/>
      </w:r>
      <w:r w:rsidR="00054BE6">
        <w:rPr>
          <w:lang w:val="en-GB"/>
        </w:rPr>
        <w:instrText>ADDIN CSL_CITATION {"citationItems":[{"id":"ITEM-1","itemData":{"DOI":"10.1186/s12888-020-02541-z","author":[{"dropping-particle":"","family":"Brückl","given":"Tanja M","non-dropping-particle":"","parse-names":false,"suffix":""},{"dropping-particle":"","family":"Spoormaker","given":"Victor I","non-dropping-particle":"","parse-names":false,"suffix":""},{"dropping-particle":"","family":"Sämann","given":"Philipp G","non-dropping-particle":"","parse-names":false,"suffix":""},{"dropping-particle":"","family":"Brem","given":"Anna-katharine","non-dropping-particle":"","parse-names":false,"suffix":""},{"dropping-particle":"","family":"Henco","given":"Lara","non-dropping-particle":"","parse-names":false,"suffix":""},{"dropping-particle":"","family":"Czamara","given":"Darina","non-dropping-particle":"","parse-names":false,"suffix":""},{"dropping-particle":"","family":"Elbau","given":"Immanuel","non-dropping-particle":"","parse-names":false,"suffix":""},{"dropping-particle":"","family":"Grandi","given":"Norma C","non-dropping-particle":"","parse-names":false,"suffix":""},{"dropping-particle":"","family":"Jollans","given":"Lee","non-dropping-particle":"","parse-names":false,"suffix":""},{"dropping-particle":"","family":"Kühnel","given":"Anne","non-dropping-particle":"","parse-names":false,"suffix":""},{"dropping-particle":"","family":"Leuchs","given":"Laura","non-dropping-particle":"","parse-names":false,"suffix":""},{"dropping-particle":"","family":"Pöhlchen","given":"Dorothee","non-dropping-particle":"","parse-names":false,"suffix":""},{"dropping-particle":"","family":"Schneider","given":"Maximilian","non-dropping-particle":"","parse-names":false,"suffix":""},{"dropping-particle":"","family":"Tontsch","given":"Alina","non-dropping-particle":"","parse-names":false,"suffix":""},{"dropping-particle":"","family":"Keck","given":"Martin E","non-dropping-particle":"","parse-names":false,"suffix":""},{"dropping-particle":"","family":"Schilbach","given":"Leonhard","non-dropping-particle":"","parse-names":false,"suffix":""},{"dropping-particle":"","family":"Czisch","given":"Michael","non-dropping-particle":"","parse-names":false,"suffix":""},{"dropping-particle":"","family":"Lucae","given":"Susanne","non-dropping-particle":"","parse-names":false,"suffix":""},{"dropping-particle":"","family":"Erhardt","given":"Angelika","non-dropping-particle":"","parse-names":false,"suffix":""},{"dropping-particle":"","family":"Binder","given":"Elisabeth B","non-dropping-particle":"","parse-names":false,"suffix":""}],"container-title":"BMC Psychiatry","id":"ITEM-1","issued":{"date-parts":[["2020"]]},"page":"1-25","publisher":"BMC Psychiatry","title":"The biological classification of mental disorders (BeCOME) study: a protocol for an observational deep-phenotyping study for the identification of biological subtypes","type":"article-journal"},"uris":["http://www.mendeley.com/documents/?uuid=f0dacf8b-4456-43bb-87e9-c4b30d01f281"]}],"mendeley":{"formattedCitation":"(Brückl et al., 2020)","plainTextFormattedCitation":"(Brückl et al., 2020)","previouslyFormattedCitation":"(Brückl et al., 2020)"},"properties":{"noteIndex":0},"schema":"https://github.com/citation-style-language/schema/raw/master/csl-citation.json"}</w:instrText>
      </w:r>
      <w:r w:rsidR="009F00AA">
        <w:rPr>
          <w:lang w:val="en-GB"/>
        </w:rPr>
        <w:fldChar w:fldCharType="separate"/>
      </w:r>
      <w:r w:rsidR="009F00AA" w:rsidRPr="00B132FE">
        <w:rPr>
          <w:noProof/>
          <w:lang w:val="en-GB"/>
        </w:rPr>
        <w:t>(Brückl et al., 2020)</w:t>
      </w:r>
      <w:r w:rsidR="009F00AA">
        <w:rPr>
          <w:lang w:val="en-GB"/>
        </w:rPr>
        <w:fldChar w:fldCharType="end"/>
      </w:r>
      <w:r w:rsidR="009F00AA">
        <w:rPr>
          <w:lang w:val="en-GB"/>
        </w:rPr>
        <w:t xml:space="preserve"> studies. We only report data from the OPTIMA study</w:t>
      </w:r>
      <w:r w:rsidR="00992423">
        <w:rPr>
          <w:lang w:val="en-GB"/>
        </w:rPr>
        <w:t xml:space="preserve">, which </w:t>
      </w:r>
      <w:r w:rsidR="006F7C2E">
        <w:rPr>
          <w:lang w:val="en-GB"/>
        </w:rPr>
        <w:t>include</w:t>
      </w:r>
      <w:r w:rsidR="009F00AA">
        <w:rPr>
          <w:lang w:val="en-GB"/>
        </w:rPr>
        <w:t xml:space="preserve"> prospective assessments</w:t>
      </w:r>
      <w:r w:rsidR="007B515C">
        <w:rPr>
          <w:lang w:val="en-GB"/>
        </w:rPr>
        <w:t xml:space="preserve"> of inpatient treatment outcome</w:t>
      </w:r>
      <w:r w:rsidR="009F00AA">
        <w:rPr>
          <w:lang w:val="en-GB"/>
        </w:rPr>
        <w:t xml:space="preserve">. </w:t>
      </w:r>
    </w:p>
    <w:p w14:paraId="5CCF288B" w14:textId="36985BE3" w:rsidR="00DF16B4" w:rsidRDefault="009F00AA" w:rsidP="009B675E">
      <w:pPr>
        <w:rPr>
          <w:lang w:val="en-GB"/>
        </w:rPr>
      </w:pPr>
      <w:r>
        <w:rPr>
          <w:lang w:val="en-GB"/>
        </w:rPr>
        <w:t xml:space="preserve">Y of which participated in the OPTIMA study XY. </w:t>
      </w:r>
      <w:r w:rsidR="00DF16B4">
        <w:rPr>
          <w:lang w:val="en-GB"/>
        </w:rPr>
        <w:t>Clinical outcomes</w:t>
      </w:r>
    </w:p>
    <w:p w14:paraId="2A5E01E4" w14:textId="4E3B87A2" w:rsidR="00C5767D" w:rsidRDefault="00960DA2" w:rsidP="009A1D40">
      <w:pPr>
        <w:rPr>
          <w:rFonts w:cs="Times New Roman"/>
          <w:szCs w:val="24"/>
          <w:lang w:val="en-GB"/>
        </w:rPr>
      </w:pPr>
      <w:r>
        <w:rPr>
          <w:rFonts w:cs="Times New Roman"/>
          <w:szCs w:val="24"/>
          <w:lang w:val="en-GB"/>
        </w:rPr>
        <w:t xml:space="preserve">Depressive </w:t>
      </w:r>
    </w:p>
    <w:p w14:paraId="22DBF2A8" w14:textId="020FD108" w:rsidR="00237AE2" w:rsidRPr="00741939" w:rsidRDefault="00801010" w:rsidP="00A9603B">
      <w:pPr>
        <w:pStyle w:val="Heading2"/>
      </w:pPr>
      <w:r>
        <w:t>Statistical Analysis</w:t>
      </w:r>
    </w:p>
    <w:p w14:paraId="2FA5A687" w14:textId="174261ED" w:rsidR="006B0B6B" w:rsidRDefault="00FC4A36" w:rsidP="00FA6EAF">
      <w:pPr>
        <w:rPr>
          <w:rFonts w:cs="Times New Roman"/>
          <w:szCs w:val="24"/>
          <w:lang w:val="en-GB"/>
        </w:rPr>
      </w:pPr>
      <w:r>
        <w:rPr>
          <w:rFonts w:cs="Times New Roman"/>
          <w:szCs w:val="24"/>
          <w:lang w:val="en-GB"/>
        </w:rPr>
        <w:t xml:space="preserve">All analyses are run in </w:t>
      </w:r>
      <w:r w:rsidRPr="00FC4A36">
        <w:rPr>
          <w:rFonts w:cs="Times New Roman"/>
          <w:i/>
          <w:szCs w:val="24"/>
          <w:lang w:val="en-GB"/>
        </w:rPr>
        <w:t>R</w:t>
      </w:r>
      <w:r>
        <w:rPr>
          <w:rFonts w:cs="Times New Roman"/>
          <w:i/>
          <w:szCs w:val="24"/>
          <w:lang w:val="en-GB"/>
        </w:rPr>
        <w:t xml:space="preserve"> </w:t>
      </w:r>
      <w:r>
        <w:rPr>
          <w:rFonts w:cs="Times New Roman"/>
          <w:szCs w:val="24"/>
          <w:lang w:val="en-GB"/>
        </w:rPr>
        <w:t xml:space="preserve">with the </w:t>
      </w:r>
      <w:r w:rsidR="00450A92" w:rsidRPr="00450A92">
        <w:rPr>
          <w:rFonts w:cs="Times New Roman"/>
          <w:i/>
          <w:szCs w:val="24"/>
          <w:lang w:val="en-GB"/>
        </w:rPr>
        <w:t>caret</w:t>
      </w:r>
      <w:r>
        <w:rPr>
          <w:rFonts w:cs="Times New Roman"/>
          <w:szCs w:val="24"/>
          <w:lang w:val="en-GB"/>
        </w:rPr>
        <w:t xml:space="preserve"> package </w:t>
      </w:r>
      <w:r>
        <w:rPr>
          <w:rFonts w:cs="Times New Roman"/>
          <w:szCs w:val="24"/>
          <w:lang w:val="en-GB"/>
        </w:rPr>
        <w:fldChar w:fldCharType="begin" w:fldLock="1"/>
      </w:r>
      <w:r w:rsidR="00B132FE">
        <w:rPr>
          <w:rFonts w:cs="Times New Roman"/>
          <w:szCs w:val="24"/>
          <w:lang w:val="en-GB"/>
        </w:rPr>
        <w:instrText>ADDIN CSL_CITATION {"citationItems":[{"id":"ITEM-1","itemData":{"author":[{"dropping-particle":"","family":"R Core Team","given":"","non-dropping-particle":"","parse-names":false,"suffix":""}],"id":"ITEM-1","issued":{"date-parts":[["2017"]]},"publisher-place":"Vienna, Austria.","title":"R: A language and environment for statistical computing","type":"article"},"uris":["http://www.mendeley.com/documents/?uuid=e7d5b36c-349d-447e-a0e8-f4c9f1960bad"]},{"id":"ITEM-2","itemData":{"DOI":"10.18637/jss.v028.i05","abstract":"The caret package, short for classification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benefits of parallel processing with several types of models.","author":[{"dropping-particle":"","family":"Kuhn","given":"Max","non-dropping-particle":"","parse-names":false,"suffix":""}],"container-title":"Journal of Statistical Software","id":"ITEM-2","issue":"5","issued":{"date-parts":[["2008"]]},"title":"Building Predictive Models in R Using the caret Package","type":"article-journal","volume":"28"},"uris":["http://www.mendeley.com/documents/?uuid=c6e5e179-b76a-3843-bab6-2ea65bea0c38"]}],"mendeley":{"formattedCitation":"(Kuhn, 2008; R Core Team, 2017)","plainTextFormattedCitation":"(Kuhn, 2008; R Core Team, 2017)","previouslyFormattedCitation":"(Kuhn, 2008; R Core Team, 2017)"},"properties":{"noteIndex":0},"schema":"https://github.com/citation-style-language/schema/raw/master/csl-citation.json"}</w:instrText>
      </w:r>
      <w:r>
        <w:rPr>
          <w:rFonts w:cs="Times New Roman"/>
          <w:szCs w:val="24"/>
          <w:lang w:val="en-GB"/>
        </w:rPr>
        <w:fldChar w:fldCharType="separate"/>
      </w:r>
      <w:r w:rsidR="00450A92" w:rsidRPr="00450A92">
        <w:rPr>
          <w:rFonts w:cs="Times New Roman"/>
          <w:noProof/>
          <w:szCs w:val="24"/>
          <w:lang w:val="en-GB"/>
        </w:rPr>
        <w:t>(Kuhn, 2008; R Core Team, 2017)</w:t>
      </w:r>
      <w:r>
        <w:rPr>
          <w:rFonts w:cs="Times New Roman"/>
          <w:szCs w:val="24"/>
          <w:lang w:val="en-GB"/>
        </w:rPr>
        <w:fldChar w:fldCharType="end"/>
      </w:r>
      <w:r w:rsidR="00390EB7">
        <w:rPr>
          <w:rFonts w:cs="Times New Roman"/>
          <w:szCs w:val="24"/>
          <w:lang w:val="en-GB"/>
        </w:rPr>
        <w:t>.</w:t>
      </w:r>
    </w:p>
    <w:p w14:paraId="784C3635" w14:textId="640AD56C" w:rsidR="00642E76" w:rsidRDefault="00642E76" w:rsidP="007A4C15">
      <w:pPr>
        <w:pStyle w:val="Heading3"/>
        <w:rPr>
          <w:lang w:val="en-GB"/>
        </w:rPr>
      </w:pPr>
      <w:r>
        <w:rPr>
          <w:lang w:val="en-GB"/>
        </w:rPr>
        <w:t>Data Preparation</w:t>
      </w:r>
    </w:p>
    <w:p w14:paraId="0EAA7983" w14:textId="415B7E59" w:rsidR="00642E76" w:rsidRPr="00642E76" w:rsidRDefault="00757D1B" w:rsidP="00642E76">
      <w:pPr>
        <w:rPr>
          <w:lang w:val="en-GB"/>
        </w:rPr>
      </w:pPr>
      <w:r>
        <w:rPr>
          <w:lang w:val="en-GB"/>
        </w:rPr>
        <w:t xml:space="preserve">Data on X cytokines was excluded from analyses based on missing data in &gt;X% of patients. </w:t>
      </w:r>
    </w:p>
    <w:p w14:paraId="6E86013C" w14:textId="19FC1F5F" w:rsidR="00FD2886" w:rsidRDefault="004C4863" w:rsidP="007A4C15">
      <w:pPr>
        <w:pStyle w:val="Heading3"/>
        <w:rPr>
          <w:lang w:val="en-GB"/>
        </w:rPr>
      </w:pPr>
      <w:r>
        <w:rPr>
          <w:lang w:val="en-GB"/>
        </w:rPr>
        <w:t>Feature Selection</w:t>
      </w:r>
    </w:p>
    <w:p w14:paraId="4F9BBCA5" w14:textId="5CCEDAD6" w:rsidR="004C4863" w:rsidRDefault="00CD36EF" w:rsidP="00FA6EAF">
      <w:pPr>
        <w:rPr>
          <w:rFonts w:cs="Times New Roman"/>
          <w:szCs w:val="24"/>
          <w:lang w:val="en-GB"/>
        </w:rPr>
      </w:pPr>
      <w:r>
        <w:rPr>
          <w:rFonts w:cs="Times New Roman"/>
          <w:szCs w:val="24"/>
          <w:lang w:val="en-GB"/>
        </w:rPr>
        <w:t xml:space="preserve">Feature selection procedures were informed by two prior reports predicting response to antidepressant medication and predicting differential response to psychotherapies in depression </w:t>
      </w:r>
      <w:r>
        <w:rPr>
          <w:rFonts w:cs="Times New Roman"/>
          <w:szCs w:val="24"/>
          <w:lang w:val="en-GB"/>
        </w:rPr>
        <w:fldChar w:fldCharType="begin" w:fldLock="1"/>
      </w:r>
      <w:r w:rsidR="00F90172">
        <w:rPr>
          <w:rFonts w:cs="Times New Roman"/>
          <w:szCs w:val="24"/>
          <w:lang w:val="en-GB"/>
        </w:rPr>
        <w:instrText>ADDIN CSL_CITATION {"citationItems":[{"id":"ITEM-1","itemData":{"DOI":"10.1080/10503307.2018.1563312","ISSN":"1050-3307","abstract":"Objective: We use a new variable selection procedure for treatment selection which generates treatment recommendations based on pre-treatment characteristics for adults with mild-to-moderate depression deciding between cognitive behavioral (CBT) versus psychodynamic therapy (PDT). Method: Data are drawn from a randomized comparison of CBT versus PDT for depression (N = 167, 71% female, mean-age = 39.6). The approach combines four different statistical techniques to identify patient characteristics associated consistently with differential treatment response. Variables are combined to generate predictions indicating each individual’s optimal-treatment. The average outcomes for patients who received their indicated treatment versus those who did not were compared retrospectively to estimate model utility. Results: Of 49 predictors examined, depression severity, anxiety sensitivity, extraversion, and psychological treatment-needs were included in the final model. The average post-treatment Hamilton-Depression-Rating-Scale score was 1.6 points lower (95%CI = [0.5:2.8]; d = 0.21) for those who received their indicated-treatment compared to non-indicated. Among the 60% of patients with the strongest treatment recommendations, that advantage grew to 2.6 (95%CI = [1.4:3.7]; d = 0.37). Conclusions: Variable selection procedures differ in their characterization of the importance of predictive variables. Attending to consistently-indicated predictors may be sensible when constructing treatment selection models. The small N and lack of separate validation sample indicate a need for prospective tests before this model is used.","author":[{"dropping-particle":"","family":"Cohen","given":"Zachary D","non-dropping-particle":"","parse-names":false,"suffix":""},{"dropping-particle":"","family":"Kim","given":"Thomas T.","non-dropping-particle":"","parse-names":false,"suffix":""},{"dropping-particle":"","family":"Van","given":"Henricus L.","non-dropping-particle":"","parse-names":false,"suffix":""},{"dropping-particle":"","family":"Dekker","given":"Jack J. M.","non-dropping-particle":"","parse-names":false,"suffix":""},{"dropping-particle":"","family":"Driessen","given":"Ellen","non-dropping-particle":"","parse-names":false,"suffix":""}],"container-title":"Psychotherapy Research","id":"ITEM-1","issue":"2","issued":{"date-parts":[["2020","2","17"]]},"page":"137-150","publisher":"Taylor &amp; Francis","title":"A demonstration of a multi-method variable selection approach for treatment selection: Recommending cognitive–behavioral versus psychodynamic therapy for mild to moderate adult depression","type":"article-journal","volume":"30"},"uris":["http://www.mendeley.com/documents/?uuid=3faa7592-a7e5-4c1c-8d8c-3eeebe4993dc"]},{"id":"ITEM-2","itemData":{"DOI":"10.1016/S2215-0366(15)00471-X","ISSN":"22150366","abstract":"Background: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Psychiatry","id":"ITEM-2","issue":"3","issued":{"date-parts":[["2016","3"]]},"page":"243-250","publisher":"Elsevier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 Cohen et al., 2020)","plainTextFormattedCitation":"(Chekroud et al., 2016; Cohen et al., 2020)","previouslyFormattedCitation":"(Chekroud et al., 2016; Cohen et al., 2020)"},"properties":{"noteIndex":0},"schema":"https://github.com/citation-style-language/schema/raw/master/csl-citation.json"}</w:instrText>
      </w:r>
      <w:r>
        <w:rPr>
          <w:rFonts w:cs="Times New Roman"/>
          <w:szCs w:val="24"/>
          <w:lang w:val="en-GB"/>
        </w:rPr>
        <w:fldChar w:fldCharType="separate"/>
      </w:r>
      <w:r w:rsidRPr="00CD36EF">
        <w:rPr>
          <w:rFonts w:cs="Times New Roman"/>
          <w:noProof/>
          <w:szCs w:val="24"/>
          <w:lang w:val="en-GB"/>
        </w:rPr>
        <w:t>(Chekroud et al., 2016; Cohen et al., 2020)</w:t>
      </w:r>
      <w:r>
        <w:rPr>
          <w:rFonts w:cs="Times New Roman"/>
          <w:szCs w:val="24"/>
          <w:lang w:val="en-GB"/>
        </w:rPr>
        <w:fldChar w:fldCharType="end"/>
      </w:r>
      <w:r>
        <w:rPr>
          <w:rFonts w:cs="Times New Roman"/>
          <w:szCs w:val="24"/>
          <w:lang w:val="en-GB"/>
        </w:rPr>
        <w:t>.</w:t>
      </w:r>
    </w:p>
    <w:p w14:paraId="442E863B" w14:textId="2DC48106" w:rsidR="004C4863" w:rsidRDefault="004C4863" w:rsidP="007A4C15">
      <w:pPr>
        <w:pStyle w:val="Heading3"/>
        <w:rPr>
          <w:lang w:val="en-GB"/>
        </w:rPr>
      </w:pPr>
      <w:r>
        <w:rPr>
          <w:lang w:val="en-GB"/>
        </w:rPr>
        <w:t>Model Training and Cross-Validation</w:t>
      </w:r>
    </w:p>
    <w:p w14:paraId="40010677" w14:textId="122F40BC" w:rsidR="00FD2886" w:rsidRDefault="00FD2886" w:rsidP="00FA6EAF">
      <w:pPr>
        <w:rPr>
          <w:rFonts w:cs="Times New Roman"/>
          <w:szCs w:val="24"/>
          <w:lang w:val="en-GB"/>
        </w:rPr>
      </w:pPr>
      <w:r>
        <w:rPr>
          <w:rFonts w:cs="Times New Roman"/>
          <w:szCs w:val="24"/>
          <w:lang w:val="en-GB"/>
        </w:rPr>
        <w:t xml:space="preserve">Regression-based </w:t>
      </w:r>
    </w:p>
    <w:p w14:paraId="39D33128" w14:textId="6DA63232" w:rsidR="004F4FA0" w:rsidRPr="004E08B0" w:rsidRDefault="004F4FA0" w:rsidP="00FA6EAF">
      <w:pPr>
        <w:rPr>
          <w:rFonts w:cs="Times New Roman"/>
          <w:szCs w:val="24"/>
          <w:lang w:val="en-GB"/>
        </w:rPr>
      </w:pPr>
      <w:r>
        <w:rPr>
          <w:rFonts w:cs="Times New Roman"/>
          <w:szCs w:val="24"/>
          <w:lang w:val="en-GB"/>
        </w:rPr>
        <w:lastRenderedPageBreak/>
        <w:t xml:space="preserve">Elastic net regression is performed using </w:t>
      </w:r>
      <w:r w:rsidR="004E08B0">
        <w:rPr>
          <w:rFonts w:cs="Times New Roman"/>
          <w:szCs w:val="24"/>
          <w:lang w:val="en-GB"/>
        </w:rPr>
        <w:t xml:space="preserve">the </w:t>
      </w:r>
      <w:proofErr w:type="spellStart"/>
      <w:r w:rsidR="004E08B0">
        <w:rPr>
          <w:rFonts w:cs="Times New Roman"/>
          <w:i/>
          <w:szCs w:val="24"/>
          <w:lang w:val="en-GB"/>
        </w:rPr>
        <w:t>glmnet</w:t>
      </w:r>
      <w:proofErr w:type="spellEnd"/>
      <w:r w:rsidR="004E08B0">
        <w:rPr>
          <w:rFonts w:cs="Times New Roman"/>
          <w:szCs w:val="24"/>
          <w:lang w:val="en-GB"/>
        </w:rPr>
        <w:t xml:space="preserve"> package in </w:t>
      </w:r>
      <w:r w:rsidR="004E08B0" w:rsidRPr="007B75D2">
        <w:rPr>
          <w:rFonts w:cs="Times New Roman"/>
          <w:i/>
          <w:szCs w:val="24"/>
          <w:lang w:val="en-GB"/>
        </w:rPr>
        <w:t>R</w:t>
      </w:r>
      <w:r w:rsidR="007B75D2">
        <w:rPr>
          <w:rFonts w:cs="Times New Roman"/>
          <w:szCs w:val="24"/>
          <w:lang w:val="en-GB"/>
        </w:rPr>
        <w:t xml:space="preserve"> </w:t>
      </w:r>
      <w:r w:rsidR="007B75D2">
        <w:rPr>
          <w:rFonts w:cs="Times New Roman"/>
          <w:szCs w:val="24"/>
          <w:lang w:val="en-GB"/>
        </w:rPr>
        <w:fldChar w:fldCharType="begin" w:fldLock="1"/>
      </w:r>
      <w:r w:rsidR="007B75D2">
        <w:rPr>
          <w:rFonts w:cs="Times New Roman"/>
          <w:szCs w:val="24"/>
          <w:lang w:val="en-GB"/>
        </w:rPr>
        <w:instrText>ADDIN CSL_CITATION {"citationItems":[{"id":"ITEM-1","itemData":{"DOI":"10.1186/s13148-019-0730-1","ISSN":"1868-7075","PMID":"31443682","abstract":"Elastic net type regression methods have become very popular for prediction of certain outcomes in epigenome-wide association studies (EWAS). The methods considered accept biased coefficient estimates in return for lower variance thus obtaining improved prediction accuracy. We provide guidelines on how to obtain parsimonious models with low mean squared error and include easy to follow walk-through examples for each step in R.","author":[{"dropping-particle":"","family":"Engebretsen","given":"Solveig","non-dropping-particle":"","parse-names":false,"suffix":""},{"dropping-particle":"","family":"Bohlin","given":"Jon","non-dropping-particle":"","parse-names":false,"suffix":""}],"container-title":"Clinical Epigenetics","id":"ITEM-1","issue":"1","issued":{"date-parts":[["2019","12","23"]]},"page":"123","publisher":"Clinical Epigenetics","title":"Statistical predictions with glmnet","type":"article-journal","volume":"11"},"uris":["http://www.mendeley.com/documents/?uuid=704883b2-9e8f-4458-811d-20fa2a3acd2f"]}],"mendeley":{"formattedCitation":"(Engebretsen and Bohlin, 2019)","plainTextFormattedCitation":"(Engebretsen and Bohlin, 2019)"},"properties":{"noteIndex":0},"schema":"https://github.com/citation-style-language/schema/raw/master/csl-citation.json"}</w:instrText>
      </w:r>
      <w:r w:rsidR="007B75D2">
        <w:rPr>
          <w:rFonts w:cs="Times New Roman"/>
          <w:szCs w:val="24"/>
          <w:lang w:val="en-GB"/>
        </w:rPr>
        <w:fldChar w:fldCharType="separate"/>
      </w:r>
      <w:r w:rsidR="007B75D2" w:rsidRPr="007B75D2">
        <w:rPr>
          <w:rFonts w:cs="Times New Roman"/>
          <w:noProof/>
          <w:szCs w:val="24"/>
          <w:lang w:val="en-GB"/>
        </w:rPr>
        <w:t>(Engebretsen and Bohlin, 2019)</w:t>
      </w:r>
      <w:r w:rsidR="007B75D2">
        <w:rPr>
          <w:rFonts w:cs="Times New Roman"/>
          <w:szCs w:val="24"/>
          <w:lang w:val="en-GB"/>
        </w:rPr>
        <w:fldChar w:fldCharType="end"/>
      </w:r>
      <w:r w:rsidR="004E08B0">
        <w:rPr>
          <w:rFonts w:cs="Times New Roman"/>
          <w:szCs w:val="24"/>
          <w:lang w:val="en-GB"/>
        </w:rPr>
        <w:t xml:space="preserve">. Elastic net regression is an extension of least squares regression including a penalisation parameter </w:t>
      </w:r>
      <w:r w:rsidR="004E08B0" w:rsidRPr="004E08B0">
        <w:rPr>
          <w:rFonts w:cs="Times New Roman"/>
          <w:szCs w:val="24"/>
          <w:lang w:val="en-GB"/>
        </w:rPr>
        <w:t>λ</w:t>
      </w:r>
      <w:r w:rsidR="004E08B0">
        <w:rPr>
          <w:rFonts w:cs="Times New Roman"/>
          <w:szCs w:val="24"/>
          <w:lang w:val="en-GB"/>
        </w:rPr>
        <w:t xml:space="preserve"> and a tuning parameter α.</w:t>
      </w:r>
      <w:bookmarkStart w:id="0" w:name="_GoBack"/>
      <w:bookmarkEnd w:id="0"/>
    </w:p>
    <w:p w14:paraId="6DCE7C23" w14:textId="77777777" w:rsidR="00597E9C" w:rsidRDefault="00597E9C" w:rsidP="00597E9C">
      <w:pPr>
        <w:pStyle w:val="Heading3"/>
        <w:rPr>
          <w:lang w:val="en-GB"/>
        </w:rPr>
      </w:pPr>
      <w:r>
        <w:rPr>
          <w:lang w:val="en-GB"/>
        </w:rPr>
        <w:t>Assessment of Generalisability</w:t>
      </w:r>
    </w:p>
    <w:p w14:paraId="1A3CD7C7" w14:textId="4FA20E4B" w:rsidR="00597E9C" w:rsidRPr="009D09DF" w:rsidRDefault="00597E9C" w:rsidP="00FA6EAF">
      <w:pPr>
        <w:rPr>
          <w:rFonts w:cs="Times New Roman"/>
          <w:szCs w:val="24"/>
          <w:lang w:val="en-GB"/>
        </w:rPr>
        <w:sectPr w:rsidR="00597E9C" w:rsidRPr="009D09DF">
          <w:pgSz w:w="12240" w:h="15840"/>
          <w:pgMar w:top="1417" w:right="1417" w:bottom="1134" w:left="1417" w:header="708" w:footer="708" w:gutter="0"/>
          <w:cols w:space="708"/>
          <w:docGrid w:linePitch="360"/>
        </w:sectPr>
      </w:pPr>
      <w:r w:rsidRPr="009D09DF">
        <w:rPr>
          <w:rFonts w:cs="Times New Roman"/>
          <w:szCs w:val="24"/>
          <w:lang w:val="en-GB"/>
        </w:rPr>
        <w:t>As</w:t>
      </w:r>
    </w:p>
    <w:p w14:paraId="14590833" w14:textId="467539F2" w:rsidR="00FA6EAF" w:rsidRPr="006145CB" w:rsidRDefault="00FA6EAF" w:rsidP="00A9603B">
      <w:pPr>
        <w:pStyle w:val="Heading1"/>
        <w:rPr>
          <w:lang w:val="en-GB"/>
        </w:rPr>
      </w:pPr>
      <w:r>
        <w:rPr>
          <w:lang w:val="en-GB"/>
        </w:rPr>
        <w:lastRenderedPageBreak/>
        <w:t>Results</w:t>
      </w:r>
    </w:p>
    <w:p w14:paraId="4C26AF1F" w14:textId="47D71D53" w:rsidR="00F655D7" w:rsidRDefault="00F655D7" w:rsidP="00F655D7">
      <w:pPr>
        <w:pStyle w:val="Heading2"/>
      </w:pPr>
      <w:r>
        <w:t>Baseline characteristics</w:t>
      </w:r>
    </w:p>
    <w:p w14:paraId="3026551E" w14:textId="2FCF1F02" w:rsidR="00FA6EAF" w:rsidRDefault="00BF2E91" w:rsidP="00C94E69">
      <w:pPr>
        <w:rPr>
          <w:rFonts w:cs="Times New Roman"/>
          <w:szCs w:val="24"/>
          <w:lang w:val="en-GB"/>
        </w:rPr>
      </w:pPr>
      <w:r>
        <w:rPr>
          <w:rFonts w:cs="Times New Roman"/>
          <w:szCs w:val="24"/>
          <w:lang w:val="en-GB"/>
        </w:rPr>
        <w:t>Baseline characteristics of participants of the OPTIMA study are highlighted in Table 1.</w:t>
      </w:r>
    </w:p>
    <w:p w14:paraId="37E55ABB" w14:textId="74D68AF4" w:rsidR="00E115D8" w:rsidRDefault="00E115D8" w:rsidP="00C94E69">
      <w:pPr>
        <w:rPr>
          <w:rFonts w:cs="Times New Roman"/>
          <w:szCs w:val="24"/>
          <w:lang w:val="en-GB"/>
        </w:rPr>
      </w:pPr>
    </w:p>
    <w:p w14:paraId="659D965E" w14:textId="4FE53E44" w:rsidR="00E115D8" w:rsidRPr="00E115D8" w:rsidRDefault="00E115D8" w:rsidP="00E115D8">
      <w:pPr>
        <w:spacing w:line="240" w:lineRule="auto"/>
        <w:rPr>
          <w:rFonts w:cs="Times New Roman"/>
          <w:b/>
          <w:szCs w:val="24"/>
          <w:lang w:val="en-GB"/>
        </w:rPr>
      </w:pPr>
      <w:r w:rsidRPr="00E115D8">
        <w:rPr>
          <w:rFonts w:cs="Times New Roman"/>
          <w:b/>
          <w:szCs w:val="24"/>
          <w:lang w:val="en-GB"/>
        </w:rPr>
        <w:t>Table 1</w:t>
      </w:r>
    </w:p>
    <w:p w14:paraId="28928F92" w14:textId="6AA177D1" w:rsidR="00E115D8" w:rsidRPr="0019578B" w:rsidRDefault="00E115D8" w:rsidP="00E115D8">
      <w:pPr>
        <w:spacing w:line="240" w:lineRule="auto"/>
        <w:rPr>
          <w:rFonts w:cs="Times New Roman"/>
          <w:i/>
          <w:szCs w:val="24"/>
          <w:lang w:val="en-GB"/>
        </w:rPr>
      </w:pPr>
      <w:r w:rsidRPr="0019578B">
        <w:rPr>
          <w:rFonts w:cs="Times New Roman"/>
          <w:i/>
          <w:szCs w:val="24"/>
          <w:lang w:val="en-GB"/>
        </w:rPr>
        <w:t>Baseline Characteristics</w:t>
      </w:r>
    </w:p>
    <w:tbl>
      <w:tblPr>
        <w:tblW w:w="9330" w:type="dxa"/>
        <w:tblLook w:val="04A0" w:firstRow="1" w:lastRow="0" w:firstColumn="1" w:lastColumn="0" w:noHBand="0" w:noVBand="1"/>
      </w:tblPr>
      <w:tblGrid>
        <w:gridCol w:w="3636"/>
        <w:gridCol w:w="1624"/>
        <w:gridCol w:w="1312"/>
        <w:gridCol w:w="916"/>
        <w:gridCol w:w="1842"/>
      </w:tblGrid>
      <w:tr w:rsidR="009D09DF" w:rsidRPr="00857C3B" w14:paraId="68A2732B" w14:textId="77777777" w:rsidTr="00E115D8">
        <w:trPr>
          <w:trHeight w:val="284"/>
          <w:tblHeader/>
        </w:trPr>
        <w:tc>
          <w:tcPr>
            <w:tcW w:w="3636" w:type="dxa"/>
            <w:tcBorders>
              <w:top w:val="single" w:sz="4" w:space="0" w:color="auto"/>
              <w:left w:val="nil"/>
              <w:bottom w:val="nil"/>
              <w:right w:val="nil"/>
            </w:tcBorders>
            <w:shd w:val="clear" w:color="auto" w:fill="auto"/>
            <w:noWrap/>
            <w:vAlign w:val="bottom"/>
          </w:tcPr>
          <w:p w14:paraId="231FCDAC" w14:textId="2A31FA64" w:rsidR="009D09DF" w:rsidRPr="00857C3B" w:rsidRDefault="009D09DF" w:rsidP="00857C3B">
            <w:pPr>
              <w:spacing w:after="0" w:line="240" w:lineRule="auto"/>
              <w:rPr>
                <w:rFonts w:eastAsia="Times New Roman" w:cs="Times New Roman"/>
                <w:color w:val="000000"/>
                <w:szCs w:val="24"/>
                <w:lang w:val="en-GB" w:eastAsia="en-GB"/>
              </w:rPr>
            </w:pPr>
          </w:p>
        </w:tc>
        <w:tc>
          <w:tcPr>
            <w:tcW w:w="2936" w:type="dxa"/>
            <w:gridSpan w:val="2"/>
            <w:tcBorders>
              <w:top w:val="single" w:sz="4" w:space="0" w:color="auto"/>
              <w:left w:val="nil"/>
              <w:bottom w:val="single" w:sz="4" w:space="0" w:color="auto"/>
              <w:right w:val="nil"/>
            </w:tcBorders>
            <w:shd w:val="clear" w:color="auto" w:fill="auto"/>
            <w:noWrap/>
            <w:vAlign w:val="bottom"/>
          </w:tcPr>
          <w:p w14:paraId="3097CBD9" w14:textId="2CCC121A" w:rsidR="009D09DF" w:rsidRPr="00857C3B" w:rsidRDefault="009D09DF" w:rsidP="009D09DF">
            <w:pPr>
              <w:spacing w:after="0" w:line="240" w:lineRule="auto"/>
              <w:jc w:val="center"/>
              <w:rPr>
                <w:rFonts w:eastAsia="Times New Roman" w:cs="Times New Roman"/>
                <w:color w:val="000000"/>
                <w:szCs w:val="24"/>
                <w:lang w:val="en-GB" w:eastAsia="en-GB"/>
              </w:rPr>
            </w:pPr>
            <w:r>
              <w:rPr>
                <w:rFonts w:eastAsia="Times New Roman" w:cs="Times New Roman"/>
                <w:color w:val="000000"/>
                <w:szCs w:val="24"/>
                <w:lang w:val="en-GB" w:eastAsia="en-GB"/>
              </w:rPr>
              <w:t>Inflammation Status</w:t>
            </w:r>
          </w:p>
        </w:tc>
        <w:tc>
          <w:tcPr>
            <w:tcW w:w="916" w:type="dxa"/>
            <w:tcBorders>
              <w:top w:val="single" w:sz="4" w:space="0" w:color="auto"/>
              <w:left w:val="nil"/>
              <w:bottom w:val="nil"/>
              <w:right w:val="nil"/>
            </w:tcBorders>
            <w:shd w:val="clear" w:color="auto" w:fill="auto"/>
            <w:noWrap/>
            <w:vAlign w:val="bottom"/>
          </w:tcPr>
          <w:p w14:paraId="4A741EDF" w14:textId="17C84428" w:rsidR="009D09DF" w:rsidRPr="00857C3B" w:rsidRDefault="009D09DF" w:rsidP="00857C3B">
            <w:pPr>
              <w:spacing w:after="0" w:line="240" w:lineRule="auto"/>
              <w:rPr>
                <w:rFonts w:eastAsia="Times New Roman" w:cs="Times New Roman"/>
                <w:color w:val="000000"/>
                <w:szCs w:val="24"/>
                <w:lang w:val="en-GB" w:eastAsia="en-GB"/>
              </w:rPr>
            </w:pPr>
          </w:p>
        </w:tc>
        <w:tc>
          <w:tcPr>
            <w:tcW w:w="1842" w:type="dxa"/>
            <w:tcBorders>
              <w:top w:val="single" w:sz="4" w:space="0" w:color="auto"/>
              <w:left w:val="nil"/>
              <w:bottom w:val="nil"/>
              <w:right w:val="nil"/>
            </w:tcBorders>
            <w:shd w:val="clear" w:color="auto" w:fill="auto"/>
            <w:noWrap/>
            <w:vAlign w:val="bottom"/>
          </w:tcPr>
          <w:p w14:paraId="63D11F16" w14:textId="5777536C" w:rsidR="009D09DF" w:rsidRPr="00857C3B" w:rsidRDefault="009D09DF" w:rsidP="00857C3B">
            <w:pPr>
              <w:spacing w:after="0" w:line="240" w:lineRule="auto"/>
              <w:rPr>
                <w:rFonts w:eastAsia="Times New Roman" w:cs="Times New Roman"/>
                <w:color w:val="000000"/>
                <w:szCs w:val="24"/>
                <w:lang w:val="en-GB" w:eastAsia="en-GB"/>
              </w:rPr>
            </w:pPr>
          </w:p>
        </w:tc>
      </w:tr>
      <w:tr w:rsidR="009D09DF" w:rsidRPr="00857C3B" w14:paraId="18328F4C" w14:textId="77777777" w:rsidTr="00E115D8">
        <w:trPr>
          <w:trHeight w:val="284"/>
          <w:tblHeader/>
        </w:trPr>
        <w:tc>
          <w:tcPr>
            <w:tcW w:w="3636" w:type="dxa"/>
            <w:tcBorders>
              <w:top w:val="nil"/>
              <w:left w:val="nil"/>
              <w:bottom w:val="single" w:sz="4" w:space="0" w:color="auto"/>
              <w:right w:val="nil"/>
            </w:tcBorders>
            <w:shd w:val="clear" w:color="auto" w:fill="auto"/>
            <w:noWrap/>
            <w:vAlign w:val="bottom"/>
          </w:tcPr>
          <w:p w14:paraId="00083D85" w14:textId="1F63B478" w:rsidR="009D09DF" w:rsidRDefault="009D09DF" w:rsidP="009D09DF">
            <w:pPr>
              <w:spacing w:after="0" w:line="240" w:lineRule="auto"/>
              <w:rPr>
                <w:rFonts w:eastAsia="Times New Roman" w:cs="Times New Roman"/>
                <w:color w:val="000000"/>
                <w:szCs w:val="24"/>
                <w:lang w:val="en-GB" w:eastAsia="en-GB"/>
              </w:rPr>
            </w:pPr>
            <w:r>
              <w:rPr>
                <w:rFonts w:eastAsia="Times New Roman" w:cs="Times New Roman"/>
                <w:color w:val="000000"/>
                <w:szCs w:val="24"/>
                <w:lang w:val="en-GB" w:eastAsia="en-GB"/>
              </w:rPr>
              <w:t>Variable</w:t>
            </w:r>
          </w:p>
        </w:tc>
        <w:tc>
          <w:tcPr>
            <w:tcW w:w="1624" w:type="dxa"/>
            <w:tcBorders>
              <w:top w:val="single" w:sz="4" w:space="0" w:color="auto"/>
              <w:left w:val="nil"/>
              <w:bottom w:val="single" w:sz="4" w:space="0" w:color="auto"/>
              <w:right w:val="nil"/>
            </w:tcBorders>
            <w:shd w:val="clear" w:color="auto" w:fill="auto"/>
            <w:noWrap/>
            <w:vAlign w:val="bottom"/>
          </w:tcPr>
          <w:p w14:paraId="572CD98D" w14:textId="4F0F286C"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Non-Inflamed</w:t>
            </w:r>
          </w:p>
        </w:tc>
        <w:tc>
          <w:tcPr>
            <w:tcW w:w="1312" w:type="dxa"/>
            <w:tcBorders>
              <w:top w:val="single" w:sz="4" w:space="0" w:color="auto"/>
              <w:left w:val="nil"/>
              <w:bottom w:val="single" w:sz="4" w:space="0" w:color="auto"/>
              <w:right w:val="nil"/>
            </w:tcBorders>
            <w:shd w:val="clear" w:color="auto" w:fill="auto"/>
            <w:noWrap/>
            <w:vAlign w:val="bottom"/>
          </w:tcPr>
          <w:p w14:paraId="6EA2E5F1" w14:textId="138EA65B"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Inflamed</w:t>
            </w:r>
          </w:p>
        </w:tc>
        <w:tc>
          <w:tcPr>
            <w:tcW w:w="916" w:type="dxa"/>
            <w:tcBorders>
              <w:top w:val="nil"/>
              <w:left w:val="nil"/>
              <w:bottom w:val="single" w:sz="4" w:space="0" w:color="auto"/>
              <w:right w:val="nil"/>
            </w:tcBorders>
            <w:shd w:val="clear" w:color="auto" w:fill="auto"/>
            <w:noWrap/>
            <w:vAlign w:val="bottom"/>
          </w:tcPr>
          <w:p w14:paraId="7A5C2F5B" w14:textId="2BDF386D" w:rsidR="009D09DF" w:rsidRPr="00857C3B" w:rsidRDefault="009D09DF" w:rsidP="009D09DF">
            <w:pPr>
              <w:spacing w:after="0" w:line="240" w:lineRule="auto"/>
              <w:rPr>
                <w:rFonts w:eastAsia="Times New Roman" w:cs="Times New Roman"/>
                <w:color w:val="000000"/>
                <w:szCs w:val="24"/>
                <w:lang w:val="en-GB" w:eastAsia="en-GB"/>
              </w:rPr>
            </w:pPr>
            <w:r>
              <w:rPr>
                <w:rFonts w:eastAsia="Times New Roman" w:cs="Times New Roman"/>
                <w:color w:val="000000"/>
                <w:szCs w:val="24"/>
                <w:lang w:val="en-GB" w:eastAsia="en-GB"/>
              </w:rPr>
              <w:t>P</w:t>
            </w:r>
            <w:r w:rsidRPr="009D09DF">
              <w:rPr>
                <w:rFonts w:eastAsia="Times New Roman" w:cs="Times New Roman"/>
                <w:color w:val="000000"/>
                <w:szCs w:val="24"/>
                <w:vertAlign w:val="superscript"/>
                <w:lang w:val="en-GB" w:eastAsia="en-GB"/>
              </w:rPr>
              <w:t>a</w:t>
            </w:r>
          </w:p>
        </w:tc>
        <w:tc>
          <w:tcPr>
            <w:tcW w:w="1842" w:type="dxa"/>
            <w:tcBorders>
              <w:top w:val="nil"/>
              <w:left w:val="nil"/>
              <w:bottom w:val="single" w:sz="4" w:space="0" w:color="auto"/>
              <w:right w:val="nil"/>
            </w:tcBorders>
            <w:shd w:val="clear" w:color="auto" w:fill="auto"/>
            <w:noWrap/>
            <w:vAlign w:val="bottom"/>
          </w:tcPr>
          <w:p w14:paraId="3D91A9F9" w14:textId="6429F4BD"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Total</w:t>
            </w:r>
          </w:p>
        </w:tc>
      </w:tr>
      <w:tr w:rsidR="009D09DF" w:rsidRPr="00857C3B" w14:paraId="64B7CA4E" w14:textId="77777777" w:rsidTr="009D09DF">
        <w:trPr>
          <w:trHeight w:val="284"/>
        </w:trPr>
        <w:tc>
          <w:tcPr>
            <w:tcW w:w="3636" w:type="dxa"/>
            <w:tcBorders>
              <w:top w:val="single" w:sz="4" w:space="0" w:color="auto"/>
              <w:left w:val="nil"/>
              <w:bottom w:val="nil"/>
              <w:right w:val="nil"/>
            </w:tcBorders>
            <w:shd w:val="clear" w:color="auto" w:fill="auto"/>
            <w:noWrap/>
            <w:vAlign w:val="bottom"/>
            <w:hideMark/>
          </w:tcPr>
          <w:p w14:paraId="3B293334" w14:textId="77777777" w:rsidR="009D09DF" w:rsidRPr="00857C3B" w:rsidRDefault="009D09DF" w:rsidP="009D09DF">
            <w:pPr>
              <w:spacing w:after="0" w:line="240" w:lineRule="auto"/>
              <w:rPr>
                <w:rFonts w:eastAsia="Times New Roman" w:cs="Times New Roman"/>
                <w:color w:val="000000"/>
                <w:szCs w:val="24"/>
                <w:u w:val="single"/>
                <w:lang w:val="en-GB" w:eastAsia="en-GB"/>
              </w:rPr>
            </w:pPr>
            <w:r w:rsidRPr="00857C3B">
              <w:rPr>
                <w:rFonts w:eastAsia="Times New Roman" w:cs="Times New Roman"/>
                <w:color w:val="000000"/>
                <w:szCs w:val="24"/>
                <w:u w:val="single"/>
                <w:lang w:val="en-GB" w:eastAsia="en-GB"/>
              </w:rPr>
              <w:t>Sex</w:t>
            </w:r>
          </w:p>
        </w:tc>
        <w:tc>
          <w:tcPr>
            <w:tcW w:w="1624" w:type="dxa"/>
            <w:tcBorders>
              <w:top w:val="single" w:sz="4" w:space="0" w:color="auto"/>
              <w:left w:val="nil"/>
              <w:bottom w:val="nil"/>
              <w:right w:val="nil"/>
            </w:tcBorders>
            <w:shd w:val="clear" w:color="auto" w:fill="auto"/>
            <w:noWrap/>
            <w:vAlign w:val="bottom"/>
            <w:hideMark/>
          </w:tcPr>
          <w:p w14:paraId="369E3206"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312" w:type="dxa"/>
            <w:tcBorders>
              <w:top w:val="single" w:sz="4" w:space="0" w:color="auto"/>
              <w:left w:val="nil"/>
              <w:bottom w:val="nil"/>
              <w:right w:val="nil"/>
            </w:tcBorders>
            <w:shd w:val="clear" w:color="auto" w:fill="auto"/>
            <w:noWrap/>
            <w:vAlign w:val="bottom"/>
            <w:hideMark/>
          </w:tcPr>
          <w:p w14:paraId="6DF1EBBD" w14:textId="77777777" w:rsidR="009D09DF" w:rsidRPr="00857C3B" w:rsidRDefault="009D09DF" w:rsidP="009D09DF">
            <w:pPr>
              <w:spacing w:after="0" w:line="240" w:lineRule="auto"/>
              <w:rPr>
                <w:rFonts w:eastAsia="Times New Roman" w:cs="Times New Roman"/>
                <w:szCs w:val="24"/>
                <w:lang w:val="en-GB" w:eastAsia="en-GB"/>
              </w:rPr>
            </w:pPr>
          </w:p>
        </w:tc>
        <w:tc>
          <w:tcPr>
            <w:tcW w:w="916" w:type="dxa"/>
            <w:tcBorders>
              <w:top w:val="single" w:sz="4" w:space="0" w:color="auto"/>
              <w:left w:val="nil"/>
              <w:bottom w:val="nil"/>
              <w:right w:val="nil"/>
            </w:tcBorders>
            <w:shd w:val="clear" w:color="auto" w:fill="auto"/>
            <w:noWrap/>
            <w:vAlign w:val="bottom"/>
            <w:hideMark/>
          </w:tcPr>
          <w:p w14:paraId="74EDB083" w14:textId="77777777" w:rsidR="009D09DF" w:rsidRPr="00857C3B" w:rsidRDefault="009D09DF" w:rsidP="009D09DF">
            <w:pPr>
              <w:spacing w:after="0" w:line="240" w:lineRule="auto"/>
              <w:rPr>
                <w:rFonts w:eastAsia="Times New Roman" w:cs="Times New Roman"/>
                <w:szCs w:val="24"/>
                <w:lang w:val="en-GB" w:eastAsia="en-GB"/>
              </w:rPr>
            </w:pPr>
          </w:p>
        </w:tc>
        <w:tc>
          <w:tcPr>
            <w:tcW w:w="1842" w:type="dxa"/>
            <w:tcBorders>
              <w:top w:val="single" w:sz="4" w:space="0" w:color="auto"/>
              <w:left w:val="nil"/>
              <w:bottom w:val="nil"/>
              <w:right w:val="nil"/>
            </w:tcBorders>
            <w:shd w:val="clear" w:color="auto" w:fill="auto"/>
            <w:noWrap/>
            <w:vAlign w:val="bottom"/>
            <w:hideMark/>
          </w:tcPr>
          <w:p w14:paraId="5D997F5C" w14:textId="77777777" w:rsidR="009D09DF" w:rsidRPr="00857C3B" w:rsidRDefault="009D09DF" w:rsidP="009D09DF">
            <w:pPr>
              <w:spacing w:after="0" w:line="240" w:lineRule="auto"/>
              <w:rPr>
                <w:rFonts w:eastAsia="Times New Roman" w:cs="Times New Roman"/>
                <w:szCs w:val="24"/>
                <w:lang w:val="en-GB" w:eastAsia="en-GB"/>
              </w:rPr>
            </w:pPr>
          </w:p>
        </w:tc>
      </w:tr>
      <w:tr w:rsidR="009D09DF" w:rsidRPr="00857C3B" w14:paraId="3157AD55" w14:textId="77777777" w:rsidTr="009D09DF">
        <w:trPr>
          <w:trHeight w:val="284"/>
        </w:trPr>
        <w:tc>
          <w:tcPr>
            <w:tcW w:w="3636" w:type="dxa"/>
            <w:tcBorders>
              <w:top w:val="nil"/>
              <w:left w:val="nil"/>
              <w:bottom w:val="nil"/>
              <w:right w:val="nil"/>
            </w:tcBorders>
            <w:shd w:val="clear" w:color="auto" w:fill="auto"/>
            <w:noWrap/>
            <w:vAlign w:val="bottom"/>
            <w:hideMark/>
          </w:tcPr>
          <w:p w14:paraId="79D90306" w14:textId="1454D5D0"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w:t>
            </w:r>
            <w:r w:rsidR="00DC2990">
              <w:rPr>
                <w:rFonts w:eastAsia="Times New Roman" w:cs="Times New Roman"/>
                <w:color w:val="000000"/>
                <w:szCs w:val="24"/>
                <w:lang w:val="en-GB" w:eastAsia="en-GB"/>
              </w:rPr>
              <w:t>F</w:t>
            </w:r>
            <w:r w:rsidRPr="00857C3B">
              <w:rPr>
                <w:rFonts w:eastAsia="Times New Roman" w:cs="Times New Roman"/>
                <w:color w:val="000000"/>
                <w:szCs w:val="24"/>
                <w:lang w:val="en-GB" w:eastAsia="en-GB"/>
              </w:rPr>
              <w:t>emale</w:t>
            </w:r>
          </w:p>
        </w:tc>
        <w:tc>
          <w:tcPr>
            <w:tcW w:w="1624" w:type="dxa"/>
            <w:tcBorders>
              <w:top w:val="nil"/>
              <w:left w:val="nil"/>
              <w:bottom w:val="nil"/>
              <w:right w:val="nil"/>
            </w:tcBorders>
            <w:shd w:val="clear" w:color="auto" w:fill="auto"/>
            <w:noWrap/>
            <w:vAlign w:val="bottom"/>
            <w:hideMark/>
          </w:tcPr>
          <w:p w14:paraId="15560494"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41 (49%)</w:t>
            </w:r>
          </w:p>
        </w:tc>
        <w:tc>
          <w:tcPr>
            <w:tcW w:w="1312" w:type="dxa"/>
            <w:tcBorders>
              <w:top w:val="nil"/>
              <w:left w:val="nil"/>
              <w:bottom w:val="nil"/>
              <w:right w:val="nil"/>
            </w:tcBorders>
            <w:shd w:val="clear" w:color="auto" w:fill="auto"/>
            <w:noWrap/>
            <w:vAlign w:val="bottom"/>
            <w:hideMark/>
          </w:tcPr>
          <w:p w14:paraId="1FFA5DEF"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19 (61%)</w:t>
            </w:r>
          </w:p>
        </w:tc>
        <w:tc>
          <w:tcPr>
            <w:tcW w:w="916" w:type="dxa"/>
            <w:tcBorders>
              <w:top w:val="nil"/>
              <w:left w:val="nil"/>
              <w:bottom w:val="nil"/>
              <w:right w:val="nil"/>
            </w:tcBorders>
            <w:shd w:val="clear" w:color="auto" w:fill="auto"/>
            <w:noWrap/>
            <w:vAlign w:val="bottom"/>
            <w:hideMark/>
          </w:tcPr>
          <w:p w14:paraId="62F26E31"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bottom w:val="nil"/>
              <w:right w:val="nil"/>
            </w:tcBorders>
            <w:shd w:val="clear" w:color="auto" w:fill="auto"/>
            <w:noWrap/>
            <w:vAlign w:val="bottom"/>
            <w:hideMark/>
          </w:tcPr>
          <w:p w14:paraId="097A3BE0"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60 (52.63%)</w:t>
            </w:r>
          </w:p>
        </w:tc>
      </w:tr>
      <w:tr w:rsidR="009D09DF" w:rsidRPr="00857C3B" w14:paraId="13B96B1A" w14:textId="77777777" w:rsidTr="009D09DF">
        <w:trPr>
          <w:trHeight w:val="284"/>
        </w:trPr>
        <w:tc>
          <w:tcPr>
            <w:tcW w:w="3636" w:type="dxa"/>
            <w:tcBorders>
              <w:top w:val="nil"/>
              <w:left w:val="nil"/>
              <w:bottom w:val="nil"/>
              <w:right w:val="nil"/>
            </w:tcBorders>
            <w:shd w:val="clear" w:color="auto" w:fill="auto"/>
            <w:noWrap/>
            <w:vAlign w:val="bottom"/>
            <w:hideMark/>
          </w:tcPr>
          <w:p w14:paraId="0BA16F1F" w14:textId="7F87563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w:t>
            </w:r>
            <w:r w:rsidR="00DC2990">
              <w:rPr>
                <w:rFonts w:eastAsia="Times New Roman" w:cs="Times New Roman"/>
                <w:color w:val="000000"/>
                <w:szCs w:val="24"/>
                <w:lang w:val="en-GB" w:eastAsia="en-GB"/>
              </w:rPr>
              <w:t>M</w:t>
            </w:r>
            <w:r w:rsidRPr="00857C3B">
              <w:rPr>
                <w:rFonts w:eastAsia="Times New Roman" w:cs="Times New Roman"/>
                <w:color w:val="000000"/>
                <w:szCs w:val="24"/>
                <w:lang w:val="en-GB" w:eastAsia="en-GB"/>
              </w:rPr>
              <w:t>ale</w:t>
            </w:r>
          </w:p>
        </w:tc>
        <w:tc>
          <w:tcPr>
            <w:tcW w:w="1624" w:type="dxa"/>
            <w:tcBorders>
              <w:top w:val="nil"/>
              <w:left w:val="nil"/>
              <w:bottom w:val="nil"/>
              <w:right w:val="nil"/>
            </w:tcBorders>
            <w:shd w:val="clear" w:color="auto" w:fill="auto"/>
            <w:noWrap/>
            <w:vAlign w:val="bottom"/>
            <w:hideMark/>
          </w:tcPr>
          <w:p w14:paraId="4B30B88D"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42 (51%)</w:t>
            </w:r>
          </w:p>
        </w:tc>
        <w:tc>
          <w:tcPr>
            <w:tcW w:w="1312" w:type="dxa"/>
            <w:tcBorders>
              <w:top w:val="nil"/>
              <w:left w:val="nil"/>
              <w:bottom w:val="nil"/>
              <w:right w:val="nil"/>
            </w:tcBorders>
            <w:shd w:val="clear" w:color="auto" w:fill="auto"/>
            <w:noWrap/>
            <w:vAlign w:val="bottom"/>
            <w:hideMark/>
          </w:tcPr>
          <w:p w14:paraId="2724CD38"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12 (39%)</w:t>
            </w:r>
          </w:p>
        </w:tc>
        <w:tc>
          <w:tcPr>
            <w:tcW w:w="916" w:type="dxa"/>
            <w:tcBorders>
              <w:top w:val="nil"/>
              <w:left w:val="nil"/>
              <w:bottom w:val="nil"/>
              <w:right w:val="nil"/>
            </w:tcBorders>
            <w:shd w:val="clear" w:color="auto" w:fill="auto"/>
            <w:noWrap/>
            <w:vAlign w:val="bottom"/>
            <w:hideMark/>
          </w:tcPr>
          <w:p w14:paraId="49E1A892"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bottom w:val="nil"/>
              <w:right w:val="nil"/>
            </w:tcBorders>
            <w:shd w:val="clear" w:color="auto" w:fill="auto"/>
            <w:noWrap/>
            <w:vAlign w:val="bottom"/>
            <w:hideMark/>
          </w:tcPr>
          <w:p w14:paraId="710CD0F6"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54 (47.37%)</w:t>
            </w:r>
          </w:p>
        </w:tc>
      </w:tr>
      <w:tr w:rsidR="009D09DF" w:rsidRPr="00857C3B" w14:paraId="39EF1C38" w14:textId="77777777" w:rsidTr="009D09DF">
        <w:trPr>
          <w:trHeight w:val="284"/>
        </w:trPr>
        <w:tc>
          <w:tcPr>
            <w:tcW w:w="3636" w:type="dxa"/>
            <w:tcBorders>
              <w:top w:val="nil"/>
              <w:left w:val="nil"/>
              <w:bottom w:val="nil"/>
              <w:right w:val="nil"/>
            </w:tcBorders>
            <w:shd w:val="clear" w:color="auto" w:fill="auto"/>
            <w:noWrap/>
            <w:vAlign w:val="bottom"/>
            <w:hideMark/>
          </w:tcPr>
          <w:p w14:paraId="4B4E7021"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Missing (%)</w:t>
            </w:r>
          </w:p>
        </w:tc>
        <w:tc>
          <w:tcPr>
            <w:tcW w:w="1624" w:type="dxa"/>
            <w:tcBorders>
              <w:top w:val="nil"/>
              <w:left w:val="nil"/>
              <w:bottom w:val="nil"/>
              <w:right w:val="nil"/>
            </w:tcBorders>
            <w:shd w:val="clear" w:color="auto" w:fill="auto"/>
            <w:noWrap/>
            <w:vAlign w:val="bottom"/>
            <w:hideMark/>
          </w:tcPr>
          <w:p w14:paraId="1B3077DC"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0 (0%)</w:t>
            </w:r>
          </w:p>
        </w:tc>
        <w:tc>
          <w:tcPr>
            <w:tcW w:w="1312" w:type="dxa"/>
            <w:tcBorders>
              <w:top w:val="nil"/>
              <w:left w:val="nil"/>
              <w:bottom w:val="nil"/>
              <w:right w:val="nil"/>
            </w:tcBorders>
            <w:shd w:val="clear" w:color="auto" w:fill="auto"/>
            <w:noWrap/>
            <w:vAlign w:val="bottom"/>
            <w:hideMark/>
          </w:tcPr>
          <w:p w14:paraId="2D72EC8B"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0 (0%)</w:t>
            </w:r>
          </w:p>
        </w:tc>
        <w:tc>
          <w:tcPr>
            <w:tcW w:w="916" w:type="dxa"/>
            <w:tcBorders>
              <w:top w:val="nil"/>
              <w:left w:val="nil"/>
              <w:bottom w:val="nil"/>
              <w:right w:val="nil"/>
            </w:tcBorders>
            <w:shd w:val="clear" w:color="auto" w:fill="auto"/>
            <w:noWrap/>
            <w:vAlign w:val="bottom"/>
            <w:hideMark/>
          </w:tcPr>
          <w:p w14:paraId="2CE95E20" w14:textId="77777777" w:rsidR="009D09DF" w:rsidRPr="00857C3B" w:rsidRDefault="009D09DF" w:rsidP="009D09DF">
            <w:pPr>
              <w:spacing w:after="0" w:line="240" w:lineRule="auto"/>
              <w:jc w:val="right"/>
              <w:rPr>
                <w:rFonts w:eastAsia="Times New Roman" w:cs="Times New Roman"/>
                <w:color w:val="000000"/>
                <w:szCs w:val="24"/>
                <w:lang w:val="en-GB" w:eastAsia="en-GB"/>
              </w:rPr>
            </w:pPr>
            <w:r w:rsidRPr="00857C3B">
              <w:rPr>
                <w:rFonts w:eastAsia="Times New Roman" w:cs="Times New Roman"/>
                <w:color w:val="000000"/>
                <w:szCs w:val="24"/>
                <w:lang w:val="en-GB" w:eastAsia="en-GB"/>
              </w:rPr>
              <w:t>0.357</w:t>
            </w:r>
          </w:p>
        </w:tc>
        <w:tc>
          <w:tcPr>
            <w:tcW w:w="1842" w:type="dxa"/>
            <w:tcBorders>
              <w:top w:val="nil"/>
              <w:left w:val="nil"/>
              <w:bottom w:val="nil"/>
              <w:right w:val="nil"/>
            </w:tcBorders>
            <w:shd w:val="clear" w:color="auto" w:fill="auto"/>
            <w:noWrap/>
            <w:vAlign w:val="bottom"/>
            <w:hideMark/>
          </w:tcPr>
          <w:p w14:paraId="0FCCABFF"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0 (0%)</w:t>
            </w:r>
          </w:p>
        </w:tc>
      </w:tr>
      <w:tr w:rsidR="009D09DF" w:rsidRPr="00857C3B" w14:paraId="00C15BC4" w14:textId="77777777" w:rsidTr="009D09DF">
        <w:trPr>
          <w:trHeight w:val="284"/>
        </w:trPr>
        <w:tc>
          <w:tcPr>
            <w:tcW w:w="3636" w:type="dxa"/>
            <w:tcBorders>
              <w:top w:val="nil"/>
              <w:left w:val="nil"/>
              <w:bottom w:val="nil"/>
              <w:right w:val="nil"/>
            </w:tcBorders>
            <w:shd w:val="clear" w:color="auto" w:fill="auto"/>
            <w:noWrap/>
            <w:vAlign w:val="bottom"/>
            <w:hideMark/>
          </w:tcPr>
          <w:p w14:paraId="251A6E3B" w14:textId="77777777" w:rsidR="009D09DF" w:rsidRPr="00857C3B" w:rsidRDefault="009D09DF" w:rsidP="009D09DF">
            <w:pPr>
              <w:spacing w:after="0" w:line="240" w:lineRule="auto"/>
              <w:rPr>
                <w:rFonts w:eastAsia="Times New Roman" w:cs="Times New Roman"/>
                <w:color w:val="000000"/>
                <w:szCs w:val="24"/>
                <w:u w:val="single"/>
                <w:lang w:val="en-GB" w:eastAsia="en-GB"/>
              </w:rPr>
            </w:pPr>
            <w:r w:rsidRPr="00857C3B">
              <w:rPr>
                <w:rFonts w:eastAsia="Times New Roman" w:cs="Times New Roman"/>
                <w:color w:val="000000"/>
                <w:szCs w:val="24"/>
                <w:u w:val="single"/>
                <w:lang w:val="en-GB" w:eastAsia="en-GB"/>
              </w:rPr>
              <w:t>Age</w:t>
            </w:r>
          </w:p>
        </w:tc>
        <w:tc>
          <w:tcPr>
            <w:tcW w:w="1624" w:type="dxa"/>
            <w:tcBorders>
              <w:top w:val="nil"/>
              <w:left w:val="nil"/>
              <w:bottom w:val="nil"/>
              <w:right w:val="nil"/>
            </w:tcBorders>
            <w:shd w:val="clear" w:color="auto" w:fill="auto"/>
            <w:noWrap/>
            <w:vAlign w:val="bottom"/>
            <w:hideMark/>
          </w:tcPr>
          <w:p w14:paraId="020397C4"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312" w:type="dxa"/>
            <w:tcBorders>
              <w:top w:val="nil"/>
              <w:left w:val="nil"/>
              <w:bottom w:val="nil"/>
              <w:right w:val="nil"/>
            </w:tcBorders>
            <w:shd w:val="clear" w:color="auto" w:fill="auto"/>
            <w:noWrap/>
            <w:vAlign w:val="bottom"/>
            <w:hideMark/>
          </w:tcPr>
          <w:p w14:paraId="5EE1F4DF" w14:textId="77777777" w:rsidR="009D09DF" w:rsidRPr="00857C3B" w:rsidRDefault="009D09DF" w:rsidP="009D09DF">
            <w:pPr>
              <w:spacing w:after="0" w:line="240" w:lineRule="auto"/>
              <w:rPr>
                <w:rFonts w:eastAsia="Times New Roman" w:cs="Times New Roman"/>
                <w:szCs w:val="24"/>
                <w:lang w:val="en-GB" w:eastAsia="en-GB"/>
              </w:rPr>
            </w:pPr>
          </w:p>
        </w:tc>
        <w:tc>
          <w:tcPr>
            <w:tcW w:w="916" w:type="dxa"/>
            <w:tcBorders>
              <w:top w:val="nil"/>
              <w:left w:val="nil"/>
              <w:bottom w:val="nil"/>
              <w:right w:val="nil"/>
            </w:tcBorders>
            <w:shd w:val="clear" w:color="auto" w:fill="auto"/>
            <w:noWrap/>
            <w:vAlign w:val="bottom"/>
            <w:hideMark/>
          </w:tcPr>
          <w:p w14:paraId="1D7BF179" w14:textId="77777777" w:rsidR="009D09DF" w:rsidRPr="00857C3B" w:rsidRDefault="009D09DF" w:rsidP="009D09DF">
            <w:pPr>
              <w:spacing w:after="0" w:line="240" w:lineRule="auto"/>
              <w:rPr>
                <w:rFonts w:eastAsia="Times New Roman" w:cs="Times New Roman"/>
                <w:szCs w:val="24"/>
                <w:lang w:val="en-GB" w:eastAsia="en-GB"/>
              </w:rPr>
            </w:pPr>
          </w:p>
        </w:tc>
        <w:tc>
          <w:tcPr>
            <w:tcW w:w="1842" w:type="dxa"/>
            <w:tcBorders>
              <w:top w:val="nil"/>
              <w:left w:val="nil"/>
              <w:bottom w:val="nil"/>
              <w:right w:val="nil"/>
            </w:tcBorders>
            <w:shd w:val="clear" w:color="auto" w:fill="auto"/>
            <w:noWrap/>
            <w:vAlign w:val="bottom"/>
            <w:hideMark/>
          </w:tcPr>
          <w:p w14:paraId="36EB6D00" w14:textId="77777777" w:rsidR="009D09DF" w:rsidRPr="00857C3B" w:rsidRDefault="009D09DF" w:rsidP="009D09DF">
            <w:pPr>
              <w:spacing w:after="0" w:line="240" w:lineRule="auto"/>
              <w:rPr>
                <w:rFonts w:eastAsia="Times New Roman" w:cs="Times New Roman"/>
                <w:szCs w:val="24"/>
                <w:lang w:val="en-GB" w:eastAsia="en-GB"/>
              </w:rPr>
            </w:pPr>
          </w:p>
        </w:tc>
      </w:tr>
      <w:tr w:rsidR="009D09DF" w:rsidRPr="00857C3B" w14:paraId="46270BBD" w14:textId="77777777" w:rsidTr="009D09DF">
        <w:trPr>
          <w:trHeight w:val="284"/>
        </w:trPr>
        <w:tc>
          <w:tcPr>
            <w:tcW w:w="3636" w:type="dxa"/>
            <w:tcBorders>
              <w:top w:val="nil"/>
              <w:left w:val="nil"/>
              <w:bottom w:val="nil"/>
              <w:right w:val="nil"/>
            </w:tcBorders>
            <w:shd w:val="clear" w:color="auto" w:fill="auto"/>
            <w:noWrap/>
            <w:vAlign w:val="bottom"/>
            <w:hideMark/>
          </w:tcPr>
          <w:p w14:paraId="14EA1B9D"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Mean (SD)</w:t>
            </w:r>
          </w:p>
        </w:tc>
        <w:tc>
          <w:tcPr>
            <w:tcW w:w="1624" w:type="dxa"/>
            <w:tcBorders>
              <w:top w:val="nil"/>
              <w:left w:val="nil"/>
              <w:bottom w:val="nil"/>
              <w:right w:val="nil"/>
            </w:tcBorders>
            <w:shd w:val="clear" w:color="auto" w:fill="auto"/>
            <w:noWrap/>
            <w:vAlign w:val="bottom"/>
            <w:hideMark/>
          </w:tcPr>
          <w:p w14:paraId="74320C5B"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42 (14)</w:t>
            </w:r>
          </w:p>
        </w:tc>
        <w:tc>
          <w:tcPr>
            <w:tcW w:w="1312" w:type="dxa"/>
            <w:tcBorders>
              <w:top w:val="nil"/>
              <w:left w:val="nil"/>
              <w:bottom w:val="nil"/>
              <w:right w:val="nil"/>
            </w:tcBorders>
            <w:shd w:val="clear" w:color="auto" w:fill="auto"/>
            <w:noWrap/>
            <w:vAlign w:val="bottom"/>
            <w:hideMark/>
          </w:tcPr>
          <w:p w14:paraId="3F10FED9"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45 (13)</w:t>
            </w:r>
          </w:p>
        </w:tc>
        <w:tc>
          <w:tcPr>
            <w:tcW w:w="916" w:type="dxa"/>
            <w:tcBorders>
              <w:top w:val="nil"/>
              <w:left w:val="nil"/>
              <w:bottom w:val="nil"/>
              <w:right w:val="nil"/>
            </w:tcBorders>
            <w:shd w:val="clear" w:color="auto" w:fill="auto"/>
            <w:noWrap/>
            <w:vAlign w:val="bottom"/>
            <w:hideMark/>
          </w:tcPr>
          <w:p w14:paraId="0A0DAFC4"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bottom w:val="nil"/>
              <w:right w:val="nil"/>
            </w:tcBorders>
            <w:shd w:val="clear" w:color="auto" w:fill="auto"/>
            <w:noWrap/>
            <w:vAlign w:val="bottom"/>
            <w:hideMark/>
          </w:tcPr>
          <w:p w14:paraId="4A1C9904"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42.74 (13.62)</w:t>
            </w:r>
          </w:p>
        </w:tc>
      </w:tr>
      <w:tr w:rsidR="009D09DF" w:rsidRPr="00857C3B" w14:paraId="6D114EAD" w14:textId="77777777" w:rsidTr="009D09DF">
        <w:trPr>
          <w:trHeight w:val="284"/>
        </w:trPr>
        <w:tc>
          <w:tcPr>
            <w:tcW w:w="3636" w:type="dxa"/>
            <w:tcBorders>
              <w:top w:val="nil"/>
              <w:left w:val="nil"/>
              <w:bottom w:val="nil"/>
              <w:right w:val="nil"/>
            </w:tcBorders>
            <w:shd w:val="clear" w:color="auto" w:fill="auto"/>
            <w:noWrap/>
            <w:vAlign w:val="bottom"/>
            <w:hideMark/>
          </w:tcPr>
          <w:p w14:paraId="62FA30F8"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Median (IQR)</w:t>
            </w:r>
          </w:p>
        </w:tc>
        <w:tc>
          <w:tcPr>
            <w:tcW w:w="1624" w:type="dxa"/>
            <w:tcBorders>
              <w:top w:val="nil"/>
              <w:left w:val="nil"/>
              <w:bottom w:val="nil"/>
              <w:right w:val="nil"/>
            </w:tcBorders>
            <w:shd w:val="clear" w:color="auto" w:fill="auto"/>
            <w:noWrap/>
            <w:vAlign w:val="bottom"/>
            <w:hideMark/>
          </w:tcPr>
          <w:p w14:paraId="333575BB"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44 (29-53)</w:t>
            </w:r>
          </w:p>
        </w:tc>
        <w:tc>
          <w:tcPr>
            <w:tcW w:w="1312" w:type="dxa"/>
            <w:tcBorders>
              <w:top w:val="nil"/>
              <w:left w:val="nil"/>
              <w:bottom w:val="nil"/>
              <w:right w:val="nil"/>
            </w:tcBorders>
            <w:shd w:val="clear" w:color="auto" w:fill="auto"/>
            <w:noWrap/>
            <w:vAlign w:val="bottom"/>
            <w:hideMark/>
          </w:tcPr>
          <w:p w14:paraId="24F26665"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46 (32-54)</w:t>
            </w:r>
          </w:p>
        </w:tc>
        <w:tc>
          <w:tcPr>
            <w:tcW w:w="916" w:type="dxa"/>
            <w:tcBorders>
              <w:top w:val="nil"/>
              <w:left w:val="nil"/>
              <w:bottom w:val="nil"/>
              <w:right w:val="nil"/>
            </w:tcBorders>
            <w:shd w:val="clear" w:color="auto" w:fill="auto"/>
            <w:noWrap/>
            <w:vAlign w:val="bottom"/>
            <w:hideMark/>
          </w:tcPr>
          <w:p w14:paraId="024EF3E8"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bottom w:val="nil"/>
              <w:right w:val="nil"/>
            </w:tcBorders>
            <w:shd w:val="clear" w:color="auto" w:fill="auto"/>
            <w:noWrap/>
            <w:vAlign w:val="bottom"/>
            <w:hideMark/>
          </w:tcPr>
          <w:p w14:paraId="29EFBC23"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44 (30-53)</w:t>
            </w:r>
          </w:p>
        </w:tc>
      </w:tr>
      <w:tr w:rsidR="009D09DF" w:rsidRPr="00857C3B" w14:paraId="4F9720A8" w14:textId="77777777" w:rsidTr="009D09DF">
        <w:trPr>
          <w:trHeight w:val="284"/>
        </w:trPr>
        <w:tc>
          <w:tcPr>
            <w:tcW w:w="3636" w:type="dxa"/>
            <w:tcBorders>
              <w:top w:val="nil"/>
              <w:left w:val="nil"/>
              <w:bottom w:val="nil"/>
              <w:right w:val="nil"/>
            </w:tcBorders>
            <w:shd w:val="clear" w:color="auto" w:fill="auto"/>
            <w:noWrap/>
            <w:vAlign w:val="bottom"/>
            <w:hideMark/>
          </w:tcPr>
          <w:p w14:paraId="4C042A06"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Missing (%)</w:t>
            </w:r>
          </w:p>
        </w:tc>
        <w:tc>
          <w:tcPr>
            <w:tcW w:w="1624" w:type="dxa"/>
            <w:tcBorders>
              <w:top w:val="nil"/>
              <w:left w:val="nil"/>
              <w:bottom w:val="nil"/>
              <w:right w:val="nil"/>
            </w:tcBorders>
            <w:shd w:val="clear" w:color="auto" w:fill="auto"/>
            <w:noWrap/>
            <w:vAlign w:val="bottom"/>
            <w:hideMark/>
          </w:tcPr>
          <w:p w14:paraId="56CD06AA"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0 (0%)</w:t>
            </w:r>
          </w:p>
        </w:tc>
        <w:tc>
          <w:tcPr>
            <w:tcW w:w="1312" w:type="dxa"/>
            <w:tcBorders>
              <w:top w:val="nil"/>
              <w:left w:val="nil"/>
              <w:bottom w:val="nil"/>
              <w:right w:val="nil"/>
            </w:tcBorders>
            <w:shd w:val="clear" w:color="auto" w:fill="auto"/>
            <w:noWrap/>
            <w:vAlign w:val="bottom"/>
            <w:hideMark/>
          </w:tcPr>
          <w:p w14:paraId="12858379"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0 (0%)</w:t>
            </w:r>
          </w:p>
        </w:tc>
        <w:tc>
          <w:tcPr>
            <w:tcW w:w="916" w:type="dxa"/>
            <w:tcBorders>
              <w:top w:val="nil"/>
              <w:left w:val="nil"/>
              <w:bottom w:val="nil"/>
              <w:right w:val="nil"/>
            </w:tcBorders>
            <w:shd w:val="clear" w:color="auto" w:fill="auto"/>
            <w:noWrap/>
            <w:vAlign w:val="bottom"/>
            <w:hideMark/>
          </w:tcPr>
          <w:p w14:paraId="27117906" w14:textId="77777777" w:rsidR="009D09DF" w:rsidRPr="00857C3B" w:rsidRDefault="009D09DF" w:rsidP="009D09DF">
            <w:pPr>
              <w:spacing w:after="0" w:line="240" w:lineRule="auto"/>
              <w:jc w:val="right"/>
              <w:rPr>
                <w:rFonts w:eastAsia="Times New Roman" w:cs="Times New Roman"/>
                <w:color w:val="000000"/>
                <w:szCs w:val="24"/>
                <w:lang w:val="en-GB" w:eastAsia="en-GB"/>
              </w:rPr>
            </w:pPr>
            <w:r w:rsidRPr="00857C3B">
              <w:rPr>
                <w:rFonts w:eastAsia="Times New Roman" w:cs="Times New Roman"/>
                <w:color w:val="000000"/>
                <w:szCs w:val="24"/>
                <w:lang w:val="en-GB" w:eastAsia="en-GB"/>
              </w:rPr>
              <w:t>0.339</w:t>
            </w:r>
          </w:p>
        </w:tc>
        <w:tc>
          <w:tcPr>
            <w:tcW w:w="1842" w:type="dxa"/>
            <w:tcBorders>
              <w:top w:val="nil"/>
              <w:left w:val="nil"/>
              <w:bottom w:val="nil"/>
              <w:right w:val="nil"/>
            </w:tcBorders>
            <w:shd w:val="clear" w:color="auto" w:fill="auto"/>
            <w:noWrap/>
            <w:vAlign w:val="bottom"/>
            <w:hideMark/>
          </w:tcPr>
          <w:p w14:paraId="645C9A44"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0 (0%)</w:t>
            </w:r>
          </w:p>
        </w:tc>
      </w:tr>
      <w:tr w:rsidR="009D09DF" w:rsidRPr="00857C3B" w14:paraId="5757BC78" w14:textId="77777777" w:rsidTr="009D09DF">
        <w:trPr>
          <w:trHeight w:val="284"/>
        </w:trPr>
        <w:tc>
          <w:tcPr>
            <w:tcW w:w="3636" w:type="dxa"/>
            <w:tcBorders>
              <w:top w:val="nil"/>
              <w:left w:val="nil"/>
              <w:bottom w:val="nil"/>
              <w:right w:val="nil"/>
            </w:tcBorders>
            <w:shd w:val="clear" w:color="auto" w:fill="auto"/>
            <w:noWrap/>
            <w:vAlign w:val="bottom"/>
            <w:hideMark/>
          </w:tcPr>
          <w:p w14:paraId="73CCB3D4" w14:textId="77777777" w:rsidR="009D09DF" w:rsidRPr="00857C3B" w:rsidRDefault="009D09DF" w:rsidP="009D09DF">
            <w:pPr>
              <w:spacing w:after="0" w:line="240" w:lineRule="auto"/>
              <w:rPr>
                <w:rFonts w:eastAsia="Times New Roman" w:cs="Times New Roman"/>
                <w:color w:val="000000"/>
                <w:szCs w:val="24"/>
                <w:u w:val="single"/>
                <w:lang w:val="en-GB" w:eastAsia="en-GB"/>
              </w:rPr>
            </w:pPr>
            <w:r w:rsidRPr="00857C3B">
              <w:rPr>
                <w:rFonts w:eastAsia="Times New Roman" w:cs="Times New Roman"/>
                <w:color w:val="000000"/>
                <w:szCs w:val="24"/>
                <w:u w:val="single"/>
                <w:lang w:val="en-GB" w:eastAsia="en-GB"/>
              </w:rPr>
              <w:t>Social class</w:t>
            </w:r>
          </w:p>
        </w:tc>
        <w:tc>
          <w:tcPr>
            <w:tcW w:w="1624" w:type="dxa"/>
            <w:tcBorders>
              <w:top w:val="nil"/>
              <w:left w:val="nil"/>
              <w:bottom w:val="nil"/>
              <w:right w:val="nil"/>
            </w:tcBorders>
            <w:shd w:val="clear" w:color="auto" w:fill="auto"/>
            <w:noWrap/>
            <w:vAlign w:val="bottom"/>
            <w:hideMark/>
          </w:tcPr>
          <w:p w14:paraId="0F1BD450"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312" w:type="dxa"/>
            <w:tcBorders>
              <w:top w:val="nil"/>
              <w:left w:val="nil"/>
              <w:bottom w:val="nil"/>
              <w:right w:val="nil"/>
            </w:tcBorders>
            <w:shd w:val="clear" w:color="auto" w:fill="auto"/>
            <w:noWrap/>
            <w:vAlign w:val="bottom"/>
            <w:hideMark/>
          </w:tcPr>
          <w:p w14:paraId="39ACC420" w14:textId="77777777" w:rsidR="009D09DF" w:rsidRPr="00857C3B" w:rsidRDefault="009D09DF" w:rsidP="009D09DF">
            <w:pPr>
              <w:spacing w:after="0" w:line="240" w:lineRule="auto"/>
              <w:rPr>
                <w:rFonts w:eastAsia="Times New Roman" w:cs="Times New Roman"/>
                <w:szCs w:val="24"/>
                <w:lang w:val="en-GB" w:eastAsia="en-GB"/>
              </w:rPr>
            </w:pPr>
          </w:p>
        </w:tc>
        <w:tc>
          <w:tcPr>
            <w:tcW w:w="916" w:type="dxa"/>
            <w:tcBorders>
              <w:top w:val="nil"/>
              <w:left w:val="nil"/>
              <w:bottom w:val="nil"/>
              <w:right w:val="nil"/>
            </w:tcBorders>
            <w:shd w:val="clear" w:color="auto" w:fill="auto"/>
            <w:noWrap/>
            <w:vAlign w:val="bottom"/>
            <w:hideMark/>
          </w:tcPr>
          <w:p w14:paraId="33ECC8E8" w14:textId="77777777" w:rsidR="009D09DF" w:rsidRPr="00857C3B" w:rsidRDefault="009D09DF" w:rsidP="009D09DF">
            <w:pPr>
              <w:spacing w:after="0" w:line="240" w:lineRule="auto"/>
              <w:rPr>
                <w:rFonts w:eastAsia="Times New Roman" w:cs="Times New Roman"/>
                <w:szCs w:val="24"/>
                <w:lang w:val="en-GB" w:eastAsia="en-GB"/>
              </w:rPr>
            </w:pPr>
          </w:p>
        </w:tc>
        <w:tc>
          <w:tcPr>
            <w:tcW w:w="1842" w:type="dxa"/>
            <w:tcBorders>
              <w:top w:val="nil"/>
              <w:left w:val="nil"/>
              <w:bottom w:val="nil"/>
              <w:right w:val="nil"/>
            </w:tcBorders>
            <w:shd w:val="clear" w:color="auto" w:fill="auto"/>
            <w:noWrap/>
            <w:vAlign w:val="bottom"/>
            <w:hideMark/>
          </w:tcPr>
          <w:p w14:paraId="1DE4387C" w14:textId="77777777" w:rsidR="009D09DF" w:rsidRPr="00857C3B" w:rsidRDefault="009D09DF" w:rsidP="009D09DF">
            <w:pPr>
              <w:spacing w:after="0" w:line="240" w:lineRule="auto"/>
              <w:rPr>
                <w:rFonts w:eastAsia="Times New Roman" w:cs="Times New Roman"/>
                <w:szCs w:val="24"/>
                <w:lang w:val="en-GB" w:eastAsia="en-GB"/>
              </w:rPr>
            </w:pPr>
          </w:p>
        </w:tc>
      </w:tr>
      <w:tr w:rsidR="009D09DF" w:rsidRPr="00857C3B" w14:paraId="68A88EF1" w14:textId="77777777" w:rsidTr="009D09DF">
        <w:trPr>
          <w:trHeight w:val="284"/>
        </w:trPr>
        <w:tc>
          <w:tcPr>
            <w:tcW w:w="3636" w:type="dxa"/>
            <w:tcBorders>
              <w:top w:val="nil"/>
              <w:left w:val="nil"/>
              <w:bottom w:val="nil"/>
              <w:right w:val="nil"/>
            </w:tcBorders>
            <w:shd w:val="clear" w:color="auto" w:fill="auto"/>
            <w:noWrap/>
            <w:vAlign w:val="bottom"/>
            <w:hideMark/>
          </w:tcPr>
          <w:p w14:paraId="5BE6361D"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lower-class</w:t>
            </w:r>
          </w:p>
        </w:tc>
        <w:tc>
          <w:tcPr>
            <w:tcW w:w="1624" w:type="dxa"/>
            <w:tcBorders>
              <w:top w:val="nil"/>
              <w:left w:val="nil"/>
              <w:bottom w:val="nil"/>
              <w:right w:val="nil"/>
            </w:tcBorders>
            <w:shd w:val="clear" w:color="auto" w:fill="auto"/>
            <w:noWrap/>
            <w:vAlign w:val="bottom"/>
            <w:hideMark/>
          </w:tcPr>
          <w:p w14:paraId="29B6CD4E"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11 (13%)</w:t>
            </w:r>
          </w:p>
        </w:tc>
        <w:tc>
          <w:tcPr>
            <w:tcW w:w="1312" w:type="dxa"/>
            <w:tcBorders>
              <w:top w:val="nil"/>
              <w:left w:val="nil"/>
              <w:bottom w:val="nil"/>
              <w:right w:val="nil"/>
            </w:tcBorders>
            <w:shd w:val="clear" w:color="auto" w:fill="auto"/>
            <w:noWrap/>
            <w:vAlign w:val="bottom"/>
            <w:hideMark/>
          </w:tcPr>
          <w:p w14:paraId="64EEE9D9"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7 (23%)</w:t>
            </w:r>
          </w:p>
        </w:tc>
        <w:tc>
          <w:tcPr>
            <w:tcW w:w="916" w:type="dxa"/>
            <w:tcBorders>
              <w:top w:val="nil"/>
              <w:left w:val="nil"/>
              <w:bottom w:val="nil"/>
              <w:right w:val="nil"/>
            </w:tcBorders>
            <w:shd w:val="clear" w:color="auto" w:fill="auto"/>
            <w:noWrap/>
            <w:vAlign w:val="bottom"/>
            <w:hideMark/>
          </w:tcPr>
          <w:p w14:paraId="3C8E12BB"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bottom w:val="nil"/>
              <w:right w:val="nil"/>
            </w:tcBorders>
            <w:shd w:val="clear" w:color="auto" w:fill="auto"/>
            <w:noWrap/>
            <w:vAlign w:val="bottom"/>
            <w:hideMark/>
          </w:tcPr>
          <w:p w14:paraId="3171752A"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5 (4.39%)</w:t>
            </w:r>
          </w:p>
        </w:tc>
      </w:tr>
      <w:tr w:rsidR="009D09DF" w:rsidRPr="00857C3B" w14:paraId="1230A0F6" w14:textId="77777777" w:rsidTr="009D09DF">
        <w:trPr>
          <w:trHeight w:val="284"/>
        </w:trPr>
        <w:tc>
          <w:tcPr>
            <w:tcW w:w="3636" w:type="dxa"/>
            <w:tcBorders>
              <w:top w:val="nil"/>
              <w:left w:val="nil"/>
              <w:bottom w:val="nil"/>
              <w:right w:val="nil"/>
            </w:tcBorders>
            <w:shd w:val="clear" w:color="auto" w:fill="auto"/>
            <w:noWrap/>
            <w:vAlign w:val="bottom"/>
            <w:hideMark/>
          </w:tcPr>
          <w:p w14:paraId="2580A6B8"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lower middle-class</w:t>
            </w:r>
          </w:p>
        </w:tc>
        <w:tc>
          <w:tcPr>
            <w:tcW w:w="1624" w:type="dxa"/>
            <w:tcBorders>
              <w:top w:val="nil"/>
              <w:left w:val="nil"/>
              <w:bottom w:val="nil"/>
              <w:right w:val="nil"/>
            </w:tcBorders>
            <w:shd w:val="clear" w:color="auto" w:fill="auto"/>
            <w:noWrap/>
            <w:vAlign w:val="bottom"/>
            <w:hideMark/>
          </w:tcPr>
          <w:p w14:paraId="53889B49"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21 (25%)</w:t>
            </w:r>
          </w:p>
        </w:tc>
        <w:tc>
          <w:tcPr>
            <w:tcW w:w="1312" w:type="dxa"/>
            <w:tcBorders>
              <w:top w:val="nil"/>
              <w:left w:val="nil"/>
              <w:bottom w:val="nil"/>
              <w:right w:val="nil"/>
            </w:tcBorders>
            <w:shd w:val="clear" w:color="auto" w:fill="auto"/>
            <w:noWrap/>
            <w:vAlign w:val="bottom"/>
            <w:hideMark/>
          </w:tcPr>
          <w:p w14:paraId="3ABA336F"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13 (42%)</w:t>
            </w:r>
          </w:p>
        </w:tc>
        <w:tc>
          <w:tcPr>
            <w:tcW w:w="916" w:type="dxa"/>
            <w:tcBorders>
              <w:top w:val="nil"/>
              <w:left w:val="nil"/>
              <w:bottom w:val="nil"/>
              <w:right w:val="nil"/>
            </w:tcBorders>
            <w:shd w:val="clear" w:color="auto" w:fill="auto"/>
            <w:noWrap/>
            <w:vAlign w:val="bottom"/>
            <w:hideMark/>
          </w:tcPr>
          <w:p w14:paraId="14540317"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bottom w:val="nil"/>
              <w:right w:val="nil"/>
            </w:tcBorders>
            <w:shd w:val="clear" w:color="auto" w:fill="auto"/>
            <w:noWrap/>
            <w:vAlign w:val="bottom"/>
            <w:hideMark/>
          </w:tcPr>
          <w:p w14:paraId="7607540E"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21 (18.42%)</w:t>
            </w:r>
          </w:p>
        </w:tc>
      </w:tr>
      <w:tr w:rsidR="009D09DF" w:rsidRPr="00857C3B" w14:paraId="3761EC72" w14:textId="77777777" w:rsidTr="009D09DF">
        <w:trPr>
          <w:trHeight w:val="284"/>
        </w:trPr>
        <w:tc>
          <w:tcPr>
            <w:tcW w:w="3636" w:type="dxa"/>
            <w:tcBorders>
              <w:top w:val="nil"/>
              <w:left w:val="nil"/>
              <w:bottom w:val="nil"/>
              <w:right w:val="nil"/>
            </w:tcBorders>
            <w:shd w:val="clear" w:color="auto" w:fill="auto"/>
            <w:noWrap/>
            <w:vAlign w:val="bottom"/>
            <w:hideMark/>
          </w:tcPr>
          <w:p w14:paraId="6E9BCB37"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middle middle-class</w:t>
            </w:r>
          </w:p>
        </w:tc>
        <w:tc>
          <w:tcPr>
            <w:tcW w:w="1624" w:type="dxa"/>
            <w:tcBorders>
              <w:top w:val="nil"/>
              <w:left w:val="nil"/>
              <w:bottom w:val="nil"/>
              <w:right w:val="nil"/>
            </w:tcBorders>
            <w:shd w:val="clear" w:color="auto" w:fill="auto"/>
            <w:noWrap/>
            <w:vAlign w:val="bottom"/>
            <w:hideMark/>
          </w:tcPr>
          <w:p w14:paraId="69CFF29E"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47 (57%)</w:t>
            </w:r>
          </w:p>
        </w:tc>
        <w:tc>
          <w:tcPr>
            <w:tcW w:w="1312" w:type="dxa"/>
            <w:tcBorders>
              <w:top w:val="nil"/>
              <w:left w:val="nil"/>
              <w:bottom w:val="nil"/>
              <w:right w:val="nil"/>
            </w:tcBorders>
            <w:shd w:val="clear" w:color="auto" w:fill="auto"/>
            <w:noWrap/>
            <w:vAlign w:val="bottom"/>
            <w:hideMark/>
          </w:tcPr>
          <w:p w14:paraId="699B7821"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20 (65%)</w:t>
            </w:r>
          </w:p>
        </w:tc>
        <w:tc>
          <w:tcPr>
            <w:tcW w:w="916" w:type="dxa"/>
            <w:tcBorders>
              <w:top w:val="nil"/>
              <w:left w:val="nil"/>
              <w:bottom w:val="nil"/>
              <w:right w:val="nil"/>
            </w:tcBorders>
            <w:shd w:val="clear" w:color="auto" w:fill="auto"/>
            <w:noWrap/>
            <w:vAlign w:val="bottom"/>
            <w:hideMark/>
          </w:tcPr>
          <w:p w14:paraId="0C5C76F0"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bottom w:val="nil"/>
              <w:right w:val="nil"/>
            </w:tcBorders>
            <w:shd w:val="clear" w:color="auto" w:fill="auto"/>
            <w:noWrap/>
            <w:vAlign w:val="bottom"/>
            <w:hideMark/>
          </w:tcPr>
          <w:p w14:paraId="524B8CB5"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54 (47.37%)</w:t>
            </w:r>
          </w:p>
        </w:tc>
      </w:tr>
      <w:tr w:rsidR="009D09DF" w:rsidRPr="00857C3B" w14:paraId="4D9D5333" w14:textId="77777777" w:rsidTr="009D09DF">
        <w:trPr>
          <w:trHeight w:val="284"/>
        </w:trPr>
        <w:tc>
          <w:tcPr>
            <w:tcW w:w="3636" w:type="dxa"/>
            <w:tcBorders>
              <w:top w:val="nil"/>
              <w:left w:val="nil"/>
              <w:bottom w:val="nil"/>
              <w:right w:val="nil"/>
            </w:tcBorders>
            <w:shd w:val="clear" w:color="auto" w:fill="auto"/>
            <w:noWrap/>
            <w:vAlign w:val="bottom"/>
            <w:hideMark/>
          </w:tcPr>
          <w:p w14:paraId="42B8B272"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upper middle-class</w:t>
            </w:r>
          </w:p>
        </w:tc>
        <w:tc>
          <w:tcPr>
            <w:tcW w:w="1624" w:type="dxa"/>
            <w:tcBorders>
              <w:top w:val="nil"/>
              <w:left w:val="nil"/>
              <w:bottom w:val="nil"/>
              <w:right w:val="nil"/>
            </w:tcBorders>
            <w:shd w:val="clear" w:color="auto" w:fill="auto"/>
            <w:noWrap/>
            <w:vAlign w:val="bottom"/>
            <w:hideMark/>
          </w:tcPr>
          <w:p w14:paraId="42A2A1DF"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28 (34%)</w:t>
            </w:r>
          </w:p>
        </w:tc>
        <w:tc>
          <w:tcPr>
            <w:tcW w:w="1312" w:type="dxa"/>
            <w:tcBorders>
              <w:top w:val="nil"/>
              <w:left w:val="nil"/>
              <w:bottom w:val="nil"/>
              <w:right w:val="nil"/>
            </w:tcBorders>
            <w:shd w:val="clear" w:color="auto" w:fill="auto"/>
            <w:noWrap/>
            <w:vAlign w:val="bottom"/>
            <w:hideMark/>
          </w:tcPr>
          <w:p w14:paraId="7428B569"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6 (19%)</w:t>
            </w:r>
          </w:p>
        </w:tc>
        <w:tc>
          <w:tcPr>
            <w:tcW w:w="916" w:type="dxa"/>
            <w:tcBorders>
              <w:top w:val="nil"/>
              <w:left w:val="nil"/>
              <w:bottom w:val="nil"/>
              <w:right w:val="nil"/>
            </w:tcBorders>
            <w:shd w:val="clear" w:color="auto" w:fill="auto"/>
            <w:noWrap/>
            <w:vAlign w:val="bottom"/>
            <w:hideMark/>
          </w:tcPr>
          <w:p w14:paraId="58C46F56"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bottom w:val="nil"/>
              <w:right w:val="nil"/>
            </w:tcBorders>
            <w:shd w:val="clear" w:color="auto" w:fill="auto"/>
            <w:noWrap/>
            <w:vAlign w:val="bottom"/>
            <w:hideMark/>
          </w:tcPr>
          <w:p w14:paraId="02F00931"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21 (18.42%)</w:t>
            </w:r>
          </w:p>
        </w:tc>
      </w:tr>
      <w:tr w:rsidR="009D09DF" w:rsidRPr="00857C3B" w14:paraId="69E4EF44" w14:textId="77777777" w:rsidTr="009D09DF">
        <w:trPr>
          <w:trHeight w:val="284"/>
        </w:trPr>
        <w:tc>
          <w:tcPr>
            <w:tcW w:w="3636" w:type="dxa"/>
            <w:tcBorders>
              <w:top w:val="nil"/>
              <w:left w:val="nil"/>
              <w:bottom w:val="nil"/>
              <w:right w:val="nil"/>
            </w:tcBorders>
            <w:shd w:val="clear" w:color="auto" w:fill="auto"/>
            <w:noWrap/>
            <w:vAlign w:val="bottom"/>
            <w:hideMark/>
          </w:tcPr>
          <w:p w14:paraId="278DA06D"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Missing (%)</w:t>
            </w:r>
          </w:p>
        </w:tc>
        <w:tc>
          <w:tcPr>
            <w:tcW w:w="1624" w:type="dxa"/>
            <w:tcBorders>
              <w:top w:val="nil"/>
              <w:left w:val="nil"/>
              <w:bottom w:val="nil"/>
              <w:right w:val="nil"/>
            </w:tcBorders>
            <w:shd w:val="clear" w:color="auto" w:fill="auto"/>
            <w:noWrap/>
            <w:vAlign w:val="bottom"/>
            <w:hideMark/>
          </w:tcPr>
          <w:p w14:paraId="7F50385B"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8 (10%)</w:t>
            </w:r>
          </w:p>
        </w:tc>
        <w:tc>
          <w:tcPr>
            <w:tcW w:w="1312" w:type="dxa"/>
            <w:tcBorders>
              <w:top w:val="nil"/>
              <w:left w:val="nil"/>
              <w:bottom w:val="nil"/>
              <w:right w:val="nil"/>
            </w:tcBorders>
            <w:shd w:val="clear" w:color="auto" w:fill="auto"/>
            <w:noWrap/>
            <w:vAlign w:val="bottom"/>
            <w:hideMark/>
          </w:tcPr>
          <w:p w14:paraId="438EF531"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5 (16%)</w:t>
            </w:r>
          </w:p>
        </w:tc>
        <w:tc>
          <w:tcPr>
            <w:tcW w:w="916" w:type="dxa"/>
            <w:tcBorders>
              <w:top w:val="nil"/>
              <w:left w:val="nil"/>
              <w:bottom w:val="nil"/>
              <w:right w:val="nil"/>
            </w:tcBorders>
            <w:shd w:val="clear" w:color="auto" w:fill="auto"/>
            <w:noWrap/>
            <w:vAlign w:val="bottom"/>
            <w:hideMark/>
          </w:tcPr>
          <w:p w14:paraId="5E6135A3" w14:textId="77777777" w:rsidR="009D09DF" w:rsidRPr="00857C3B" w:rsidRDefault="009D09DF" w:rsidP="009D09DF">
            <w:pPr>
              <w:spacing w:after="0" w:line="240" w:lineRule="auto"/>
              <w:jc w:val="right"/>
              <w:rPr>
                <w:rFonts w:eastAsia="Times New Roman" w:cs="Times New Roman"/>
                <w:color w:val="000000"/>
                <w:szCs w:val="24"/>
                <w:lang w:val="en-GB" w:eastAsia="en-GB"/>
              </w:rPr>
            </w:pPr>
            <w:r w:rsidRPr="00857C3B">
              <w:rPr>
                <w:rFonts w:eastAsia="Times New Roman" w:cs="Times New Roman"/>
                <w:color w:val="000000"/>
                <w:szCs w:val="24"/>
                <w:lang w:val="en-GB" w:eastAsia="en-GB"/>
              </w:rPr>
              <w:t>0.067</w:t>
            </w:r>
          </w:p>
        </w:tc>
        <w:tc>
          <w:tcPr>
            <w:tcW w:w="1842" w:type="dxa"/>
            <w:tcBorders>
              <w:top w:val="nil"/>
              <w:left w:val="nil"/>
              <w:bottom w:val="nil"/>
              <w:right w:val="nil"/>
            </w:tcBorders>
            <w:shd w:val="clear" w:color="auto" w:fill="auto"/>
            <w:noWrap/>
            <w:vAlign w:val="bottom"/>
            <w:hideMark/>
          </w:tcPr>
          <w:p w14:paraId="52538A13"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13 (11.4%)</w:t>
            </w:r>
          </w:p>
        </w:tc>
      </w:tr>
      <w:tr w:rsidR="009D09DF" w:rsidRPr="00857C3B" w14:paraId="1170C55A" w14:textId="77777777" w:rsidTr="009D09DF">
        <w:trPr>
          <w:trHeight w:val="284"/>
        </w:trPr>
        <w:tc>
          <w:tcPr>
            <w:tcW w:w="3636" w:type="dxa"/>
            <w:tcBorders>
              <w:top w:val="nil"/>
              <w:left w:val="nil"/>
              <w:bottom w:val="nil"/>
              <w:right w:val="nil"/>
            </w:tcBorders>
            <w:shd w:val="clear" w:color="auto" w:fill="auto"/>
            <w:noWrap/>
            <w:vAlign w:val="bottom"/>
            <w:hideMark/>
          </w:tcPr>
          <w:p w14:paraId="0EBBE0EB" w14:textId="77777777" w:rsidR="009D09DF" w:rsidRPr="00857C3B" w:rsidRDefault="009D09DF" w:rsidP="009D09DF">
            <w:pPr>
              <w:spacing w:after="0" w:line="240" w:lineRule="auto"/>
              <w:rPr>
                <w:rFonts w:eastAsia="Times New Roman" w:cs="Times New Roman"/>
                <w:color w:val="000000"/>
                <w:szCs w:val="24"/>
                <w:u w:val="single"/>
                <w:lang w:val="en-GB" w:eastAsia="en-GB"/>
              </w:rPr>
            </w:pPr>
            <w:r w:rsidRPr="00857C3B">
              <w:rPr>
                <w:rFonts w:eastAsia="Times New Roman" w:cs="Times New Roman"/>
                <w:color w:val="000000"/>
                <w:szCs w:val="24"/>
                <w:u w:val="single"/>
                <w:lang w:val="en-GB" w:eastAsia="en-GB"/>
              </w:rPr>
              <w:t>Country of Origin</w:t>
            </w:r>
          </w:p>
        </w:tc>
        <w:tc>
          <w:tcPr>
            <w:tcW w:w="1624" w:type="dxa"/>
            <w:tcBorders>
              <w:top w:val="nil"/>
              <w:left w:val="nil"/>
              <w:bottom w:val="nil"/>
              <w:right w:val="nil"/>
            </w:tcBorders>
            <w:shd w:val="clear" w:color="auto" w:fill="auto"/>
            <w:noWrap/>
            <w:vAlign w:val="bottom"/>
            <w:hideMark/>
          </w:tcPr>
          <w:p w14:paraId="58B04959"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312" w:type="dxa"/>
            <w:tcBorders>
              <w:top w:val="nil"/>
              <w:left w:val="nil"/>
              <w:bottom w:val="nil"/>
              <w:right w:val="nil"/>
            </w:tcBorders>
            <w:shd w:val="clear" w:color="auto" w:fill="auto"/>
            <w:noWrap/>
            <w:vAlign w:val="bottom"/>
            <w:hideMark/>
          </w:tcPr>
          <w:p w14:paraId="7DFABB16" w14:textId="77777777" w:rsidR="009D09DF" w:rsidRPr="00857C3B" w:rsidRDefault="009D09DF" w:rsidP="009D09DF">
            <w:pPr>
              <w:spacing w:after="0" w:line="240" w:lineRule="auto"/>
              <w:rPr>
                <w:rFonts w:eastAsia="Times New Roman" w:cs="Times New Roman"/>
                <w:szCs w:val="24"/>
                <w:lang w:val="en-GB" w:eastAsia="en-GB"/>
              </w:rPr>
            </w:pPr>
          </w:p>
        </w:tc>
        <w:tc>
          <w:tcPr>
            <w:tcW w:w="916" w:type="dxa"/>
            <w:tcBorders>
              <w:top w:val="nil"/>
              <w:left w:val="nil"/>
              <w:bottom w:val="nil"/>
              <w:right w:val="nil"/>
            </w:tcBorders>
            <w:shd w:val="clear" w:color="auto" w:fill="auto"/>
            <w:noWrap/>
            <w:vAlign w:val="bottom"/>
            <w:hideMark/>
          </w:tcPr>
          <w:p w14:paraId="16E84071" w14:textId="77777777" w:rsidR="009D09DF" w:rsidRPr="00857C3B" w:rsidRDefault="009D09DF" w:rsidP="009D09DF">
            <w:pPr>
              <w:spacing w:after="0" w:line="240" w:lineRule="auto"/>
              <w:rPr>
                <w:rFonts w:eastAsia="Times New Roman" w:cs="Times New Roman"/>
                <w:szCs w:val="24"/>
                <w:lang w:val="en-GB" w:eastAsia="en-GB"/>
              </w:rPr>
            </w:pPr>
          </w:p>
        </w:tc>
        <w:tc>
          <w:tcPr>
            <w:tcW w:w="1842" w:type="dxa"/>
            <w:tcBorders>
              <w:top w:val="nil"/>
              <w:left w:val="nil"/>
              <w:bottom w:val="nil"/>
              <w:right w:val="nil"/>
            </w:tcBorders>
            <w:shd w:val="clear" w:color="auto" w:fill="auto"/>
            <w:noWrap/>
            <w:vAlign w:val="bottom"/>
            <w:hideMark/>
          </w:tcPr>
          <w:p w14:paraId="66FCF5DB" w14:textId="77777777" w:rsidR="009D09DF" w:rsidRPr="00857C3B" w:rsidRDefault="009D09DF" w:rsidP="009D09DF">
            <w:pPr>
              <w:spacing w:after="0" w:line="240" w:lineRule="auto"/>
              <w:rPr>
                <w:rFonts w:eastAsia="Times New Roman" w:cs="Times New Roman"/>
                <w:szCs w:val="24"/>
                <w:lang w:val="en-GB" w:eastAsia="en-GB"/>
              </w:rPr>
            </w:pPr>
          </w:p>
        </w:tc>
      </w:tr>
      <w:tr w:rsidR="009D09DF" w:rsidRPr="00857C3B" w14:paraId="5EE2B1A4" w14:textId="77777777" w:rsidTr="009D09DF">
        <w:trPr>
          <w:trHeight w:val="284"/>
        </w:trPr>
        <w:tc>
          <w:tcPr>
            <w:tcW w:w="3636" w:type="dxa"/>
            <w:tcBorders>
              <w:top w:val="nil"/>
              <w:left w:val="nil"/>
              <w:bottom w:val="nil"/>
              <w:right w:val="nil"/>
            </w:tcBorders>
            <w:shd w:val="clear" w:color="auto" w:fill="auto"/>
            <w:noWrap/>
            <w:vAlign w:val="bottom"/>
            <w:hideMark/>
          </w:tcPr>
          <w:p w14:paraId="2E4FCBAA"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Germany</w:t>
            </w:r>
          </w:p>
        </w:tc>
        <w:tc>
          <w:tcPr>
            <w:tcW w:w="1624" w:type="dxa"/>
            <w:tcBorders>
              <w:top w:val="nil"/>
              <w:left w:val="nil"/>
              <w:bottom w:val="nil"/>
              <w:right w:val="nil"/>
            </w:tcBorders>
            <w:shd w:val="clear" w:color="auto" w:fill="auto"/>
            <w:noWrap/>
            <w:vAlign w:val="bottom"/>
            <w:hideMark/>
          </w:tcPr>
          <w:p w14:paraId="4644F48D"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76 (92%)</w:t>
            </w:r>
          </w:p>
        </w:tc>
        <w:tc>
          <w:tcPr>
            <w:tcW w:w="1312" w:type="dxa"/>
            <w:tcBorders>
              <w:top w:val="nil"/>
              <w:left w:val="nil"/>
              <w:bottom w:val="nil"/>
              <w:right w:val="nil"/>
            </w:tcBorders>
            <w:shd w:val="clear" w:color="auto" w:fill="auto"/>
            <w:noWrap/>
            <w:vAlign w:val="bottom"/>
            <w:hideMark/>
          </w:tcPr>
          <w:p w14:paraId="5E669D1D"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28 (90%)</w:t>
            </w:r>
          </w:p>
        </w:tc>
        <w:tc>
          <w:tcPr>
            <w:tcW w:w="916" w:type="dxa"/>
            <w:tcBorders>
              <w:top w:val="nil"/>
              <w:left w:val="nil"/>
              <w:bottom w:val="nil"/>
              <w:right w:val="nil"/>
            </w:tcBorders>
            <w:shd w:val="clear" w:color="auto" w:fill="auto"/>
            <w:noWrap/>
            <w:vAlign w:val="bottom"/>
            <w:hideMark/>
          </w:tcPr>
          <w:p w14:paraId="21A63DD9"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bottom w:val="nil"/>
              <w:right w:val="nil"/>
            </w:tcBorders>
            <w:shd w:val="clear" w:color="auto" w:fill="auto"/>
            <w:noWrap/>
            <w:vAlign w:val="bottom"/>
            <w:hideMark/>
          </w:tcPr>
          <w:p w14:paraId="019F7F49"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92 (80.7%)</w:t>
            </w:r>
          </w:p>
        </w:tc>
      </w:tr>
      <w:tr w:rsidR="009D09DF" w:rsidRPr="00857C3B" w14:paraId="38297296" w14:textId="77777777" w:rsidTr="009D09DF">
        <w:trPr>
          <w:trHeight w:val="284"/>
        </w:trPr>
        <w:tc>
          <w:tcPr>
            <w:tcW w:w="3636" w:type="dxa"/>
            <w:tcBorders>
              <w:top w:val="nil"/>
              <w:left w:val="nil"/>
              <w:bottom w:val="nil"/>
              <w:right w:val="nil"/>
            </w:tcBorders>
            <w:shd w:val="clear" w:color="auto" w:fill="auto"/>
            <w:noWrap/>
            <w:vAlign w:val="bottom"/>
            <w:hideMark/>
          </w:tcPr>
          <w:p w14:paraId="39C5BB2B"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Other</w:t>
            </w:r>
          </w:p>
        </w:tc>
        <w:tc>
          <w:tcPr>
            <w:tcW w:w="1624" w:type="dxa"/>
            <w:tcBorders>
              <w:top w:val="nil"/>
              <w:left w:val="nil"/>
              <w:bottom w:val="nil"/>
              <w:right w:val="nil"/>
            </w:tcBorders>
            <w:shd w:val="clear" w:color="auto" w:fill="auto"/>
            <w:noWrap/>
            <w:vAlign w:val="bottom"/>
            <w:hideMark/>
          </w:tcPr>
          <w:p w14:paraId="71AA36B6"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15 (18%)</w:t>
            </w:r>
          </w:p>
        </w:tc>
        <w:tc>
          <w:tcPr>
            <w:tcW w:w="1312" w:type="dxa"/>
            <w:tcBorders>
              <w:top w:val="nil"/>
              <w:left w:val="nil"/>
              <w:bottom w:val="nil"/>
              <w:right w:val="nil"/>
            </w:tcBorders>
            <w:shd w:val="clear" w:color="auto" w:fill="auto"/>
            <w:noWrap/>
            <w:vAlign w:val="bottom"/>
            <w:hideMark/>
          </w:tcPr>
          <w:p w14:paraId="2A01D902"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7 (23%)</w:t>
            </w:r>
          </w:p>
        </w:tc>
        <w:tc>
          <w:tcPr>
            <w:tcW w:w="916" w:type="dxa"/>
            <w:tcBorders>
              <w:top w:val="nil"/>
              <w:left w:val="nil"/>
              <w:bottom w:val="nil"/>
              <w:right w:val="nil"/>
            </w:tcBorders>
            <w:shd w:val="clear" w:color="auto" w:fill="auto"/>
            <w:noWrap/>
            <w:vAlign w:val="bottom"/>
            <w:hideMark/>
          </w:tcPr>
          <w:p w14:paraId="23EEE2FE"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bottom w:val="nil"/>
              <w:right w:val="nil"/>
            </w:tcBorders>
            <w:shd w:val="clear" w:color="auto" w:fill="auto"/>
            <w:noWrap/>
            <w:vAlign w:val="bottom"/>
            <w:hideMark/>
          </w:tcPr>
          <w:p w14:paraId="1E86E5C5"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10 (8.77%)</w:t>
            </w:r>
          </w:p>
        </w:tc>
      </w:tr>
      <w:tr w:rsidR="009D09DF" w:rsidRPr="00857C3B" w14:paraId="5588B8B5" w14:textId="77777777" w:rsidTr="009D09DF">
        <w:trPr>
          <w:trHeight w:val="284"/>
        </w:trPr>
        <w:tc>
          <w:tcPr>
            <w:tcW w:w="3636" w:type="dxa"/>
            <w:tcBorders>
              <w:top w:val="nil"/>
              <w:left w:val="nil"/>
              <w:bottom w:val="nil"/>
              <w:right w:val="nil"/>
            </w:tcBorders>
            <w:shd w:val="clear" w:color="auto" w:fill="auto"/>
            <w:noWrap/>
            <w:vAlign w:val="bottom"/>
            <w:hideMark/>
          </w:tcPr>
          <w:p w14:paraId="291DAAED"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Missing (%)</w:t>
            </w:r>
          </w:p>
        </w:tc>
        <w:tc>
          <w:tcPr>
            <w:tcW w:w="1624" w:type="dxa"/>
            <w:tcBorders>
              <w:top w:val="nil"/>
              <w:left w:val="nil"/>
              <w:bottom w:val="nil"/>
              <w:right w:val="nil"/>
            </w:tcBorders>
            <w:shd w:val="clear" w:color="auto" w:fill="auto"/>
            <w:noWrap/>
            <w:vAlign w:val="bottom"/>
            <w:hideMark/>
          </w:tcPr>
          <w:p w14:paraId="7233160B"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8 (10%)</w:t>
            </w:r>
          </w:p>
        </w:tc>
        <w:tc>
          <w:tcPr>
            <w:tcW w:w="1312" w:type="dxa"/>
            <w:tcBorders>
              <w:top w:val="nil"/>
              <w:left w:val="nil"/>
              <w:bottom w:val="nil"/>
              <w:right w:val="nil"/>
            </w:tcBorders>
            <w:shd w:val="clear" w:color="auto" w:fill="auto"/>
            <w:noWrap/>
            <w:vAlign w:val="bottom"/>
            <w:hideMark/>
          </w:tcPr>
          <w:p w14:paraId="2CE19CEF"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4 (13%)</w:t>
            </w:r>
          </w:p>
        </w:tc>
        <w:tc>
          <w:tcPr>
            <w:tcW w:w="916" w:type="dxa"/>
            <w:tcBorders>
              <w:top w:val="nil"/>
              <w:left w:val="nil"/>
              <w:bottom w:val="nil"/>
              <w:right w:val="nil"/>
            </w:tcBorders>
            <w:shd w:val="clear" w:color="auto" w:fill="auto"/>
            <w:noWrap/>
            <w:vAlign w:val="bottom"/>
            <w:hideMark/>
          </w:tcPr>
          <w:p w14:paraId="664E36E4" w14:textId="77777777" w:rsidR="009D09DF" w:rsidRPr="00857C3B" w:rsidRDefault="009D09DF" w:rsidP="009D09DF">
            <w:pPr>
              <w:spacing w:after="0" w:line="240" w:lineRule="auto"/>
              <w:jc w:val="right"/>
              <w:rPr>
                <w:rFonts w:eastAsia="Times New Roman" w:cs="Times New Roman"/>
                <w:color w:val="000000"/>
                <w:szCs w:val="24"/>
                <w:lang w:val="en-GB" w:eastAsia="en-GB"/>
              </w:rPr>
            </w:pPr>
            <w:r w:rsidRPr="00857C3B">
              <w:rPr>
                <w:rFonts w:eastAsia="Times New Roman" w:cs="Times New Roman"/>
                <w:color w:val="000000"/>
                <w:szCs w:val="24"/>
                <w:lang w:val="en-GB" w:eastAsia="en-GB"/>
              </w:rPr>
              <w:t>1</w:t>
            </w:r>
          </w:p>
        </w:tc>
        <w:tc>
          <w:tcPr>
            <w:tcW w:w="1842" w:type="dxa"/>
            <w:tcBorders>
              <w:top w:val="nil"/>
              <w:left w:val="nil"/>
              <w:bottom w:val="nil"/>
              <w:right w:val="nil"/>
            </w:tcBorders>
            <w:shd w:val="clear" w:color="auto" w:fill="auto"/>
            <w:noWrap/>
            <w:vAlign w:val="bottom"/>
            <w:hideMark/>
          </w:tcPr>
          <w:p w14:paraId="619CC043"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12 (10.53%)</w:t>
            </w:r>
          </w:p>
        </w:tc>
      </w:tr>
      <w:tr w:rsidR="009D09DF" w:rsidRPr="00857C3B" w14:paraId="3EF86B56" w14:textId="77777777" w:rsidTr="009D09DF">
        <w:trPr>
          <w:trHeight w:val="284"/>
        </w:trPr>
        <w:tc>
          <w:tcPr>
            <w:tcW w:w="3636" w:type="dxa"/>
            <w:tcBorders>
              <w:top w:val="nil"/>
              <w:left w:val="nil"/>
              <w:bottom w:val="nil"/>
              <w:right w:val="nil"/>
            </w:tcBorders>
            <w:shd w:val="clear" w:color="auto" w:fill="auto"/>
            <w:noWrap/>
            <w:vAlign w:val="bottom"/>
            <w:hideMark/>
          </w:tcPr>
          <w:p w14:paraId="7922E6F2" w14:textId="77777777" w:rsidR="009D09DF" w:rsidRPr="00857C3B" w:rsidRDefault="009D09DF" w:rsidP="009D09DF">
            <w:pPr>
              <w:spacing w:after="0" w:line="240" w:lineRule="auto"/>
              <w:rPr>
                <w:rFonts w:eastAsia="Times New Roman" w:cs="Times New Roman"/>
                <w:color w:val="000000"/>
                <w:szCs w:val="24"/>
                <w:u w:val="single"/>
                <w:lang w:val="en-GB" w:eastAsia="en-GB"/>
              </w:rPr>
            </w:pPr>
            <w:r w:rsidRPr="00857C3B">
              <w:rPr>
                <w:rFonts w:eastAsia="Times New Roman" w:cs="Times New Roman"/>
                <w:color w:val="000000"/>
                <w:szCs w:val="24"/>
                <w:u w:val="single"/>
                <w:lang w:val="en-GB" w:eastAsia="en-GB"/>
              </w:rPr>
              <w:t>Ethnicity</w:t>
            </w:r>
          </w:p>
        </w:tc>
        <w:tc>
          <w:tcPr>
            <w:tcW w:w="1624" w:type="dxa"/>
            <w:tcBorders>
              <w:top w:val="nil"/>
              <w:left w:val="nil"/>
              <w:bottom w:val="nil"/>
              <w:right w:val="nil"/>
            </w:tcBorders>
            <w:shd w:val="clear" w:color="auto" w:fill="auto"/>
            <w:noWrap/>
            <w:vAlign w:val="bottom"/>
            <w:hideMark/>
          </w:tcPr>
          <w:p w14:paraId="4B02C108"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312" w:type="dxa"/>
            <w:tcBorders>
              <w:top w:val="nil"/>
              <w:left w:val="nil"/>
              <w:bottom w:val="nil"/>
              <w:right w:val="nil"/>
            </w:tcBorders>
            <w:shd w:val="clear" w:color="auto" w:fill="auto"/>
            <w:noWrap/>
            <w:vAlign w:val="bottom"/>
            <w:hideMark/>
          </w:tcPr>
          <w:p w14:paraId="43B43822" w14:textId="77777777" w:rsidR="009D09DF" w:rsidRPr="00857C3B" w:rsidRDefault="009D09DF" w:rsidP="009D09DF">
            <w:pPr>
              <w:spacing w:after="0" w:line="240" w:lineRule="auto"/>
              <w:rPr>
                <w:rFonts w:eastAsia="Times New Roman" w:cs="Times New Roman"/>
                <w:szCs w:val="24"/>
                <w:lang w:val="en-GB" w:eastAsia="en-GB"/>
              </w:rPr>
            </w:pPr>
          </w:p>
        </w:tc>
        <w:tc>
          <w:tcPr>
            <w:tcW w:w="916" w:type="dxa"/>
            <w:tcBorders>
              <w:top w:val="nil"/>
              <w:left w:val="nil"/>
              <w:bottom w:val="nil"/>
              <w:right w:val="nil"/>
            </w:tcBorders>
            <w:shd w:val="clear" w:color="auto" w:fill="auto"/>
            <w:noWrap/>
            <w:vAlign w:val="bottom"/>
            <w:hideMark/>
          </w:tcPr>
          <w:p w14:paraId="73DA3D3A" w14:textId="77777777" w:rsidR="009D09DF" w:rsidRPr="00857C3B" w:rsidRDefault="009D09DF" w:rsidP="009D09DF">
            <w:pPr>
              <w:spacing w:after="0" w:line="240" w:lineRule="auto"/>
              <w:rPr>
                <w:rFonts w:eastAsia="Times New Roman" w:cs="Times New Roman"/>
                <w:szCs w:val="24"/>
                <w:lang w:val="en-GB" w:eastAsia="en-GB"/>
              </w:rPr>
            </w:pPr>
          </w:p>
        </w:tc>
        <w:tc>
          <w:tcPr>
            <w:tcW w:w="1842" w:type="dxa"/>
            <w:tcBorders>
              <w:top w:val="nil"/>
              <w:left w:val="nil"/>
              <w:bottom w:val="nil"/>
              <w:right w:val="nil"/>
            </w:tcBorders>
            <w:shd w:val="clear" w:color="auto" w:fill="auto"/>
            <w:noWrap/>
            <w:vAlign w:val="bottom"/>
            <w:hideMark/>
          </w:tcPr>
          <w:p w14:paraId="166BC1D9" w14:textId="77777777" w:rsidR="009D09DF" w:rsidRPr="00857C3B" w:rsidRDefault="009D09DF" w:rsidP="009D09DF">
            <w:pPr>
              <w:spacing w:after="0" w:line="240" w:lineRule="auto"/>
              <w:rPr>
                <w:rFonts w:eastAsia="Times New Roman" w:cs="Times New Roman"/>
                <w:szCs w:val="24"/>
                <w:lang w:val="en-GB" w:eastAsia="en-GB"/>
              </w:rPr>
            </w:pPr>
          </w:p>
        </w:tc>
      </w:tr>
      <w:tr w:rsidR="009D09DF" w:rsidRPr="00857C3B" w14:paraId="13D00E28" w14:textId="77777777" w:rsidTr="009D09DF">
        <w:trPr>
          <w:trHeight w:val="284"/>
        </w:trPr>
        <w:tc>
          <w:tcPr>
            <w:tcW w:w="3636" w:type="dxa"/>
            <w:tcBorders>
              <w:top w:val="nil"/>
              <w:left w:val="nil"/>
              <w:bottom w:val="nil"/>
              <w:right w:val="nil"/>
            </w:tcBorders>
            <w:shd w:val="clear" w:color="auto" w:fill="auto"/>
            <w:noWrap/>
            <w:vAlign w:val="bottom"/>
            <w:hideMark/>
          </w:tcPr>
          <w:p w14:paraId="5B3AA359"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German</w:t>
            </w:r>
          </w:p>
        </w:tc>
        <w:tc>
          <w:tcPr>
            <w:tcW w:w="1624" w:type="dxa"/>
            <w:tcBorders>
              <w:top w:val="nil"/>
              <w:left w:val="nil"/>
              <w:bottom w:val="nil"/>
              <w:right w:val="nil"/>
            </w:tcBorders>
            <w:shd w:val="clear" w:color="auto" w:fill="auto"/>
            <w:noWrap/>
            <w:vAlign w:val="bottom"/>
            <w:hideMark/>
          </w:tcPr>
          <w:p w14:paraId="739976C1"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76 (92%)</w:t>
            </w:r>
          </w:p>
        </w:tc>
        <w:tc>
          <w:tcPr>
            <w:tcW w:w="1312" w:type="dxa"/>
            <w:tcBorders>
              <w:top w:val="nil"/>
              <w:left w:val="nil"/>
              <w:bottom w:val="nil"/>
              <w:right w:val="nil"/>
            </w:tcBorders>
            <w:shd w:val="clear" w:color="auto" w:fill="auto"/>
            <w:noWrap/>
            <w:vAlign w:val="bottom"/>
            <w:hideMark/>
          </w:tcPr>
          <w:p w14:paraId="616DB9C1"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27 (87%)</w:t>
            </w:r>
          </w:p>
        </w:tc>
        <w:tc>
          <w:tcPr>
            <w:tcW w:w="916" w:type="dxa"/>
            <w:tcBorders>
              <w:top w:val="nil"/>
              <w:left w:val="nil"/>
              <w:bottom w:val="nil"/>
              <w:right w:val="nil"/>
            </w:tcBorders>
            <w:shd w:val="clear" w:color="auto" w:fill="auto"/>
            <w:noWrap/>
            <w:vAlign w:val="bottom"/>
            <w:hideMark/>
          </w:tcPr>
          <w:p w14:paraId="497C13D4"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bottom w:val="nil"/>
              <w:right w:val="nil"/>
            </w:tcBorders>
            <w:shd w:val="clear" w:color="auto" w:fill="auto"/>
            <w:noWrap/>
            <w:vAlign w:val="bottom"/>
            <w:hideMark/>
          </w:tcPr>
          <w:p w14:paraId="38118961"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91 (79.82%)</w:t>
            </w:r>
          </w:p>
        </w:tc>
      </w:tr>
      <w:tr w:rsidR="009D09DF" w:rsidRPr="00857C3B" w14:paraId="240F7CC2" w14:textId="77777777" w:rsidTr="009D09DF">
        <w:trPr>
          <w:trHeight w:val="284"/>
        </w:trPr>
        <w:tc>
          <w:tcPr>
            <w:tcW w:w="3636" w:type="dxa"/>
            <w:tcBorders>
              <w:top w:val="nil"/>
              <w:left w:val="nil"/>
              <w:bottom w:val="nil"/>
              <w:right w:val="nil"/>
            </w:tcBorders>
            <w:shd w:val="clear" w:color="auto" w:fill="auto"/>
            <w:noWrap/>
            <w:vAlign w:val="bottom"/>
            <w:hideMark/>
          </w:tcPr>
          <w:p w14:paraId="2FBBC5AF"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Other</w:t>
            </w:r>
          </w:p>
        </w:tc>
        <w:tc>
          <w:tcPr>
            <w:tcW w:w="1624" w:type="dxa"/>
            <w:tcBorders>
              <w:top w:val="nil"/>
              <w:left w:val="nil"/>
              <w:bottom w:val="nil"/>
              <w:right w:val="nil"/>
            </w:tcBorders>
            <w:shd w:val="clear" w:color="auto" w:fill="auto"/>
            <w:noWrap/>
            <w:vAlign w:val="bottom"/>
            <w:hideMark/>
          </w:tcPr>
          <w:p w14:paraId="519BAA68"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15 (18%)</w:t>
            </w:r>
          </w:p>
        </w:tc>
        <w:tc>
          <w:tcPr>
            <w:tcW w:w="1312" w:type="dxa"/>
            <w:tcBorders>
              <w:top w:val="nil"/>
              <w:left w:val="nil"/>
              <w:bottom w:val="nil"/>
              <w:right w:val="nil"/>
            </w:tcBorders>
            <w:shd w:val="clear" w:color="auto" w:fill="auto"/>
            <w:noWrap/>
            <w:vAlign w:val="bottom"/>
            <w:hideMark/>
          </w:tcPr>
          <w:p w14:paraId="5BE53DD5"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8 (26%)</w:t>
            </w:r>
          </w:p>
        </w:tc>
        <w:tc>
          <w:tcPr>
            <w:tcW w:w="916" w:type="dxa"/>
            <w:tcBorders>
              <w:top w:val="nil"/>
              <w:left w:val="nil"/>
              <w:bottom w:val="nil"/>
              <w:right w:val="nil"/>
            </w:tcBorders>
            <w:shd w:val="clear" w:color="auto" w:fill="auto"/>
            <w:noWrap/>
            <w:vAlign w:val="bottom"/>
            <w:hideMark/>
          </w:tcPr>
          <w:p w14:paraId="0481FD5B"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bottom w:val="nil"/>
              <w:right w:val="nil"/>
            </w:tcBorders>
            <w:shd w:val="clear" w:color="auto" w:fill="auto"/>
            <w:noWrap/>
            <w:vAlign w:val="bottom"/>
            <w:hideMark/>
          </w:tcPr>
          <w:p w14:paraId="09E151E5"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11 (9.65%)</w:t>
            </w:r>
          </w:p>
        </w:tc>
      </w:tr>
      <w:tr w:rsidR="009D09DF" w:rsidRPr="00857C3B" w14:paraId="0DE1DBF8" w14:textId="77777777" w:rsidTr="009D09DF">
        <w:trPr>
          <w:trHeight w:val="284"/>
        </w:trPr>
        <w:tc>
          <w:tcPr>
            <w:tcW w:w="3636" w:type="dxa"/>
            <w:tcBorders>
              <w:top w:val="nil"/>
              <w:left w:val="nil"/>
              <w:bottom w:val="nil"/>
              <w:right w:val="nil"/>
            </w:tcBorders>
            <w:shd w:val="clear" w:color="auto" w:fill="auto"/>
            <w:noWrap/>
            <w:vAlign w:val="bottom"/>
            <w:hideMark/>
          </w:tcPr>
          <w:p w14:paraId="0131EBA8"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Missing (%)</w:t>
            </w:r>
          </w:p>
        </w:tc>
        <w:tc>
          <w:tcPr>
            <w:tcW w:w="1624" w:type="dxa"/>
            <w:tcBorders>
              <w:top w:val="nil"/>
              <w:left w:val="nil"/>
              <w:bottom w:val="nil"/>
              <w:right w:val="nil"/>
            </w:tcBorders>
            <w:shd w:val="clear" w:color="auto" w:fill="auto"/>
            <w:noWrap/>
            <w:vAlign w:val="bottom"/>
            <w:hideMark/>
          </w:tcPr>
          <w:p w14:paraId="732A42F3"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8 (10%)</w:t>
            </w:r>
          </w:p>
        </w:tc>
        <w:tc>
          <w:tcPr>
            <w:tcW w:w="1312" w:type="dxa"/>
            <w:tcBorders>
              <w:top w:val="nil"/>
              <w:left w:val="nil"/>
              <w:bottom w:val="nil"/>
              <w:right w:val="nil"/>
            </w:tcBorders>
            <w:shd w:val="clear" w:color="auto" w:fill="auto"/>
            <w:noWrap/>
            <w:vAlign w:val="bottom"/>
            <w:hideMark/>
          </w:tcPr>
          <w:p w14:paraId="375769F4"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4 (13%)</w:t>
            </w:r>
          </w:p>
        </w:tc>
        <w:tc>
          <w:tcPr>
            <w:tcW w:w="916" w:type="dxa"/>
            <w:tcBorders>
              <w:top w:val="nil"/>
              <w:left w:val="nil"/>
              <w:bottom w:val="nil"/>
              <w:right w:val="nil"/>
            </w:tcBorders>
            <w:shd w:val="clear" w:color="auto" w:fill="auto"/>
            <w:noWrap/>
            <w:vAlign w:val="bottom"/>
            <w:hideMark/>
          </w:tcPr>
          <w:p w14:paraId="2F887674" w14:textId="77777777" w:rsidR="009D09DF" w:rsidRPr="00857C3B" w:rsidRDefault="009D09DF" w:rsidP="009D09DF">
            <w:pPr>
              <w:spacing w:after="0" w:line="240" w:lineRule="auto"/>
              <w:jc w:val="right"/>
              <w:rPr>
                <w:rFonts w:eastAsia="Times New Roman" w:cs="Times New Roman"/>
                <w:color w:val="000000"/>
                <w:szCs w:val="24"/>
                <w:lang w:val="en-GB" w:eastAsia="en-GB"/>
              </w:rPr>
            </w:pPr>
            <w:r w:rsidRPr="00857C3B">
              <w:rPr>
                <w:rFonts w:eastAsia="Times New Roman" w:cs="Times New Roman"/>
                <w:color w:val="000000"/>
                <w:szCs w:val="24"/>
                <w:lang w:val="en-GB" w:eastAsia="en-GB"/>
              </w:rPr>
              <w:t>0.67</w:t>
            </w:r>
          </w:p>
        </w:tc>
        <w:tc>
          <w:tcPr>
            <w:tcW w:w="1842" w:type="dxa"/>
            <w:tcBorders>
              <w:top w:val="nil"/>
              <w:left w:val="nil"/>
              <w:bottom w:val="nil"/>
              <w:right w:val="nil"/>
            </w:tcBorders>
            <w:shd w:val="clear" w:color="auto" w:fill="auto"/>
            <w:noWrap/>
            <w:vAlign w:val="bottom"/>
            <w:hideMark/>
          </w:tcPr>
          <w:p w14:paraId="21351E8D"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12 (10.53%)</w:t>
            </w:r>
          </w:p>
        </w:tc>
      </w:tr>
      <w:tr w:rsidR="009D09DF" w:rsidRPr="00857C3B" w14:paraId="098ED82E" w14:textId="77777777" w:rsidTr="009D09DF">
        <w:trPr>
          <w:trHeight w:val="284"/>
        </w:trPr>
        <w:tc>
          <w:tcPr>
            <w:tcW w:w="3636" w:type="dxa"/>
            <w:tcBorders>
              <w:top w:val="nil"/>
              <w:left w:val="nil"/>
              <w:bottom w:val="nil"/>
              <w:right w:val="nil"/>
            </w:tcBorders>
            <w:shd w:val="clear" w:color="auto" w:fill="auto"/>
            <w:noWrap/>
            <w:vAlign w:val="bottom"/>
            <w:hideMark/>
          </w:tcPr>
          <w:p w14:paraId="2CC07D48" w14:textId="77777777" w:rsidR="009D09DF" w:rsidRPr="00857C3B" w:rsidRDefault="009D09DF" w:rsidP="009D09DF">
            <w:pPr>
              <w:spacing w:after="0" w:line="240" w:lineRule="auto"/>
              <w:rPr>
                <w:rFonts w:eastAsia="Times New Roman" w:cs="Times New Roman"/>
                <w:color w:val="000000"/>
                <w:szCs w:val="24"/>
                <w:u w:val="single"/>
                <w:lang w:val="en-GB" w:eastAsia="en-GB"/>
              </w:rPr>
            </w:pPr>
            <w:r w:rsidRPr="00857C3B">
              <w:rPr>
                <w:rFonts w:eastAsia="Times New Roman" w:cs="Times New Roman"/>
                <w:color w:val="000000"/>
                <w:szCs w:val="24"/>
                <w:u w:val="single"/>
                <w:lang w:val="en-GB" w:eastAsia="en-GB"/>
              </w:rPr>
              <w:t>Employment status</w:t>
            </w:r>
          </w:p>
        </w:tc>
        <w:tc>
          <w:tcPr>
            <w:tcW w:w="1624" w:type="dxa"/>
            <w:tcBorders>
              <w:top w:val="nil"/>
              <w:left w:val="nil"/>
              <w:bottom w:val="nil"/>
              <w:right w:val="nil"/>
            </w:tcBorders>
            <w:shd w:val="clear" w:color="auto" w:fill="auto"/>
            <w:noWrap/>
            <w:vAlign w:val="bottom"/>
            <w:hideMark/>
          </w:tcPr>
          <w:p w14:paraId="6F92F1DE"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312" w:type="dxa"/>
            <w:tcBorders>
              <w:top w:val="nil"/>
              <w:left w:val="nil"/>
              <w:bottom w:val="nil"/>
              <w:right w:val="nil"/>
            </w:tcBorders>
            <w:shd w:val="clear" w:color="auto" w:fill="auto"/>
            <w:noWrap/>
            <w:vAlign w:val="bottom"/>
            <w:hideMark/>
          </w:tcPr>
          <w:p w14:paraId="7355D31F" w14:textId="77777777" w:rsidR="009D09DF" w:rsidRPr="00857C3B" w:rsidRDefault="009D09DF" w:rsidP="009D09DF">
            <w:pPr>
              <w:spacing w:after="0" w:line="240" w:lineRule="auto"/>
              <w:rPr>
                <w:rFonts w:eastAsia="Times New Roman" w:cs="Times New Roman"/>
                <w:szCs w:val="24"/>
                <w:lang w:val="en-GB" w:eastAsia="en-GB"/>
              </w:rPr>
            </w:pPr>
          </w:p>
        </w:tc>
        <w:tc>
          <w:tcPr>
            <w:tcW w:w="916" w:type="dxa"/>
            <w:tcBorders>
              <w:top w:val="nil"/>
              <w:left w:val="nil"/>
              <w:bottom w:val="nil"/>
              <w:right w:val="nil"/>
            </w:tcBorders>
            <w:shd w:val="clear" w:color="auto" w:fill="auto"/>
            <w:noWrap/>
            <w:vAlign w:val="bottom"/>
            <w:hideMark/>
          </w:tcPr>
          <w:p w14:paraId="3E9147AB" w14:textId="77777777" w:rsidR="009D09DF" w:rsidRPr="00857C3B" w:rsidRDefault="009D09DF" w:rsidP="009D09DF">
            <w:pPr>
              <w:spacing w:after="0" w:line="240" w:lineRule="auto"/>
              <w:rPr>
                <w:rFonts w:eastAsia="Times New Roman" w:cs="Times New Roman"/>
                <w:szCs w:val="24"/>
                <w:lang w:val="en-GB" w:eastAsia="en-GB"/>
              </w:rPr>
            </w:pPr>
          </w:p>
        </w:tc>
        <w:tc>
          <w:tcPr>
            <w:tcW w:w="1842" w:type="dxa"/>
            <w:tcBorders>
              <w:top w:val="nil"/>
              <w:left w:val="nil"/>
              <w:bottom w:val="nil"/>
              <w:right w:val="nil"/>
            </w:tcBorders>
            <w:shd w:val="clear" w:color="auto" w:fill="auto"/>
            <w:noWrap/>
            <w:vAlign w:val="bottom"/>
            <w:hideMark/>
          </w:tcPr>
          <w:p w14:paraId="66774B41" w14:textId="77777777" w:rsidR="009D09DF" w:rsidRPr="00857C3B" w:rsidRDefault="009D09DF" w:rsidP="009D09DF">
            <w:pPr>
              <w:spacing w:after="0" w:line="240" w:lineRule="auto"/>
              <w:rPr>
                <w:rFonts w:eastAsia="Times New Roman" w:cs="Times New Roman"/>
                <w:szCs w:val="24"/>
                <w:lang w:val="en-GB" w:eastAsia="en-GB"/>
              </w:rPr>
            </w:pPr>
          </w:p>
        </w:tc>
      </w:tr>
      <w:tr w:rsidR="009D09DF" w:rsidRPr="00857C3B" w14:paraId="006BE705" w14:textId="77777777" w:rsidTr="009D09DF">
        <w:trPr>
          <w:trHeight w:val="284"/>
        </w:trPr>
        <w:tc>
          <w:tcPr>
            <w:tcW w:w="3636" w:type="dxa"/>
            <w:tcBorders>
              <w:top w:val="nil"/>
              <w:left w:val="nil"/>
              <w:bottom w:val="nil"/>
              <w:right w:val="nil"/>
            </w:tcBorders>
            <w:shd w:val="clear" w:color="auto" w:fill="auto"/>
            <w:noWrap/>
            <w:vAlign w:val="bottom"/>
            <w:hideMark/>
          </w:tcPr>
          <w:p w14:paraId="48080ED6"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Employed</w:t>
            </w:r>
          </w:p>
        </w:tc>
        <w:tc>
          <w:tcPr>
            <w:tcW w:w="1624" w:type="dxa"/>
            <w:tcBorders>
              <w:top w:val="nil"/>
              <w:left w:val="nil"/>
              <w:bottom w:val="nil"/>
              <w:right w:val="nil"/>
            </w:tcBorders>
            <w:shd w:val="clear" w:color="auto" w:fill="auto"/>
            <w:noWrap/>
            <w:vAlign w:val="bottom"/>
            <w:hideMark/>
          </w:tcPr>
          <w:p w14:paraId="782E156F"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56 (67%)</w:t>
            </w:r>
          </w:p>
        </w:tc>
        <w:tc>
          <w:tcPr>
            <w:tcW w:w="1312" w:type="dxa"/>
            <w:tcBorders>
              <w:top w:val="nil"/>
              <w:left w:val="nil"/>
              <w:bottom w:val="nil"/>
              <w:right w:val="nil"/>
            </w:tcBorders>
            <w:shd w:val="clear" w:color="auto" w:fill="auto"/>
            <w:noWrap/>
            <w:vAlign w:val="bottom"/>
            <w:hideMark/>
          </w:tcPr>
          <w:p w14:paraId="1AF94088"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19 (61%)</w:t>
            </w:r>
          </w:p>
        </w:tc>
        <w:tc>
          <w:tcPr>
            <w:tcW w:w="916" w:type="dxa"/>
            <w:tcBorders>
              <w:top w:val="nil"/>
              <w:left w:val="nil"/>
              <w:bottom w:val="nil"/>
              <w:right w:val="nil"/>
            </w:tcBorders>
            <w:shd w:val="clear" w:color="auto" w:fill="auto"/>
            <w:noWrap/>
            <w:vAlign w:val="bottom"/>
            <w:hideMark/>
          </w:tcPr>
          <w:p w14:paraId="672D68F6"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bottom w:val="nil"/>
              <w:right w:val="nil"/>
            </w:tcBorders>
            <w:shd w:val="clear" w:color="auto" w:fill="auto"/>
            <w:noWrap/>
            <w:vAlign w:val="bottom"/>
            <w:hideMark/>
          </w:tcPr>
          <w:p w14:paraId="5420911D"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58 (50.88%)</w:t>
            </w:r>
          </w:p>
        </w:tc>
      </w:tr>
      <w:tr w:rsidR="009D09DF" w:rsidRPr="00857C3B" w14:paraId="6B9A5765" w14:textId="77777777" w:rsidTr="009D09DF">
        <w:trPr>
          <w:trHeight w:val="284"/>
        </w:trPr>
        <w:tc>
          <w:tcPr>
            <w:tcW w:w="3636" w:type="dxa"/>
            <w:tcBorders>
              <w:top w:val="nil"/>
              <w:left w:val="nil"/>
              <w:bottom w:val="nil"/>
              <w:right w:val="nil"/>
            </w:tcBorders>
            <w:shd w:val="clear" w:color="auto" w:fill="auto"/>
            <w:noWrap/>
            <w:vAlign w:val="bottom"/>
            <w:hideMark/>
          </w:tcPr>
          <w:p w14:paraId="468A6A5B"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Retired</w:t>
            </w:r>
          </w:p>
        </w:tc>
        <w:tc>
          <w:tcPr>
            <w:tcW w:w="1624" w:type="dxa"/>
            <w:tcBorders>
              <w:top w:val="nil"/>
              <w:left w:val="nil"/>
              <w:bottom w:val="nil"/>
              <w:right w:val="nil"/>
            </w:tcBorders>
            <w:shd w:val="clear" w:color="auto" w:fill="auto"/>
            <w:noWrap/>
            <w:vAlign w:val="bottom"/>
            <w:hideMark/>
          </w:tcPr>
          <w:p w14:paraId="471F0019"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15 (18%)</w:t>
            </w:r>
          </w:p>
        </w:tc>
        <w:tc>
          <w:tcPr>
            <w:tcW w:w="1312" w:type="dxa"/>
            <w:tcBorders>
              <w:top w:val="nil"/>
              <w:left w:val="nil"/>
              <w:bottom w:val="nil"/>
              <w:right w:val="nil"/>
            </w:tcBorders>
            <w:shd w:val="clear" w:color="auto" w:fill="auto"/>
            <w:noWrap/>
            <w:vAlign w:val="bottom"/>
            <w:hideMark/>
          </w:tcPr>
          <w:p w14:paraId="0B5398A0"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6 (19%)</w:t>
            </w:r>
          </w:p>
        </w:tc>
        <w:tc>
          <w:tcPr>
            <w:tcW w:w="916" w:type="dxa"/>
            <w:tcBorders>
              <w:top w:val="nil"/>
              <w:left w:val="nil"/>
              <w:bottom w:val="nil"/>
              <w:right w:val="nil"/>
            </w:tcBorders>
            <w:shd w:val="clear" w:color="auto" w:fill="auto"/>
            <w:noWrap/>
            <w:vAlign w:val="bottom"/>
            <w:hideMark/>
          </w:tcPr>
          <w:p w14:paraId="2112E7ED"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bottom w:val="nil"/>
              <w:right w:val="nil"/>
            </w:tcBorders>
            <w:shd w:val="clear" w:color="auto" w:fill="auto"/>
            <w:noWrap/>
            <w:vAlign w:val="bottom"/>
            <w:hideMark/>
          </w:tcPr>
          <w:p w14:paraId="6D58329B"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4 (3.51%)</w:t>
            </w:r>
          </w:p>
        </w:tc>
      </w:tr>
      <w:tr w:rsidR="009D09DF" w:rsidRPr="00857C3B" w14:paraId="7B9E9928" w14:textId="77777777" w:rsidTr="009D09DF">
        <w:trPr>
          <w:trHeight w:val="284"/>
        </w:trPr>
        <w:tc>
          <w:tcPr>
            <w:tcW w:w="3636" w:type="dxa"/>
            <w:tcBorders>
              <w:top w:val="nil"/>
              <w:left w:val="nil"/>
              <w:bottom w:val="nil"/>
              <w:right w:val="nil"/>
            </w:tcBorders>
            <w:shd w:val="clear" w:color="auto" w:fill="auto"/>
            <w:noWrap/>
            <w:vAlign w:val="bottom"/>
            <w:hideMark/>
          </w:tcPr>
          <w:p w14:paraId="1B17BDE5"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Unemployed</w:t>
            </w:r>
          </w:p>
        </w:tc>
        <w:tc>
          <w:tcPr>
            <w:tcW w:w="1624" w:type="dxa"/>
            <w:tcBorders>
              <w:top w:val="nil"/>
              <w:left w:val="nil"/>
              <w:bottom w:val="nil"/>
              <w:right w:val="nil"/>
            </w:tcBorders>
            <w:shd w:val="clear" w:color="auto" w:fill="auto"/>
            <w:noWrap/>
            <w:vAlign w:val="bottom"/>
            <w:hideMark/>
          </w:tcPr>
          <w:p w14:paraId="78DCCBEF"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36 (43%)</w:t>
            </w:r>
          </w:p>
        </w:tc>
        <w:tc>
          <w:tcPr>
            <w:tcW w:w="1312" w:type="dxa"/>
            <w:tcBorders>
              <w:top w:val="nil"/>
              <w:left w:val="nil"/>
              <w:bottom w:val="nil"/>
              <w:right w:val="nil"/>
            </w:tcBorders>
            <w:shd w:val="clear" w:color="auto" w:fill="auto"/>
            <w:noWrap/>
            <w:vAlign w:val="bottom"/>
            <w:hideMark/>
          </w:tcPr>
          <w:p w14:paraId="4988968C"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16 (52%)</w:t>
            </w:r>
          </w:p>
        </w:tc>
        <w:tc>
          <w:tcPr>
            <w:tcW w:w="916" w:type="dxa"/>
            <w:tcBorders>
              <w:top w:val="nil"/>
              <w:left w:val="nil"/>
              <w:bottom w:val="nil"/>
              <w:right w:val="nil"/>
            </w:tcBorders>
            <w:shd w:val="clear" w:color="auto" w:fill="auto"/>
            <w:noWrap/>
            <w:vAlign w:val="bottom"/>
            <w:hideMark/>
          </w:tcPr>
          <w:p w14:paraId="1804431E"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bottom w:val="nil"/>
              <w:right w:val="nil"/>
            </w:tcBorders>
            <w:shd w:val="clear" w:color="auto" w:fill="auto"/>
            <w:noWrap/>
            <w:vAlign w:val="bottom"/>
            <w:hideMark/>
          </w:tcPr>
          <w:p w14:paraId="768F8999"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35 (30.7%)</w:t>
            </w:r>
          </w:p>
        </w:tc>
      </w:tr>
      <w:tr w:rsidR="009D09DF" w:rsidRPr="00857C3B" w14:paraId="1F513354" w14:textId="77777777" w:rsidTr="009D09DF">
        <w:trPr>
          <w:trHeight w:val="284"/>
        </w:trPr>
        <w:tc>
          <w:tcPr>
            <w:tcW w:w="3636" w:type="dxa"/>
            <w:tcBorders>
              <w:top w:val="nil"/>
              <w:left w:val="nil"/>
              <w:bottom w:val="nil"/>
              <w:right w:val="nil"/>
            </w:tcBorders>
            <w:shd w:val="clear" w:color="auto" w:fill="auto"/>
            <w:noWrap/>
            <w:vAlign w:val="bottom"/>
            <w:hideMark/>
          </w:tcPr>
          <w:p w14:paraId="0E668700"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Missing (%)</w:t>
            </w:r>
          </w:p>
        </w:tc>
        <w:tc>
          <w:tcPr>
            <w:tcW w:w="1624" w:type="dxa"/>
            <w:tcBorders>
              <w:top w:val="nil"/>
              <w:left w:val="nil"/>
              <w:bottom w:val="nil"/>
              <w:right w:val="nil"/>
            </w:tcBorders>
            <w:shd w:val="clear" w:color="auto" w:fill="auto"/>
            <w:noWrap/>
            <w:vAlign w:val="bottom"/>
            <w:hideMark/>
          </w:tcPr>
          <w:p w14:paraId="0E55BB08"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12 (14%)</w:t>
            </w:r>
          </w:p>
        </w:tc>
        <w:tc>
          <w:tcPr>
            <w:tcW w:w="1312" w:type="dxa"/>
            <w:tcBorders>
              <w:top w:val="nil"/>
              <w:left w:val="nil"/>
              <w:bottom w:val="nil"/>
              <w:right w:val="nil"/>
            </w:tcBorders>
            <w:shd w:val="clear" w:color="auto" w:fill="auto"/>
            <w:noWrap/>
            <w:vAlign w:val="bottom"/>
            <w:hideMark/>
          </w:tcPr>
          <w:p w14:paraId="09F4E5F2"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5 (16%)</w:t>
            </w:r>
          </w:p>
        </w:tc>
        <w:tc>
          <w:tcPr>
            <w:tcW w:w="916" w:type="dxa"/>
            <w:tcBorders>
              <w:top w:val="nil"/>
              <w:left w:val="nil"/>
              <w:bottom w:val="nil"/>
              <w:right w:val="nil"/>
            </w:tcBorders>
            <w:shd w:val="clear" w:color="auto" w:fill="auto"/>
            <w:noWrap/>
            <w:vAlign w:val="bottom"/>
            <w:hideMark/>
          </w:tcPr>
          <w:p w14:paraId="132625B2" w14:textId="77777777" w:rsidR="009D09DF" w:rsidRPr="00857C3B" w:rsidRDefault="009D09DF" w:rsidP="009D09DF">
            <w:pPr>
              <w:spacing w:after="0" w:line="240" w:lineRule="auto"/>
              <w:jc w:val="right"/>
              <w:rPr>
                <w:rFonts w:eastAsia="Times New Roman" w:cs="Times New Roman"/>
                <w:color w:val="000000"/>
                <w:szCs w:val="24"/>
                <w:lang w:val="en-GB" w:eastAsia="en-GB"/>
              </w:rPr>
            </w:pPr>
            <w:r w:rsidRPr="00857C3B">
              <w:rPr>
                <w:rFonts w:eastAsia="Times New Roman" w:cs="Times New Roman"/>
                <w:color w:val="000000"/>
                <w:szCs w:val="24"/>
                <w:lang w:val="en-GB" w:eastAsia="en-GB"/>
              </w:rPr>
              <w:t>0.741</w:t>
            </w:r>
          </w:p>
        </w:tc>
        <w:tc>
          <w:tcPr>
            <w:tcW w:w="1842" w:type="dxa"/>
            <w:tcBorders>
              <w:top w:val="nil"/>
              <w:left w:val="nil"/>
              <w:bottom w:val="nil"/>
              <w:right w:val="nil"/>
            </w:tcBorders>
            <w:shd w:val="clear" w:color="auto" w:fill="auto"/>
            <w:noWrap/>
            <w:vAlign w:val="bottom"/>
            <w:hideMark/>
          </w:tcPr>
          <w:p w14:paraId="3980DAA8"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17 (14.91%)</w:t>
            </w:r>
          </w:p>
        </w:tc>
      </w:tr>
      <w:tr w:rsidR="009D09DF" w:rsidRPr="00857C3B" w14:paraId="64D23A97" w14:textId="77777777" w:rsidTr="009D09DF">
        <w:trPr>
          <w:trHeight w:val="284"/>
        </w:trPr>
        <w:tc>
          <w:tcPr>
            <w:tcW w:w="3636" w:type="dxa"/>
            <w:tcBorders>
              <w:top w:val="nil"/>
              <w:left w:val="nil"/>
              <w:bottom w:val="nil"/>
              <w:right w:val="nil"/>
            </w:tcBorders>
            <w:shd w:val="clear" w:color="auto" w:fill="auto"/>
            <w:noWrap/>
            <w:vAlign w:val="bottom"/>
            <w:hideMark/>
          </w:tcPr>
          <w:p w14:paraId="092ADE42" w14:textId="77777777" w:rsidR="009D09DF" w:rsidRPr="00857C3B" w:rsidRDefault="009D09DF" w:rsidP="009D09DF">
            <w:pPr>
              <w:spacing w:after="0" w:line="240" w:lineRule="auto"/>
              <w:rPr>
                <w:rFonts w:eastAsia="Times New Roman" w:cs="Times New Roman"/>
                <w:color w:val="000000"/>
                <w:szCs w:val="24"/>
                <w:u w:val="single"/>
                <w:lang w:val="en-GB" w:eastAsia="en-GB"/>
              </w:rPr>
            </w:pPr>
            <w:r w:rsidRPr="00857C3B">
              <w:rPr>
                <w:rFonts w:eastAsia="Times New Roman" w:cs="Times New Roman"/>
                <w:color w:val="000000"/>
                <w:szCs w:val="24"/>
                <w:u w:val="single"/>
                <w:lang w:val="en-GB" w:eastAsia="en-GB"/>
              </w:rPr>
              <w:t>BDI</w:t>
            </w:r>
          </w:p>
        </w:tc>
        <w:tc>
          <w:tcPr>
            <w:tcW w:w="1624" w:type="dxa"/>
            <w:tcBorders>
              <w:top w:val="nil"/>
              <w:left w:val="nil"/>
              <w:bottom w:val="nil"/>
              <w:right w:val="nil"/>
            </w:tcBorders>
            <w:shd w:val="clear" w:color="auto" w:fill="auto"/>
            <w:noWrap/>
            <w:vAlign w:val="bottom"/>
            <w:hideMark/>
          </w:tcPr>
          <w:p w14:paraId="4C9D3B0E"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312" w:type="dxa"/>
            <w:tcBorders>
              <w:top w:val="nil"/>
              <w:left w:val="nil"/>
              <w:bottom w:val="nil"/>
              <w:right w:val="nil"/>
            </w:tcBorders>
            <w:shd w:val="clear" w:color="auto" w:fill="auto"/>
            <w:noWrap/>
            <w:vAlign w:val="bottom"/>
            <w:hideMark/>
          </w:tcPr>
          <w:p w14:paraId="46EF60F3" w14:textId="77777777" w:rsidR="009D09DF" w:rsidRPr="00857C3B" w:rsidRDefault="009D09DF" w:rsidP="009D09DF">
            <w:pPr>
              <w:spacing w:after="0" w:line="240" w:lineRule="auto"/>
              <w:rPr>
                <w:rFonts w:eastAsia="Times New Roman" w:cs="Times New Roman"/>
                <w:szCs w:val="24"/>
                <w:lang w:val="en-GB" w:eastAsia="en-GB"/>
              </w:rPr>
            </w:pPr>
          </w:p>
        </w:tc>
        <w:tc>
          <w:tcPr>
            <w:tcW w:w="916" w:type="dxa"/>
            <w:tcBorders>
              <w:top w:val="nil"/>
              <w:left w:val="nil"/>
              <w:bottom w:val="nil"/>
              <w:right w:val="nil"/>
            </w:tcBorders>
            <w:shd w:val="clear" w:color="auto" w:fill="auto"/>
            <w:noWrap/>
            <w:vAlign w:val="bottom"/>
            <w:hideMark/>
          </w:tcPr>
          <w:p w14:paraId="68673473" w14:textId="77777777" w:rsidR="009D09DF" w:rsidRPr="00857C3B" w:rsidRDefault="009D09DF" w:rsidP="009D09DF">
            <w:pPr>
              <w:spacing w:after="0" w:line="240" w:lineRule="auto"/>
              <w:rPr>
                <w:rFonts w:eastAsia="Times New Roman" w:cs="Times New Roman"/>
                <w:szCs w:val="24"/>
                <w:lang w:val="en-GB" w:eastAsia="en-GB"/>
              </w:rPr>
            </w:pPr>
          </w:p>
        </w:tc>
        <w:tc>
          <w:tcPr>
            <w:tcW w:w="1842" w:type="dxa"/>
            <w:tcBorders>
              <w:top w:val="nil"/>
              <w:left w:val="nil"/>
              <w:bottom w:val="nil"/>
              <w:right w:val="nil"/>
            </w:tcBorders>
            <w:shd w:val="clear" w:color="auto" w:fill="auto"/>
            <w:noWrap/>
            <w:vAlign w:val="bottom"/>
            <w:hideMark/>
          </w:tcPr>
          <w:p w14:paraId="5A540860" w14:textId="77777777" w:rsidR="009D09DF" w:rsidRPr="00857C3B" w:rsidRDefault="009D09DF" w:rsidP="009D09DF">
            <w:pPr>
              <w:spacing w:after="0" w:line="240" w:lineRule="auto"/>
              <w:rPr>
                <w:rFonts w:eastAsia="Times New Roman" w:cs="Times New Roman"/>
                <w:szCs w:val="24"/>
                <w:lang w:val="en-GB" w:eastAsia="en-GB"/>
              </w:rPr>
            </w:pPr>
          </w:p>
        </w:tc>
      </w:tr>
      <w:tr w:rsidR="009D09DF" w:rsidRPr="00857C3B" w14:paraId="1037CB6D" w14:textId="77777777" w:rsidTr="009D09DF">
        <w:trPr>
          <w:trHeight w:val="284"/>
        </w:trPr>
        <w:tc>
          <w:tcPr>
            <w:tcW w:w="3636" w:type="dxa"/>
            <w:tcBorders>
              <w:top w:val="nil"/>
              <w:left w:val="nil"/>
              <w:bottom w:val="nil"/>
              <w:right w:val="nil"/>
            </w:tcBorders>
            <w:shd w:val="clear" w:color="auto" w:fill="auto"/>
            <w:noWrap/>
            <w:vAlign w:val="bottom"/>
            <w:hideMark/>
          </w:tcPr>
          <w:p w14:paraId="701EAC63"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Mean (SD)</w:t>
            </w:r>
          </w:p>
        </w:tc>
        <w:tc>
          <w:tcPr>
            <w:tcW w:w="1624" w:type="dxa"/>
            <w:tcBorders>
              <w:top w:val="nil"/>
              <w:left w:val="nil"/>
              <w:bottom w:val="nil"/>
              <w:right w:val="nil"/>
            </w:tcBorders>
            <w:shd w:val="clear" w:color="auto" w:fill="auto"/>
            <w:noWrap/>
            <w:vAlign w:val="bottom"/>
            <w:hideMark/>
          </w:tcPr>
          <w:p w14:paraId="63C843A1"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32 (8)</w:t>
            </w:r>
          </w:p>
        </w:tc>
        <w:tc>
          <w:tcPr>
            <w:tcW w:w="1312" w:type="dxa"/>
            <w:tcBorders>
              <w:top w:val="nil"/>
              <w:left w:val="nil"/>
              <w:bottom w:val="nil"/>
              <w:right w:val="nil"/>
            </w:tcBorders>
            <w:shd w:val="clear" w:color="auto" w:fill="auto"/>
            <w:noWrap/>
            <w:vAlign w:val="bottom"/>
            <w:hideMark/>
          </w:tcPr>
          <w:p w14:paraId="14D76676"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33 (7)</w:t>
            </w:r>
          </w:p>
        </w:tc>
        <w:tc>
          <w:tcPr>
            <w:tcW w:w="916" w:type="dxa"/>
            <w:tcBorders>
              <w:top w:val="nil"/>
              <w:left w:val="nil"/>
              <w:bottom w:val="nil"/>
              <w:right w:val="nil"/>
            </w:tcBorders>
            <w:shd w:val="clear" w:color="auto" w:fill="auto"/>
            <w:noWrap/>
            <w:vAlign w:val="bottom"/>
            <w:hideMark/>
          </w:tcPr>
          <w:p w14:paraId="268270B8"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bottom w:val="nil"/>
              <w:right w:val="nil"/>
            </w:tcBorders>
            <w:shd w:val="clear" w:color="auto" w:fill="auto"/>
            <w:noWrap/>
            <w:vAlign w:val="bottom"/>
            <w:hideMark/>
          </w:tcPr>
          <w:p w14:paraId="752B10FE"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32.38 (7.82)</w:t>
            </w:r>
          </w:p>
        </w:tc>
      </w:tr>
      <w:tr w:rsidR="009D09DF" w:rsidRPr="00857C3B" w14:paraId="7612AE91" w14:textId="77777777" w:rsidTr="009D09DF">
        <w:trPr>
          <w:trHeight w:val="284"/>
        </w:trPr>
        <w:tc>
          <w:tcPr>
            <w:tcW w:w="3636" w:type="dxa"/>
            <w:tcBorders>
              <w:top w:val="nil"/>
              <w:left w:val="nil"/>
              <w:bottom w:val="nil"/>
              <w:right w:val="nil"/>
            </w:tcBorders>
            <w:shd w:val="clear" w:color="auto" w:fill="auto"/>
            <w:noWrap/>
            <w:vAlign w:val="bottom"/>
            <w:hideMark/>
          </w:tcPr>
          <w:p w14:paraId="4783BE7C"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Median (IQR)</w:t>
            </w:r>
          </w:p>
        </w:tc>
        <w:tc>
          <w:tcPr>
            <w:tcW w:w="1624" w:type="dxa"/>
            <w:tcBorders>
              <w:top w:val="nil"/>
              <w:left w:val="nil"/>
              <w:bottom w:val="nil"/>
              <w:right w:val="nil"/>
            </w:tcBorders>
            <w:shd w:val="clear" w:color="auto" w:fill="auto"/>
            <w:noWrap/>
            <w:vAlign w:val="bottom"/>
            <w:hideMark/>
          </w:tcPr>
          <w:p w14:paraId="242F6321"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32 (27-38)</w:t>
            </w:r>
          </w:p>
        </w:tc>
        <w:tc>
          <w:tcPr>
            <w:tcW w:w="1312" w:type="dxa"/>
            <w:tcBorders>
              <w:top w:val="nil"/>
              <w:left w:val="nil"/>
              <w:bottom w:val="nil"/>
              <w:right w:val="nil"/>
            </w:tcBorders>
            <w:shd w:val="clear" w:color="auto" w:fill="auto"/>
            <w:noWrap/>
            <w:vAlign w:val="bottom"/>
            <w:hideMark/>
          </w:tcPr>
          <w:p w14:paraId="48FAB8C9"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33 (27-38)</w:t>
            </w:r>
          </w:p>
        </w:tc>
        <w:tc>
          <w:tcPr>
            <w:tcW w:w="916" w:type="dxa"/>
            <w:tcBorders>
              <w:top w:val="nil"/>
              <w:left w:val="nil"/>
              <w:bottom w:val="nil"/>
              <w:right w:val="nil"/>
            </w:tcBorders>
            <w:shd w:val="clear" w:color="auto" w:fill="auto"/>
            <w:noWrap/>
            <w:vAlign w:val="bottom"/>
            <w:hideMark/>
          </w:tcPr>
          <w:p w14:paraId="558FE204"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bottom w:val="nil"/>
              <w:right w:val="nil"/>
            </w:tcBorders>
            <w:shd w:val="clear" w:color="auto" w:fill="auto"/>
            <w:noWrap/>
            <w:vAlign w:val="bottom"/>
            <w:hideMark/>
          </w:tcPr>
          <w:p w14:paraId="0BDE9BFB"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32 (27-38)</w:t>
            </w:r>
          </w:p>
        </w:tc>
      </w:tr>
      <w:tr w:rsidR="009D09DF" w:rsidRPr="00857C3B" w14:paraId="27ED25DB" w14:textId="77777777" w:rsidTr="009D09DF">
        <w:trPr>
          <w:trHeight w:val="284"/>
        </w:trPr>
        <w:tc>
          <w:tcPr>
            <w:tcW w:w="3636" w:type="dxa"/>
            <w:tcBorders>
              <w:top w:val="nil"/>
              <w:left w:val="nil"/>
              <w:bottom w:val="nil"/>
              <w:right w:val="nil"/>
            </w:tcBorders>
            <w:shd w:val="clear" w:color="auto" w:fill="auto"/>
            <w:noWrap/>
            <w:vAlign w:val="bottom"/>
            <w:hideMark/>
          </w:tcPr>
          <w:p w14:paraId="45BFEE55"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Missing (%)</w:t>
            </w:r>
          </w:p>
        </w:tc>
        <w:tc>
          <w:tcPr>
            <w:tcW w:w="1624" w:type="dxa"/>
            <w:tcBorders>
              <w:top w:val="nil"/>
              <w:left w:val="nil"/>
              <w:bottom w:val="nil"/>
              <w:right w:val="nil"/>
            </w:tcBorders>
            <w:shd w:val="clear" w:color="auto" w:fill="auto"/>
            <w:noWrap/>
            <w:vAlign w:val="bottom"/>
            <w:hideMark/>
          </w:tcPr>
          <w:p w14:paraId="6F26FDE1"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0 (0%)</w:t>
            </w:r>
          </w:p>
        </w:tc>
        <w:tc>
          <w:tcPr>
            <w:tcW w:w="1312" w:type="dxa"/>
            <w:tcBorders>
              <w:top w:val="nil"/>
              <w:left w:val="nil"/>
              <w:bottom w:val="nil"/>
              <w:right w:val="nil"/>
            </w:tcBorders>
            <w:shd w:val="clear" w:color="auto" w:fill="auto"/>
            <w:noWrap/>
            <w:vAlign w:val="bottom"/>
            <w:hideMark/>
          </w:tcPr>
          <w:p w14:paraId="45E69A1F"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0 (0%)</w:t>
            </w:r>
          </w:p>
        </w:tc>
        <w:tc>
          <w:tcPr>
            <w:tcW w:w="916" w:type="dxa"/>
            <w:tcBorders>
              <w:top w:val="nil"/>
              <w:left w:val="nil"/>
              <w:bottom w:val="nil"/>
              <w:right w:val="nil"/>
            </w:tcBorders>
            <w:shd w:val="clear" w:color="auto" w:fill="auto"/>
            <w:noWrap/>
            <w:vAlign w:val="bottom"/>
            <w:hideMark/>
          </w:tcPr>
          <w:p w14:paraId="3AB37AFE" w14:textId="77777777" w:rsidR="009D09DF" w:rsidRPr="00857C3B" w:rsidRDefault="009D09DF" w:rsidP="009D09DF">
            <w:pPr>
              <w:spacing w:after="0" w:line="240" w:lineRule="auto"/>
              <w:jc w:val="right"/>
              <w:rPr>
                <w:rFonts w:eastAsia="Times New Roman" w:cs="Times New Roman"/>
                <w:color w:val="000000"/>
                <w:szCs w:val="24"/>
                <w:lang w:val="en-GB" w:eastAsia="en-GB"/>
              </w:rPr>
            </w:pPr>
            <w:r w:rsidRPr="00857C3B">
              <w:rPr>
                <w:rFonts w:eastAsia="Times New Roman" w:cs="Times New Roman"/>
                <w:color w:val="000000"/>
                <w:szCs w:val="24"/>
                <w:lang w:val="en-GB" w:eastAsia="en-GB"/>
              </w:rPr>
              <w:t>0.866</w:t>
            </w:r>
          </w:p>
        </w:tc>
        <w:tc>
          <w:tcPr>
            <w:tcW w:w="1842" w:type="dxa"/>
            <w:tcBorders>
              <w:top w:val="nil"/>
              <w:left w:val="nil"/>
              <w:bottom w:val="nil"/>
              <w:right w:val="nil"/>
            </w:tcBorders>
            <w:shd w:val="clear" w:color="auto" w:fill="auto"/>
            <w:noWrap/>
            <w:vAlign w:val="bottom"/>
            <w:hideMark/>
          </w:tcPr>
          <w:p w14:paraId="1282330D"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0 (0%)</w:t>
            </w:r>
          </w:p>
        </w:tc>
      </w:tr>
      <w:tr w:rsidR="009D09DF" w:rsidRPr="00857C3B" w14:paraId="48435317" w14:textId="77777777" w:rsidTr="009D09DF">
        <w:trPr>
          <w:trHeight w:val="284"/>
        </w:trPr>
        <w:tc>
          <w:tcPr>
            <w:tcW w:w="3636" w:type="dxa"/>
            <w:tcBorders>
              <w:top w:val="nil"/>
              <w:left w:val="nil"/>
              <w:bottom w:val="nil"/>
              <w:right w:val="nil"/>
            </w:tcBorders>
            <w:shd w:val="clear" w:color="auto" w:fill="auto"/>
            <w:noWrap/>
            <w:vAlign w:val="bottom"/>
            <w:hideMark/>
          </w:tcPr>
          <w:p w14:paraId="4FD21BDF" w14:textId="77777777" w:rsidR="009D09DF" w:rsidRPr="00857C3B" w:rsidRDefault="009D09DF" w:rsidP="009D09DF">
            <w:pPr>
              <w:spacing w:after="0" w:line="240" w:lineRule="auto"/>
              <w:rPr>
                <w:rFonts w:eastAsia="Times New Roman" w:cs="Times New Roman"/>
                <w:color w:val="000000"/>
                <w:szCs w:val="24"/>
                <w:u w:val="single"/>
                <w:lang w:val="en-GB" w:eastAsia="en-GB"/>
              </w:rPr>
            </w:pPr>
            <w:r w:rsidRPr="00857C3B">
              <w:rPr>
                <w:rFonts w:eastAsia="Times New Roman" w:cs="Times New Roman"/>
                <w:color w:val="000000"/>
                <w:szCs w:val="24"/>
                <w:u w:val="single"/>
                <w:lang w:val="en-GB" w:eastAsia="en-GB"/>
              </w:rPr>
              <w:lastRenderedPageBreak/>
              <w:t>MADRS</w:t>
            </w:r>
          </w:p>
        </w:tc>
        <w:tc>
          <w:tcPr>
            <w:tcW w:w="1624" w:type="dxa"/>
            <w:tcBorders>
              <w:top w:val="nil"/>
              <w:left w:val="nil"/>
              <w:bottom w:val="nil"/>
              <w:right w:val="nil"/>
            </w:tcBorders>
            <w:shd w:val="clear" w:color="auto" w:fill="auto"/>
            <w:noWrap/>
            <w:vAlign w:val="bottom"/>
            <w:hideMark/>
          </w:tcPr>
          <w:p w14:paraId="4A8427A2"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312" w:type="dxa"/>
            <w:tcBorders>
              <w:top w:val="nil"/>
              <w:left w:val="nil"/>
              <w:bottom w:val="nil"/>
              <w:right w:val="nil"/>
            </w:tcBorders>
            <w:shd w:val="clear" w:color="auto" w:fill="auto"/>
            <w:noWrap/>
            <w:vAlign w:val="bottom"/>
            <w:hideMark/>
          </w:tcPr>
          <w:p w14:paraId="4AF141BA" w14:textId="77777777" w:rsidR="009D09DF" w:rsidRPr="00857C3B" w:rsidRDefault="009D09DF" w:rsidP="009D09DF">
            <w:pPr>
              <w:spacing w:after="0" w:line="240" w:lineRule="auto"/>
              <w:rPr>
                <w:rFonts w:eastAsia="Times New Roman" w:cs="Times New Roman"/>
                <w:szCs w:val="24"/>
                <w:lang w:val="en-GB" w:eastAsia="en-GB"/>
              </w:rPr>
            </w:pPr>
          </w:p>
        </w:tc>
        <w:tc>
          <w:tcPr>
            <w:tcW w:w="916" w:type="dxa"/>
            <w:tcBorders>
              <w:top w:val="nil"/>
              <w:left w:val="nil"/>
              <w:bottom w:val="nil"/>
              <w:right w:val="nil"/>
            </w:tcBorders>
            <w:shd w:val="clear" w:color="auto" w:fill="auto"/>
            <w:noWrap/>
            <w:vAlign w:val="bottom"/>
            <w:hideMark/>
          </w:tcPr>
          <w:p w14:paraId="2473482D" w14:textId="77777777" w:rsidR="009D09DF" w:rsidRPr="00857C3B" w:rsidRDefault="009D09DF" w:rsidP="009D09DF">
            <w:pPr>
              <w:spacing w:after="0" w:line="240" w:lineRule="auto"/>
              <w:rPr>
                <w:rFonts w:eastAsia="Times New Roman" w:cs="Times New Roman"/>
                <w:szCs w:val="24"/>
                <w:lang w:val="en-GB" w:eastAsia="en-GB"/>
              </w:rPr>
            </w:pPr>
          </w:p>
        </w:tc>
        <w:tc>
          <w:tcPr>
            <w:tcW w:w="1842" w:type="dxa"/>
            <w:tcBorders>
              <w:top w:val="nil"/>
              <w:left w:val="nil"/>
              <w:bottom w:val="nil"/>
              <w:right w:val="nil"/>
            </w:tcBorders>
            <w:shd w:val="clear" w:color="auto" w:fill="auto"/>
            <w:noWrap/>
            <w:vAlign w:val="bottom"/>
            <w:hideMark/>
          </w:tcPr>
          <w:p w14:paraId="75A4A463" w14:textId="77777777" w:rsidR="009D09DF" w:rsidRPr="00857C3B" w:rsidRDefault="009D09DF" w:rsidP="009D09DF">
            <w:pPr>
              <w:spacing w:after="0" w:line="240" w:lineRule="auto"/>
              <w:rPr>
                <w:rFonts w:eastAsia="Times New Roman" w:cs="Times New Roman"/>
                <w:szCs w:val="24"/>
                <w:lang w:val="en-GB" w:eastAsia="en-GB"/>
              </w:rPr>
            </w:pPr>
          </w:p>
        </w:tc>
      </w:tr>
      <w:tr w:rsidR="009D09DF" w:rsidRPr="00857C3B" w14:paraId="207169C8" w14:textId="77777777" w:rsidTr="009D09DF">
        <w:trPr>
          <w:trHeight w:val="284"/>
        </w:trPr>
        <w:tc>
          <w:tcPr>
            <w:tcW w:w="3636" w:type="dxa"/>
            <w:tcBorders>
              <w:top w:val="nil"/>
              <w:left w:val="nil"/>
              <w:bottom w:val="nil"/>
              <w:right w:val="nil"/>
            </w:tcBorders>
            <w:shd w:val="clear" w:color="auto" w:fill="auto"/>
            <w:noWrap/>
            <w:vAlign w:val="bottom"/>
            <w:hideMark/>
          </w:tcPr>
          <w:p w14:paraId="59D76D33"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Mean (SD)</w:t>
            </w:r>
          </w:p>
        </w:tc>
        <w:tc>
          <w:tcPr>
            <w:tcW w:w="1624" w:type="dxa"/>
            <w:tcBorders>
              <w:top w:val="nil"/>
              <w:left w:val="nil"/>
              <w:bottom w:val="nil"/>
              <w:right w:val="nil"/>
            </w:tcBorders>
            <w:shd w:val="clear" w:color="auto" w:fill="auto"/>
            <w:noWrap/>
            <w:vAlign w:val="bottom"/>
            <w:hideMark/>
          </w:tcPr>
          <w:p w14:paraId="3885212F"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27 (5)</w:t>
            </w:r>
          </w:p>
        </w:tc>
        <w:tc>
          <w:tcPr>
            <w:tcW w:w="1312" w:type="dxa"/>
            <w:tcBorders>
              <w:top w:val="nil"/>
              <w:left w:val="nil"/>
              <w:bottom w:val="nil"/>
              <w:right w:val="nil"/>
            </w:tcBorders>
            <w:shd w:val="clear" w:color="auto" w:fill="auto"/>
            <w:noWrap/>
            <w:vAlign w:val="bottom"/>
            <w:hideMark/>
          </w:tcPr>
          <w:p w14:paraId="6656D1E0"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24 (6)</w:t>
            </w:r>
          </w:p>
        </w:tc>
        <w:tc>
          <w:tcPr>
            <w:tcW w:w="916" w:type="dxa"/>
            <w:tcBorders>
              <w:top w:val="nil"/>
              <w:left w:val="nil"/>
              <w:bottom w:val="nil"/>
              <w:right w:val="nil"/>
            </w:tcBorders>
            <w:shd w:val="clear" w:color="auto" w:fill="auto"/>
            <w:noWrap/>
            <w:vAlign w:val="bottom"/>
            <w:hideMark/>
          </w:tcPr>
          <w:p w14:paraId="2BBE7B5B"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bottom w:val="nil"/>
              <w:right w:val="nil"/>
            </w:tcBorders>
            <w:shd w:val="clear" w:color="auto" w:fill="auto"/>
            <w:noWrap/>
            <w:vAlign w:val="bottom"/>
            <w:hideMark/>
          </w:tcPr>
          <w:p w14:paraId="458F2B00"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26.21 (5.44)</w:t>
            </w:r>
          </w:p>
        </w:tc>
      </w:tr>
      <w:tr w:rsidR="009D09DF" w:rsidRPr="00857C3B" w14:paraId="017EA633" w14:textId="77777777" w:rsidTr="009D09DF">
        <w:trPr>
          <w:trHeight w:val="284"/>
        </w:trPr>
        <w:tc>
          <w:tcPr>
            <w:tcW w:w="3636" w:type="dxa"/>
            <w:tcBorders>
              <w:top w:val="nil"/>
              <w:left w:val="nil"/>
              <w:bottom w:val="nil"/>
              <w:right w:val="nil"/>
            </w:tcBorders>
            <w:shd w:val="clear" w:color="auto" w:fill="auto"/>
            <w:noWrap/>
            <w:vAlign w:val="bottom"/>
            <w:hideMark/>
          </w:tcPr>
          <w:p w14:paraId="39F3DBC6"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Median (IQR)</w:t>
            </w:r>
          </w:p>
        </w:tc>
        <w:tc>
          <w:tcPr>
            <w:tcW w:w="1624" w:type="dxa"/>
            <w:tcBorders>
              <w:top w:val="nil"/>
              <w:left w:val="nil"/>
              <w:bottom w:val="nil"/>
              <w:right w:val="nil"/>
            </w:tcBorders>
            <w:shd w:val="clear" w:color="auto" w:fill="auto"/>
            <w:noWrap/>
            <w:vAlign w:val="bottom"/>
            <w:hideMark/>
          </w:tcPr>
          <w:p w14:paraId="5B4304A8"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27 (23-30)</w:t>
            </w:r>
          </w:p>
        </w:tc>
        <w:tc>
          <w:tcPr>
            <w:tcW w:w="1312" w:type="dxa"/>
            <w:tcBorders>
              <w:top w:val="nil"/>
              <w:left w:val="nil"/>
              <w:bottom w:val="nil"/>
              <w:right w:val="nil"/>
            </w:tcBorders>
            <w:shd w:val="clear" w:color="auto" w:fill="auto"/>
            <w:noWrap/>
            <w:vAlign w:val="bottom"/>
            <w:hideMark/>
          </w:tcPr>
          <w:p w14:paraId="3516970B"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24 (22-25)</w:t>
            </w:r>
          </w:p>
        </w:tc>
        <w:tc>
          <w:tcPr>
            <w:tcW w:w="916" w:type="dxa"/>
            <w:tcBorders>
              <w:top w:val="nil"/>
              <w:left w:val="nil"/>
              <w:bottom w:val="nil"/>
              <w:right w:val="nil"/>
            </w:tcBorders>
            <w:shd w:val="clear" w:color="auto" w:fill="auto"/>
            <w:noWrap/>
            <w:vAlign w:val="bottom"/>
            <w:hideMark/>
          </w:tcPr>
          <w:p w14:paraId="3EAD5E0F"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bottom w:val="nil"/>
              <w:right w:val="nil"/>
            </w:tcBorders>
            <w:shd w:val="clear" w:color="auto" w:fill="auto"/>
            <w:noWrap/>
            <w:vAlign w:val="bottom"/>
            <w:hideMark/>
          </w:tcPr>
          <w:p w14:paraId="1BFE2FDB"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26 (22.5-30)</w:t>
            </w:r>
          </w:p>
        </w:tc>
      </w:tr>
      <w:tr w:rsidR="009D09DF" w:rsidRPr="00857C3B" w14:paraId="1DE7974E" w14:textId="77777777" w:rsidTr="009D09DF">
        <w:trPr>
          <w:trHeight w:val="284"/>
        </w:trPr>
        <w:tc>
          <w:tcPr>
            <w:tcW w:w="3636" w:type="dxa"/>
            <w:tcBorders>
              <w:top w:val="nil"/>
              <w:left w:val="nil"/>
              <w:bottom w:val="nil"/>
              <w:right w:val="nil"/>
            </w:tcBorders>
            <w:shd w:val="clear" w:color="auto" w:fill="auto"/>
            <w:noWrap/>
            <w:vAlign w:val="bottom"/>
            <w:hideMark/>
          </w:tcPr>
          <w:p w14:paraId="72BAAA7F"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Missing (%)</w:t>
            </w:r>
          </w:p>
        </w:tc>
        <w:tc>
          <w:tcPr>
            <w:tcW w:w="1624" w:type="dxa"/>
            <w:tcBorders>
              <w:top w:val="nil"/>
              <w:left w:val="nil"/>
              <w:bottom w:val="nil"/>
              <w:right w:val="nil"/>
            </w:tcBorders>
            <w:shd w:val="clear" w:color="auto" w:fill="auto"/>
            <w:noWrap/>
            <w:vAlign w:val="bottom"/>
            <w:hideMark/>
          </w:tcPr>
          <w:p w14:paraId="7E2BBE46"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0 (0%)</w:t>
            </w:r>
          </w:p>
        </w:tc>
        <w:tc>
          <w:tcPr>
            <w:tcW w:w="1312" w:type="dxa"/>
            <w:tcBorders>
              <w:top w:val="nil"/>
              <w:left w:val="nil"/>
              <w:bottom w:val="nil"/>
              <w:right w:val="nil"/>
            </w:tcBorders>
            <w:shd w:val="clear" w:color="auto" w:fill="auto"/>
            <w:noWrap/>
            <w:vAlign w:val="bottom"/>
            <w:hideMark/>
          </w:tcPr>
          <w:p w14:paraId="6F2F7DA3"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3 (10%)</w:t>
            </w:r>
          </w:p>
        </w:tc>
        <w:tc>
          <w:tcPr>
            <w:tcW w:w="916" w:type="dxa"/>
            <w:tcBorders>
              <w:top w:val="nil"/>
              <w:left w:val="nil"/>
              <w:bottom w:val="nil"/>
              <w:right w:val="nil"/>
            </w:tcBorders>
            <w:shd w:val="clear" w:color="auto" w:fill="auto"/>
            <w:noWrap/>
            <w:vAlign w:val="bottom"/>
            <w:hideMark/>
          </w:tcPr>
          <w:p w14:paraId="0BF3B9F3" w14:textId="77777777" w:rsidR="009D09DF" w:rsidRPr="00857C3B" w:rsidRDefault="009D09DF" w:rsidP="009D09DF">
            <w:pPr>
              <w:spacing w:after="0" w:line="240" w:lineRule="auto"/>
              <w:jc w:val="right"/>
              <w:rPr>
                <w:rFonts w:eastAsia="Times New Roman" w:cs="Times New Roman"/>
                <w:color w:val="000000"/>
                <w:szCs w:val="24"/>
                <w:lang w:val="en-GB" w:eastAsia="en-GB"/>
              </w:rPr>
            </w:pPr>
            <w:r w:rsidRPr="00857C3B">
              <w:rPr>
                <w:rFonts w:eastAsia="Times New Roman" w:cs="Times New Roman"/>
                <w:color w:val="000000"/>
                <w:szCs w:val="24"/>
                <w:lang w:val="en-GB" w:eastAsia="en-GB"/>
              </w:rPr>
              <w:t>0.045</w:t>
            </w:r>
          </w:p>
        </w:tc>
        <w:tc>
          <w:tcPr>
            <w:tcW w:w="1842" w:type="dxa"/>
            <w:tcBorders>
              <w:top w:val="nil"/>
              <w:left w:val="nil"/>
              <w:bottom w:val="nil"/>
              <w:right w:val="nil"/>
            </w:tcBorders>
            <w:shd w:val="clear" w:color="auto" w:fill="auto"/>
            <w:noWrap/>
            <w:vAlign w:val="bottom"/>
            <w:hideMark/>
          </w:tcPr>
          <w:p w14:paraId="203149C4"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3 (2.63%)</w:t>
            </w:r>
          </w:p>
        </w:tc>
      </w:tr>
      <w:tr w:rsidR="009D09DF" w:rsidRPr="00857C3B" w14:paraId="50B23735" w14:textId="77777777" w:rsidTr="009D09DF">
        <w:trPr>
          <w:trHeight w:val="284"/>
        </w:trPr>
        <w:tc>
          <w:tcPr>
            <w:tcW w:w="3636" w:type="dxa"/>
            <w:tcBorders>
              <w:top w:val="nil"/>
              <w:left w:val="nil"/>
              <w:bottom w:val="nil"/>
              <w:right w:val="nil"/>
            </w:tcBorders>
            <w:shd w:val="clear" w:color="auto" w:fill="auto"/>
            <w:noWrap/>
            <w:vAlign w:val="bottom"/>
            <w:hideMark/>
          </w:tcPr>
          <w:p w14:paraId="58A46087" w14:textId="77777777" w:rsidR="009D09DF" w:rsidRPr="00857C3B" w:rsidRDefault="009D09DF" w:rsidP="009D09DF">
            <w:pPr>
              <w:spacing w:after="0" w:line="240" w:lineRule="auto"/>
              <w:rPr>
                <w:rFonts w:eastAsia="Times New Roman" w:cs="Times New Roman"/>
                <w:color w:val="000000"/>
                <w:szCs w:val="24"/>
                <w:u w:val="single"/>
                <w:lang w:val="en-GB" w:eastAsia="en-GB"/>
              </w:rPr>
            </w:pPr>
            <w:r w:rsidRPr="00857C3B">
              <w:rPr>
                <w:rFonts w:eastAsia="Times New Roman" w:cs="Times New Roman"/>
                <w:color w:val="000000"/>
                <w:szCs w:val="24"/>
                <w:u w:val="single"/>
                <w:lang w:val="en-GB" w:eastAsia="en-GB"/>
              </w:rPr>
              <w:t>BSI: Depression</w:t>
            </w:r>
          </w:p>
        </w:tc>
        <w:tc>
          <w:tcPr>
            <w:tcW w:w="1624" w:type="dxa"/>
            <w:tcBorders>
              <w:top w:val="nil"/>
              <w:left w:val="nil"/>
              <w:bottom w:val="nil"/>
              <w:right w:val="nil"/>
            </w:tcBorders>
            <w:shd w:val="clear" w:color="auto" w:fill="auto"/>
            <w:noWrap/>
            <w:vAlign w:val="bottom"/>
            <w:hideMark/>
          </w:tcPr>
          <w:p w14:paraId="3518090A"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312" w:type="dxa"/>
            <w:tcBorders>
              <w:top w:val="nil"/>
              <w:left w:val="nil"/>
              <w:bottom w:val="nil"/>
              <w:right w:val="nil"/>
            </w:tcBorders>
            <w:shd w:val="clear" w:color="auto" w:fill="auto"/>
            <w:noWrap/>
            <w:vAlign w:val="bottom"/>
            <w:hideMark/>
          </w:tcPr>
          <w:p w14:paraId="761F90FB" w14:textId="77777777" w:rsidR="009D09DF" w:rsidRPr="00857C3B" w:rsidRDefault="009D09DF" w:rsidP="009D09DF">
            <w:pPr>
              <w:spacing w:after="0" w:line="240" w:lineRule="auto"/>
              <w:rPr>
                <w:rFonts w:eastAsia="Times New Roman" w:cs="Times New Roman"/>
                <w:szCs w:val="24"/>
                <w:lang w:val="en-GB" w:eastAsia="en-GB"/>
              </w:rPr>
            </w:pPr>
          </w:p>
        </w:tc>
        <w:tc>
          <w:tcPr>
            <w:tcW w:w="916" w:type="dxa"/>
            <w:tcBorders>
              <w:top w:val="nil"/>
              <w:left w:val="nil"/>
              <w:bottom w:val="nil"/>
              <w:right w:val="nil"/>
            </w:tcBorders>
            <w:shd w:val="clear" w:color="auto" w:fill="auto"/>
            <w:noWrap/>
            <w:vAlign w:val="bottom"/>
            <w:hideMark/>
          </w:tcPr>
          <w:p w14:paraId="3409F0E9" w14:textId="77777777" w:rsidR="009D09DF" w:rsidRPr="00857C3B" w:rsidRDefault="009D09DF" w:rsidP="009D09DF">
            <w:pPr>
              <w:spacing w:after="0" w:line="240" w:lineRule="auto"/>
              <w:rPr>
                <w:rFonts w:eastAsia="Times New Roman" w:cs="Times New Roman"/>
                <w:szCs w:val="24"/>
                <w:lang w:val="en-GB" w:eastAsia="en-GB"/>
              </w:rPr>
            </w:pPr>
          </w:p>
        </w:tc>
        <w:tc>
          <w:tcPr>
            <w:tcW w:w="1842" w:type="dxa"/>
            <w:tcBorders>
              <w:top w:val="nil"/>
              <w:left w:val="nil"/>
              <w:bottom w:val="nil"/>
              <w:right w:val="nil"/>
            </w:tcBorders>
            <w:shd w:val="clear" w:color="auto" w:fill="auto"/>
            <w:noWrap/>
            <w:vAlign w:val="bottom"/>
            <w:hideMark/>
          </w:tcPr>
          <w:p w14:paraId="7C6BDAB4" w14:textId="77777777" w:rsidR="009D09DF" w:rsidRPr="00857C3B" w:rsidRDefault="009D09DF" w:rsidP="009D09DF">
            <w:pPr>
              <w:spacing w:after="0" w:line="240" w:lineRule="auto"/>
              <w:rPr>
                <w:rFonts w:eastAsia="Times New Roman" w:cs="Times New Roman"/>
                <w:szCs w:val="24"/>
                <w:lang w:val="en-GB" w:eastAsia="en-GB"/>
              </w:rPr>
            </w:pPr>
          </w:p>
        </w:tc>
      </w:tr>
      <w:tr w:rsidR="009D09DF" w:rsidRPr="00857C3B" w14:paraId="1B4011BC" w14:textId="77777777" w:rsidTr="009D09DF">
        <w:trPr>
          <w:trHeight w:val="284"/>
        </w:trPr>
        <w:tc>
          <w:tcPr>
            <w:tcW w:w="3636" w:type="dxa"/>
            <w:tcBorders>
              <w:top w:val="nil"/>
              <w:left w:val="nil"/>
              <w:bottom w:val="nil"/>
              <w:right w:val="nil"/>
            </w:tcBorders>
            <w:shd w:val="clear" w:color="auto" w:fill="auto"/>
            <w:noWrap/>
            <w:vAlign w:val="bottom"/>
            <w:hideMark/>
          </w:tcPr>
          <w:p w14:paraId="5FFCC3FE"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Mean (SD)</w:t>
            </w:r>
          </w:p>
        </w:tc>
        <w:tc>
          <w:tcPr>
            <w:tcW w:w="1624" w:type="dxa"/>
            <w:tcBorders>
              <w:top w:val="nil"/>
              <w:left w:val="nil"/>
              <w:bottom w:val="nil"/>
              <w:right w:val="nil"/>
            </w:tcBorders>
            <w:shd w:val="clear" w:color="auto" w:fill="auto"/>
            <w:noWrap/>
            <w:vAlign w:val="bottom"/>
            <w:hideMark/>
          </w:tcPr>
          <w:p w14:paraId="7EF7DC02"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3 (1)</w:t>
            </w:r>
          </w:p>
        </w:tc>
        <w:tc>
          <w:tcPr>
            <w:tcW w:w="1312" w:type="dxa"/>
            <w:tcBorders>
              <w:top w:val="nil"/>
              <w:left w:val="nil"/>
              <w:bottom w:val="nil"/>
              <w:right w:val="nil"/>
            </w:tcBorders>
            <w:shd w:val="clear" w:color="auto" w:fill="auto"/>
            <w:noWrap/>
            <w:vAlign w:val="bottom"/>
            <w:hideMark/>
          </w:tcPr>
          <w:p w14:paraId="05C038C8"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3 (1)</w:t>
            </w:r>
          </w:p>
        </w:tc>
        <w:tc>
          <w:tcPr>
            <w:tcW w:w="916" w:type="dxa"/>
            <w:tcBorders>
              <w:top w:val="nil"/>
              <w:left w:val="nil"/>
              <w:bottom w:val="nil"/>
              <w:right w:val="nil"/>
            </w:tcBorders>
            <w:shd w:val="clear" w:color="auto" w:fill="auto"/>
            <w:noWrap/>
            <w:vAlign w:val="bottom"/>
            <w:hideMark/>
          </w:tcPr>
          <w:p w14:paraId="3A4F1478"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bottom w:val="nil"/>
              <w:right w:val="nil"/>
            </w:tcBorders>
            <w:shd w:val="clear" w:color="auto" w:fill="auto"/>
            <w:noWrap/>
            <w:vAlign w:val="bottom"/>
            <w:hideMark/>
          </w:tcPr>
          <w:p w14:paraId="06D101D6"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2.76 (0.88)</w:t>
            </w:r>
          </w:p>
        </w:tc>
      </w:tr>
      <w:tr w:rsidR="009D09DF" w:rsidRPr="00857C3B" w14:paraId="12299D9C" w14:textId="77777777" w:rsidTr="009D09DF">
        <w:trPr>
          <w:trHeight w:val="284"/>
        </w:trPr>
        <w:tc>
          <w:tcPr>
            <w:tcW w:w="3636" w:type="dxa"/>
            <w:tcBorders>
              <w:top w:val="nil"/>
              <w:left w:val="nil"/>
              <w:bottom w:val="nil"/>
              <w:right w:val="nil"/>
            </w:tcBorders>
            <w:shd w:val="clear" w:color="auto" w:fill="auto"/>
            <w:noWrap/>
            <w:vAlign w:val="bottom"/>
            <w:hideMark/>
          </w:tcPr>
          <w:p w14:paraId="03F52C79"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Median (IQR)</w:t>
            </w:r>
          </w:p>
        </w:tc>
        <w:tc>
          <w:tcPr>
            <w:tcW w:w="1624" w:type="dxa"/>
            <w:tcBorders>
              <w:top w:val="nil"/>
              <w:left w:val="nil"/>
              <w:bottom w:val="nil"/>
              <w:right w:val="nil"/>
            </w:tcBorders>
            <w:shd w:val="clear" w:color="auto" w:fill="auto"/>
            <w:noWrap/>
            <w:vAlign w:val="bottom"/>
            <w:hideMark/>
          </w:tcPr>
          <w:p w14:paraId="6FB7C2E5"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3 (2-3)</w:t>
            </w:r>
          </w:p>
        </w:tc>
        <w:tc>
          <w:tcPr>
            <w:tcW w:w="1312" w:type="dxa"/>
            <w:tcBorders>
              <w:top w:val="nil"/>
              <w:left w:val="nil"/>
              <w:bottom w:val="nil"/>
              <w:right w:val="nil"/>
            </w:tcBorders>
            <w:shd w:val="clear" w:color="auto" w:fill="auto"/>
            <w:noWrap/>
            <w:vAlign w:val="bottom"/>
            <w:hideMark/>
          </w:tcPr>
          <w:p w14:paraId="77BCBA15"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3 (2-3)</w:t>
            </w:r>
          </w:p>
        </w:tc>
        <w:tc>
          <w:tcPr>
            <w:tcW w:w="916" w:type="dxa"/>
            <w:tcBorders>
              <w:top w:val="nil"/>
              <w:left w:val="nil"/>
              <w:bottom w:val="nil"/>
              <w:right w:val="nil"/>
            </w:tcBorders>
            <w:shd w:val="clear" w:color="auto" w:fill="auto"/>
            <w:noWrap/>
            <w:vAlign w:val="bottom"/>
            <w:hideMark/>
          </w:tcPr>
          <w:p w14:paraId="1E3BB13D"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bottom w:val="nil"/>
              <w:right w:val="nil"/>
            </w:tcBorders>
            <w:shd w:val="clear" w:color="auto" w:fill="auto"/>
            <w:noWrap/>
            <w:vAlign w:val="bottom"/>
            <w:hideMark/>
          </w:tcPr>
          <w:p w14:paraId="730B4381"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2.83 (2.04-3.33)</w:t>
            </w:r>
          </w:p>
        </w:tc>
      </w:tr>
      <w:tr w:rsidR="009D09DF" w:rsidRPr="00857C3B" w14:paraId="72F5B7CC" w14:textId="77777777" w:rsidTr="009D09DF">
        <w:trPr>
          <w:trHeight w:val="284"/>
        </w:trPr>
        <w:tc>
          <w:tcPr>
            <w:tcW w:w="3636" w:type="dxa"/>
            <w:tcBorders>
              <w:top w:val="nil"/>
              <w:left w:val="nil"/>
              <w:bottom w:val="nil"/>
              <w:right w:val="nil"/>
            </w:tcBorders>
            <w:shd w:val="clear" w:color="auto" w:fill="auto"/>
            <w:noWrap/>
            <w:vAlign w:val="bottom"/>
            <w:hideMark/>
          </w:tcPr>
          <w:p w14:paraId="619012F5"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Missing (%)</w:t>
            </w:r>
          </w:p>
        </w:tc>
        <w:tc>
          <w:tcPr>
            <w:tcW w:w="1624" w:type="dxa"/>
            <w:tcBorders>
              <w:top w:val="nil"/>
              <w:left w:val="nil"/>
              <w:bottom w:val="nil"/>
              <w:right w:val="nil"/>
            </w:tcBorders>
            <w:shd w:val="clear" w:color="auto" w:fill="auto"/>
            <w:noWrap/>
            <w:vAlign w:val="bottom"/>
            <w:hideMark/>
          </w:tcPr>
          <w:p w14:paraId="6F341E10"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0 (0%)</w:t>
            </w:r>
          </w:p>
        </w:tc>
        <w:tc>
          <w:tcPr>
            <w:tcW w:w="1312" w:type="dxa"/>
            <w:tcBorders>
              <w:top w:val="nil"/>
              <w:left w:val="nil"/>
              <w:bottom w:val="nil"/>
              <w:right w:val="nil"/>
            </w:tcBorders>
            <w:shd w:val="clear" w:color="auto" w:fill="auto"/>
            <w:noWrap/>
            <w:vAlign w:val="bottom"/>
            <w:hideMark/>
          </w:tcPr>
          <w:p w14:paraId="3D723C94"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0 (0%)</w:t>
            </w:r>
          </w:p>
        </w:tc>
        <w:tc>
          <w:tcPr>
            <w:tcW w:w="916" w:type="dxa"/>
            <w:tcBorders>
              <w:top w:val="nil"/>
              <w:left w:val="nil"/>
              <w:bottom w:val="nil"/>
              <w:right w:val="nil"/>
            </w:tcBorders>
            <w:shd w:val="clear" w:color="auto" w:fill="auto"/>
            <w:noWrap/>
            <w:vAlign w:val="bottom"/>
            <w:hideMark/>
          </w:tcPr>
          <w:p w14:paraId="628AE1D7" w14:textId="77777777" w:rsidR="009D09DF" w:rsidRPr="00857C3B" w:rsidRDefault="009D09DF" w:rsidP="009D09DF">
            <w:pPr>
              <w:spacing w:after="0" w:line="240" w:lineRule="auto"/>
              <w:jc w:val="right"/>
              <w:rPr>
                <w:rFonts w:eastAsia="Times New Roman" w:cs="Times New Roman"/>
                <w:color w:val="000000"/>
                <w:szCs w:val="24"/>
                <w:lang w:val="en-GB" w:eastAsia="en-GB"/>
              </w:rPr>
            </w:pPr>
            <w:r w:rsidRPr="00857C3B">
              <w:rPr>
                <w:rFonts w:eastAsia="Times New Roman" w:cs="Times New Roman"/>
                <w:color w:val="000000"/>
                <w:szCs w:val="24"/>
                <w:lang w:val="en-GB" w:eastAsia="en-GB"/>
              </w:rPr>
              <w:t>0.316</w:t>
            </w:r>
          </w:p>
        </w:tc>
        <w:tc>
          <w:tcPr>
            <w:tcW w:w="1842" w:type="dxa"/>
            <w:tcBorders>
              <w:top w:val="nil"/>
              <w:left w:val="nil"/>
              <w:bottom w:val="nil"/>
              <w:right w:val="nil"/>
            </w:tcBorders>
            <w:shd w:val="clear" w:color="auto" w:fill="auto"/>
            <w:noWrap/>
            <w:vAlign w:val="bottom"/>
            <w:hideMark/>
          </w:tcPr>
          <w:p w14:paraId="0506DA6A"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0 (0%)</w:t>
            </w:r>
          </w:p>
        </w:tc>
      </w:tr>
      <w:tr w:rsidR="009D09DF" w:rsidRPr="00857C3B" w14:paraId="01FEBD1B" w14:textId="77777777" w:rsidTr="009D09DF">
        <w:trPr>
          <w:trHeight w:val="284"/>
        </w:trPr>
        <w:tc>
          <w:tcPr>
            <w:tcW w:w="3636" w:type="dxa"/>
            <w:tcBorders>
              <w:top w:val="nil"/>
              <w:left w:val="nil"/>
              <w:bottom w:val="nil"/>
              <w:right w:val="nil"/>
            </w:tcBorders>
            <w:shd w:val="clear" w:color="auto" w:fill="auto"/>
            <w:noWrap/>
            <w:vAlign w:val="bottom"/>
            <w:hideMark/>
          </w:tcPr>
          <w:p w14:paraId="5798FC27" w14:textId="070F26BA" w:rsidR="009D09DF" w:rsidRPr="00857C3B" w:rsidRDefault="009D09DF" w:rsidP="009D09DF">
            <w:pPr>
              <w:spacing w:after="0" w:line="240" w:lineRule="auto"/>
              <w:rPr>
                <w:rFonts w:eastAsia="Times New Roman" w:cs="Times New Roman"/>
                <w:color w:val="000000"/>
                <w:szCs w:val="24"/>
                <w:u w:val="single"/>
                <w:lang w:val="en-GB" w:eastAsia="en-GB"/>
              </w:rPr>
            </w:pPr>
            <w:r w:rsidRPr="00857C3B">
              <w:rPr>
                <w:rFonts w:eastAsia="Times New Roman" w:cs="Times New Roman"/>
                <w:color w:val="000000"/>
                <w:szCs w:val="24"/>
                <w:u w:val="single"/>
                <w:lang w:val="en-GB" w:eastAsia="en-GB"/>
              </w:rPr>
              <w:t>Hospitalisation in</w:t>
            </w:r>
            <w:r w:rsidR="00E443BF">
              <w:rPr>
                <w:rFonts w:eastAsia="Times New Roman" w:cs="Times New Roman"/>
                <w:color w:val="000000"/>
                <w:szCs w:val="24"/>
                <w:u w:val="single"/>
                <w:lang w:val="en-GB" w:eastAsia="en-GB"/>
              </w:rPr>
              <w:t>:</w:t>
            </w:r>
          </w:p>
        </w:tc>
        <w:tc>
          <w:tcPr>
            <w:tcW w:w="1624" w:type="dxa"/>
            <w:tcBorders>
              <w:top w:val="nil"/>
              <w:left w:val="nil"/>
              <w:bottom w:val="nil"/>
              <w:right w:val="nil"/>
            </w:tcBorders>
            <w:shd w:val="clear" w:color="auto" w:fill="auto"/>
            <w:noWrap/>
            <w:vAlign w:val="bottom"/>
            <w:hideMark/>
          </w:tcPr>
          <w:p w14:paraId="230E4580"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312" w:type="dxa"/>
            <w:tcBorders>
              <w:top w:val="nil"/>
              <w:left w:val="nil"/>
              <w:bottom w:val="nil"/>
              <w:right w:val="nil"/>
            </w:tcBorders>
            <w:shd w:val="clear" w:color="auto" w:fill="auto"/>
            <w:noWrap/>
            <w:vAlign w:val="bottom"/>
            <w:hideMark/>
          </w:tcPr>
          <w:p w14:paraId="758D1776" w14:textId="77777777" w:rsidR="009D09DF" w:rsidRPr="00857C3B" w:rsidRDefault="009D09DF" w:rsidP="009D09DF">
            <w:pPr>
              <w:spacing w:after="0" w:line="240" w:lineRule="auto"/>
              <w:rPr>
                <w:rFonts w:eastAsia="Times New Roman" w:cs="Times New Roman"/>
                <w:szCs w:val="24"/>
                <w:lang w:val="en-GB" w:eastAsia="en-GB"/>
              </w:rPr>
            </w:pPr>
          </w:p>
        </w:tc>
        <w:tc>
          <w:tcPr>
            <w:tcW w:w="916" w:type="dxa"/>
            <w:tcBorders>
              <w:top w:val="nil"/>
              <w:left w:val="nil"/>
              <w:bottom w:val="nil"/>
              <w:right w:val="nil"/>
            </w:tcBorders>
            <w:shd w:val="clear" w:color="auto" w:fill="auto"/>
            <w:noWrap/>
            <w:vAlign w:val="bottom"/>
            <w:hideMark/>
          </w:tcPr>
          <w:p w14:paraId="40CA1383" w14:textId="77777777" w:rsidR="009D09DF" w:rsidRPr="00857C3B" w:rsidRDefault="009D09DF" w:rsidP="009D09DF">
            <w:pPr>
              <w:spacing w:after="0" w:line="240" w:lineRule="auto"/>
              <w:rPr>
                <w:rFonts w:eastAsia="Times New Roman" w:cs="Times New Roman"/>
                <w:szCs w:val="24"/>
                <w:lang w:val="en-GB" w:eastAsia="en-GB"/>
              </w:rPr>
            </w:pPr>
          </w:p>
        </w:tc>
        <w:tc>
          <w:tcPr>
            <w:tcW w:w="1842" w:type="dxa"/>
            <w:tcBorders>
              <w:top w:val="nil"/>
              <w:left w:val="nil"/>
              <w:bottom w:val="nil"/>
              <w:right w:val="nil"/>
            </w:tcBorders>
            <w:shd w:val="clear" w:color="auto" w:fill="auto"/>
            <w:noWrap/>
            <w:vAlign w:val="bottom"/>
            <w:hideMark/>
          </w:tcPr>
          <w:p w14:paraId="235B55FE" w14:textId="77777777" w:rsidR="009D09DF" w:rsidRPr="00857C3B" w:rsidRDefault="009D09DF" w:rsidP="009D09DF">
            <w:pPr>
              <w:spacing w:after="0" w:line="240" w:lineRule="auto"/>
              <w:rPr>
                <w:rFonts w:eastAsia="Times New Roman" w:cs="Times New Roman"/>
                <w:szCs w:val="24"/>
                <w:lang w:val="en-GB" w:eastAsia="en-GB"/>
              </w:rPr>
            </w:pPr>
          </w:p>
        </w:tc>
      </w:tr>
      <w:tr w:rsidR="009D09DF" w:rsidRPr="00857C3B" w14:paraId="11293F72" w14:textId="77777777" w:rsidTr="009D09DF">
        <w:trPr>
          <w:trHeight w:val="284"/>
        </w:trPr>
        <w:tc>
          <w:tcPr>
            <w:tcW w:w="3636" w:type="dxa"/>
            <w:tcBorders>
              <w:top w:val="nil"/>
              <w:left w:val="nil"/>
              <w:bottom w:val="nil"/>
              <w:right w:val="nil"/>
            </w:tcBorders>
            <w:shd w:val="clear" w:color="auto" w:fill="auto"/>
            <w:noWrap/>
            <w:vAlign w:val="bottom"/>
            <w:hideMark/>
          </w:tcPr>
          <w:p w14:paraId="24A96165"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Day-clinic</w:t>
            </w:r>
          </w:p>
        </w:tc>
        <w:tc>
          <w:tcPr>
            <w:tcW w:w="1624" w:type="dxa"/>
            <w:tcBorders>
              <w:top w:val="nil"/>
              <w:left w:val="nil"/>
              <w:bottom w:val="nil"/>
              <w:right w:val="nil"/>
            </w:tcBorders>
            <w:shd w:val="clear" w:color="auto" w:fill="auto"/>
            <w:noWrap/>
            <w:vAlign w:val="bottom"/>
            <w:hideMark/>
          </w:tcPr>
          <w:p w14:paraId="110A1618"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17 (20%)</w:t>
            </w:r>
          </w:p>
        </w:tc>
        <w:tc>
          <w:tcPr>
            <w:tcW w:w="1312" w:type="dxa"/>
            <w:tcBorders>
              <w:top w:val="nil"/>
              <w:left w:val="nil"/>
              <w:bottom w:val="nil"/>
              <w:right w:val="nil"/>
            </w:tcBorders>
            <w:shd w:val="clear" w:color="auto" w:fill="auto"/>
            <w:noWrap/>
            <w:vAlign w:val="bottom"/>
            <w:hideMark/>
          </w:tcPr>
          <w:p w14:paraId="4AFE5C40"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12 (39%)</w:t>
            </w:r>
          </w:p>
        </w:tc>
        <w:tc>
          <w:tcPr>
            <w:tcW w:w="916" w:type="dxa"/>
            <w:tcBorders>
              <w:top w:val="nil"/>
              <w:left w:val="nil"/>
              <w:bottom w:val="nil"/>
              <w:right w:val="nil"/>
            </w:tcBorders>
            <w:shd w:val="clear" w:color="auto" w:fill="auto"/>
            <w:noWrap/>
            <w:vAlign w:val="bottom"/>
            <w:hideMark/>
          </w:tcPr>
          <w:p w14:paraId="1B25F2AC"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bottom w:val="nil"/>
              <w:right w:val="nil"/>
            </w:tcBorders>
            <w:shd w:val="clear" w:color="auto" w:fill="auto"/>
            <w:noWrap/>
            <w:vAlign w:val="bottom"/>
            <w:hideMark/>
          </w:tcPr>
          <w:p w14:paraId="19DB67C9"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29 (25.44%)</w:t>
            </w:r>
          </w:p>
        </w:tc>
      </w:tr>
      <w:tr w:rsidR="009D09DF" w:rsidRPr="00857C3B" w14:paraId="05340DDF" w14:textId="77777777" w:rsidTr="009D09DF">
        <w:trPr>
          <w:trHeight w:val="284"/>
        </w:trPr>
        <w:tc>
          <w:tcPr>
            <w:tcW w:w="3636" w:type="dxa"/>
            <w:tcBorders>
              <w:top w:val="nil"/>
              <w:left w:val="nil"/>
              <w:bottom w:val="nil"/>
              <w:right w:val="nil"/>
            </w:tcBorders>
            <w:shd w:val="clear" w:color="auto" w:fill="auto"/>
            <w:noWrap/>
            <w:vAlign w:val="bottom"/>
            <w:hideMark/>
          </w:tcPr>
          <w:p w14:paraId="7673BF71"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Ward</w:t>
            </w:r>
          </w:p>
        </w:tc>
        <w:tc>
          <w:tcPr>
            <w:tcW w:w="1624" w:type="dxa"/>
            <w:tcBorders>
              <w:top w:val="nil"/>
              <w:left w:val="nil"/>
              <w:bottom w:val="nil"/>
              <w:right w:val="nil"/>
            </w:tcBorders>
            <w:shd w:val="clear" w:color="auto" w:fill="auto"/>
            <w:noWrap/>
            <w:vAlign w:val="bottom"/>
            <w:hideMark/>
          </w:tcPr>
          <w:p w14:paraId="518459BF"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66 (80%)</w:t>
            </w:r>
          </w:p>
        </w:tc>
        <w:tc>
          <w:tcPr>
            <w:tcW w:w="1312" w:type="dxa"/>
            <w:tcBorders>
              <w:top w:val="nil"/>
              <w:left w:val="nil"/>
              <w:bottom w:val="nil"/>
              <w:right w:val="nil"/>
            </w:tcBorders>
            <w:shd w:val="clear" w:color="auto" w:fill="auto"/>
            <w:noWrap/>
            <w:vAlign w:val="bottom"/>
            <w:hideMark/>
          </w:tcPr>
          <w:p w14:paraId="5D73CC6D"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19 (61%)</w:t>
            </w:r>
          </w:p>
        </w:tc>
        <w:tc>
          <w:tcPr>
            <w:tcW w:w="916" w:type="dxa"/>
            <w:tcBorders>
              <w:top w:val="nil"/>
              <w:left w:val="nil"/>
              <w:bottom w:val="nil"/>
              <w:right w:val="nil"/>
            </w:tcBorders>
            <w:shd w:val="clear" w:color="auto" w:fill="auto"/>
            <w:noWrap/>
            <w:vAlign w:val="bottom"/>
            <w:hideMark/>
          </w:tcPr>
          <w:p w14:paraId="3E765BD9"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bottom w:val="nil"/>
              <w:right w:val="nil"/>
            </w:tcBorders>
            <w:shd w:val="clear" w:color="auto" w:fill="auto"/>
            <w:noWrap/>
            <w:vAlign w:val="bottom"/>
            <w:hideMark/>
          </w:tcPr>
          <w:p w14:paraId="5DAE5D09"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85 (74.56%)</w:t>
            </w:r>
          </w:p>
        </w:tc>
      </w:tr>
      <w:tr w:rsidR="009D09DF" w:rsidRPr="00857C3B" w14:paraId="277F4B97" w14:textId="77777777" w:rsidTr="009D09DF">
        <w:trPr>
          <w:trHeight w:val="284"/>
        </w:trPr>
        <w:tc>
          <w:tcPr>
            <w:tcW w:w="3636" w:type="dxa"/>
            <w:tcBorders>
              <w:top w:val="nil"/>
              <w:left w:val="nil"/>
              <w:bottom w:val="nil"/>
              <w:right w:val="nil"/>
            </w:tcBorders>
            <w:shd w:val="clear" w:color="auto" w:fill="auto"/>
            <w:noWrap/>
            <w:vAlign w:val="bottom"/>
            <w:hideMark/>
          </w:tcPr>
          <w:p w14:paraId="3904D132"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Missing (%)</w:t>
            </w:r>
          </w:p>
        </w:tc>
        <w:tc>
          <w:tcPr>
            <w:tcW w:w="1624" w:type="dxa"/>
            <w:tcBorders>
              <w:top w:val="nil"/>
              <w:left w:val="nil"/>
              <w:bottom w:val="nil"/>
              <w:right w:val="nil"/>
            </w:tcBorders>
            <w:shd w:val="clear" w:color="auto" w:fill="auto"/>
            <w:noWrap/>
            <w:vAlign w:val="bottom"/>
            <w:hideMark/>
          </w:tcPr>
          <w:p w14:paraId="08DA32F3"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0 (0%)</w:t>
            </w:r>
          </w:p>
        </w:tc>
        <w:tc>
          <w:tcPr>
            <w:tcW w:w="1312" w:type="dxa"/>
            <w:tcBorders>
              <w:top w:val="nil"/>
              <w:left w:val="nil"/>
              <w:bottom w:val="nil"/>
              <w:right w:val="nil"/>
            </w:tcBorders>
            <w:shd w:val="clear" w:color="auto" w:fill="auto"/>
            <w:noWrap/>
            <w:vAlign w:val="bottom"/>
            <w:hideMark/>
          </w:tcPr>
          <w:p w14:paraId="35E14834"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0 (0%)</w:t>
            </w:r>
          </w:p>
        </w:tc>
        <w:tc>
          <w:tcPr>
            <w:tcW w:w="916" w:type="dxa"/>
            <w:tcBorders>
              <w:top w:val="nil"/>
              <w:left w:val="nil"/>
              <w:bottom w:val="nil"/>
              <w:right w:val="nil"/>
            </w:tcBorders>
            <w:shd w:val="clear" w:color="auto" w:fill="auto"/>
            <w:noWrap/>
            <w:vAlign w:val="bottom"/>
            <w:hideMark/>
          </w:tcPr>
          <w:p w14:paraId="1E9BC803" w14:textId="77777777" w:rsidR="009D09DF" w:rsidRPr="00857C3B" w:rsidRDefault="009D09DF" w:rsidP="009D09DF">
            <w:pPr>
              <w:spacing w:after="0" w:line="240" w:lineRule="auto"/>
              <w:jc w:val="right"/>
              <w:rPr>
                <w:rFonts w:eastAsia="Times New Roman" w:cs="Times New Roman"/>
                <w:color w:val="000000"/>
                <w:szCs w:val="24"/>
                <w:lang w:val="en-GB" w:eastAsia="en-GB"/>
              </w:rPr>
            </w:pPr>
            <w:r w:rsidRPr="00857C3B">
              <w:rPr>
                <w:rFonts w:eastAsia="Times New Roman" w:cs="Times New Roman"/>
                <w:color w:val="000000"/>
                <w:szCs w:val="24"/>
                <w:lang w:val="en-GB" w:eastAsia="en-GB"/>
              </w:rPr>
              <w:t>0.081</w:t>
            </w:r>
          </w:p>
        </w:tc>
        <w:tc>
          <w:tcPr>
            <w:tcW w:w="1842" w:type="dxa"/>
            <w:tcBorders>
              <w:top w:val="nil"/>
              <w:left w:val="nil"/>
              <w:bottom w:val="nil"/>
              <w:right w:val="nil"/>
            </w:tcBorders>
            <w:shd w:val="clear" w:color="auto" w:fill="auto"/>
            <w:noWrap/>
            <w:vAlign w:val="bottom"/>
            <w:hideMark/>
          </w:tcPr>
          <w:p w14:paraId="5954DBC0"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0 (0%)</w:t>
            </w:r>
          </w:p>
        </w:tc>
      </w:tr>
      <w:tr w:rsidR="009D09DF" w:rsidRPr="00857C3B" w14:paraId="75F08081" w14:textId="77777777" w:rsidTr="009D09DF">
        <w:trPr>
          <w:trHeight w:val="284"/>
        </w:trPr>
        <w:tc>
          <w:tcPr>
            <w:tcW w:w="3636" w:type="dxa"/>
            <w:tcBorders>
              <w:top w:val="nil"/>
              <w:left w:val="nil"/>
              <w:bottom w:val="nil"/>
              <w:right w:val="nil"/>
            </w:tcBorders>
            <w:shd w:val="clear" w:color="auto" w:fill="auto"/>
            <w:noWrap/>
            <w:vAlign w:val="bottom"/>
            <w:hideMark/>
          </w:tcPr>
          <w:p w14:paraId="5983967A" w14:textId="77777777" w:rsidR="009D09DF" w:rsidRPr="00857C3B" w:rsidRDefault="009D09DF" w:rsidP="009D09DF">
            <w:pPr>
              <w:spacing w:after="0" w:line="240" w:lineRule="auto"/>
              <w:rPr>
                <w:rFonts w:eastAsia="Times New Roman" w:cs="Times New Roman"/>
                <w:color w:val="000000"/>
                <w:szCs w:val="24"/>
                <w:u w:val="single"/>
                <w:lang w:val="en-GB" w:eastAsia="en-GB"/>
              </w:rPr>
            </w:pPr>
            <w:r w:rsidRPr="00857C3B">
              <w:rPr>
                <w:rFonts w:eastAsia="Times New Roman" w:cs="Times New Roman"/>
                <w:color w:val="000000"/>
                <w:szCs w:val="24"/>
                <w:u w:val="single"/>
                <w:lang w:val="en-GB" w:eastAsia="en-GB"/>
              </w:rPr>
              <w:t>Number of psychiatric diagnoses</w:t>
            </w:r>
          </w:p>
        </w:tc>
        <w:tc>
          <w:tcPr>
            <w:tcW w:w="1624" w:type="dxa"/>
            <w:tcBorders>
              <w:top w:val="nil"/>
              <w:left w:val="nil"/>
              <w:bottom w:val="nil"/>
              <w:right w:val="nil"/>
            </w:tcBorders>
            <w:shd w:val="clear" w:color="auto" w:fill="auto"/>
            <w:noWrap/>
            <w:vAlign w:val="bottom"/>
            <w:hideMark/>
          </w:tcPr>
          <w:p w14:paraId="2830B01F"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312" w:type="dxa"/>
            <w:tcBorders>
              <w:top w:val="nil"/>
              <w:left w:val="nil"/>
              <w:bottom w:val="nil"/>
              <w:right w:val="nil"/>
            </w:tcBorders>
            <w:shd w:val="clear" w:color="auto" w:fill="auto"/>
            <w:noWrap/>
            <w:vAlign w:val="bottom"/>
            <w:hideMark/>
          </w:tcPr>
          <w:p w14:paraId="6EE15B04" w14:textId="77777777" w:rsidR="009D09DF" w:rsidRPr="00857C3B" w:rsidRDefault="009D09DF" w:rsidP="009D09DF">
            <w:pPr>
              <w:spacing w:after="0" w:line="240" w:lineRule="auto"/>
              <w:rPr>
                <w:rFonts w:eastAsia="Times New Roman" w:cs="Times New Roman"/>
                <w:szCs w:val="24"/>
                <w:lang w:val="en-GB" w:eastAsia="en-GB"/>
              </w:rPr>
            </w:pPr>
          </w:p>
        </w:tc>
        <w:tc>
          <w:tcPr>
            <w:tcW w:w="916" w:type="dxa"/>
            <w:tcBorders>
              <w:top w:val="nil"/>
              <w:left w:val="nil"/>
              <w:bottom w:val="nil"/>
              <w:right w:val="nil"/>
            </w:tcBorders>
            <w:shd w:val="clear" w:color="auto" w:fill="auto"/>
            <w:noWrap/>
            <w:vAlign w:val="bottom"/>
            <w:hideMark/>
          </w:tcPr>
          <w:p w14:paraId="566DACC7" w14:textId="77777777" w:rsidR="009D09DF" w:rsidRPr="00857C3B" w:rsidRDefault="009D09DF" w:rsidP="009D09DF">
            <w:pPr>
              <w:spacing w:after="0" w:line="240" w:lineRule="auto"/>
              <w:rPr>
                <w:rFonts w:eastAsia="Times New Roman" w:cs="Times New Roman"/>
                <w:szCs w:val="24"/>
                <w:lang w:val="en-GB" w:eastAsia="en-GB"/>
              </w:rPr>
            </w:pPr>
          </w:p>
        </w:tc>
        <w:tc>
          <w:tcPr>
            <w:tcW w:w="1842" w:type="dxa"/>
            <w:tcBorders>
              <w:top w:val="nil"/>
              <w:left w:val="nil"/>
              <w:bottom w:val="nil"/>
              <w:right w:val="nil"/>
            </w:tcBorders>
            <w:shd w:val="clear" w:color="auto" w:fill="auto"/>
            <w:noWrap/>
            <w:vAlign w:val="bottom"/>
            <w:hideMark/>
          </w:tcPr>
          <w:p w14:paraId="488A1FBD" w14:textId="77777777" w:rsidR="009D09DF" w:rsidRPr="00857C3B" w:rsidRDefault="009D09DF" w:rsidP="009D09DF">
            <w:pPr>
              <w:spacing w:after="0" w:line="240" w:lineRule="auto"/>
              <w:rPr>
                <w:rFonts w:eastAsia="Times New Roman" w:cs="Times New Roman"/>
                <w:szCs w:val="24"/>
                <w:lang w:val="en-GB" w:eastAsia="en-GB"/>
              </w:rPr>
            </w:pPr>
          </w:p>
        </w:tc>
      </w:tr>
      <w:tr w:rsidR="009D09DF" w:rsidRPr="00857C3B" w14:paraId="226D262E" w14:textId="77777777" w:rsidTr="009D09DF">
        <w:trPr>
          <w:trHeight w:val="284"/>
        </w:trPr>
        <w:tc>
          <w:tcPr>
            <w:tcW w:w="3636" w:type="dxa"/>
            <w:tcBorders>
              <w:top w:val="nil"/>
              <w:left w:val="nil"/>
              <w:bottom w:val="nil"/>
              <w:right w:val="nil"/>
            </w:tcBorders>
            <w:shd w:val="clear" w:color="auto" w:fill="auto"/>
            <w:noWrap/>
            <w:vAlign w:val="bottom"/>
            <w:hideMark/>
          </w:tcPr>
          <w:p w14:paraId="267ED5D1"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Mean (SD)</w:t>
            </w:r>
          </w:p>
        </w:tc>
        <w:tc>
          <w:tcPr>
            <w:tcW w:w="1624" w:type="dxa"/>
            <w:tcBorders>
              <w:top w:val="nil"/>
              <w:left w:val="nil"/>
              <w:bottom w:val="nil"/>
              <w:right w:val="nil"/>
            </w:tcBorders>
            <w:shd w:val="clear" w:color="auto" w:fill="auto"/>
            <w:noWrap/>
            <w:vAlign w:val="bottom"/>
            <w:hideMark/>
          </w:tcPr>
          <w:p w14:paraId="6ADD7DA1"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5 (3)</w:t>
            </w:r>
          </w:p>
        </w:tc>
        <w:tc>
          <w:tcPr>
            <w:tcW w:w="1312" w:type="dxa"/>
            <w:tcBorders>
              <w:top w:val="nil"/>
              <w:left w:val="nil"/>
              <w:bottom w:val="nil"/>
              <w:right w:val="nil"/>
            </w:tcBorders>
            <w:shd w:val="clear" w:color="auto" w:fill="auto"/>
            <w:noWrap/>
            <w:vAlign w:val="bottom"/>
            <w:hideMark/>
          </w:tcPr>
          <w:p w14:paraId="4E296700"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5 (2)</w:t>
            </w:r>
          </w:p>
        </w:tc>
        <w:tc>
          <w:tcPr>
            <w:tcW w:w="916" w:type="dxa"/>
            <w:tcBorders>
              <w:top w:val="nil"/>
              <w:left w:val="nil"/>
              <w:bottom w:val="nil"/>
              <w:right w:val="nil"/>
            </w:tcBorders>
            <w:shd w:val="clear" w:color="auto" w:fill="auto"/>
            <w:noWrap/>
            <w:vAlign w:val="bottom"/>
            <w:hideMark/>
          </w:tcPr>
          <w:p w14:paraId="256138DA"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bottom w:val="nil"/>
              <w:right w:val="nil"/>
            </w:tcBorders>
            <w:shd w:val="clear" w:color="auto" w:fill="auto"/>
            <w:noWrap/>
            <w:vAlign w:val="bottom"/>
            <w:hideMark/>
          </w:tcPr>
          <w:p w14:paraId="1DCED279"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5.17 (2.9)</w:t>
            </w:r>
          </w:p>
        </w:tc>
      </w:tr>
      <w:tr w:rsidR="009D09DF" w:rsidRPr="00857C3B" w14:paraId="3FFBD7FD" w14:textId="77777777" w:rsidTr="009D09DF">
        <w:trPr>
          <w:trHeight w:val="284"/>
        </w:trPr>
        <w:tc>
          <w:tcPr>
            <w:tcW w:w="3636" w:type="dxa"/>
            <w:tcBorders>
              <w:top w:val="nil"/>
              <w:left w:val="nil"/>
              <w:right w:val="nil"/>
            </w:tcBorders>
            <w:shd w:val="clear" w:color="auto" w:fill="auto"/>
            <w:noWrap/>
            <w:vAlign w:val="bottom"/>
            <w:hideMark/>
          </w:tcPr>
          <w:p w14:paraId="505E6B5B"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Median (IQR)</w:t>
            </w:r>
          </w:p>
        </w:tc>
        <w:tc>
          <w:tcPr>
            <w:tcW w:w="1624" w:type="dxa"/>
            <w:tcBorders>
              <w:top w:val="nil"/>
              <w:left w:val="nil"/>
              <w:right w:val="nil"/>
            </w:tcBorders>
            <w:shd w:val="clear" w:color="auto" w:fill="auto"/>
            <w:noWrap/>
            <w:vAlign w:val="bottom"/>
            <w:hideMark/>
          </w:tcPr>
          <w:p w14:paraId="5149682F"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4 (3-7)</w:t>
            </w:r>
          </w:p>
        </w:tc>
        <w:tc>
          <w:tcPr>
            <w:tcW w:w="1312" w:type="dxa"/>
            <w:tcBorders>
              <w:top w:val="nil"/>
              <w:left w:val="nil"/>
              <w:right w:val="nil"/>
            </w:tcBorders>
            <w:shd w:val="clear" w:color="auto" w:fill="auto"/>
            <w:noWrap/>
            <w:vAlign w:val="bottom"/>
            <w:hideMark/>
          </w:tcPr>
          <w:p w14:paraId="082EC305"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5 (4-7)</w:t>
            </w:r>
          </w:p>
        </w:tc>
        <w:tc>
          <w:tcPr>
            <w:tcW w:w="916" w:type="dxa"/>
            <w:tcBorders>
              <w:top w:val="nil"/>
              <w:left w:val="nil"/>
              <w:right w:val="nil"/>
            </w:tcBorders>
            <w:shd w:val="clear" w:color="auto" w:fill="auto"/>
            <w:noWrap/>
            <w:vAlign w:val="bottom"/>
            <w:hideMark/>
          </w:tcPr>
          <w:p w14:paraId="04FC5888" w14:textId="77777777" w:rsidR="009D09DF" w:rsidRPr="00857C3B" w:rsidRDefault="009D09DF" w:rsidP="009D09DF">
            <w:pPr>
              <w:spacing w:after="0" w:line="240" w:lineRule="auto"/>
              <w:rPr>
                <w:rFonts w:eastAsia="Times New Roman" w:cs="Times New Roman"/>
                <w:color w:val="000000"/>
                <w:szCs w:val="24"/>
                <w:lang w:val="en-GB" w:eastAsia="en-GB"/>
              </w:rPr>
            </w:pPr>
          </w:p>
        </w:tc>
        <w:tc>
          <w:tcPr>
            <w:tcW w:w="1842" w:type="dxa"/>
            <w:tcBorders>
              <w:top w:val="nil"/>
              <w:left w:val="nil"/>
              <w:right w:val="nil"/>
            </w:tcBorders>
            <w:shd w:val="clear" w:color="auto" w:fill="auto"/>
            <w:noWrap/>
            <w:vAlign w:val="bottom"/>
            <w:hideMark/>
          </w:tcPr>
          <w:p w14:paraId="5FDD1858"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5 (3-7)</w:t>
            </w:r>
          </w:p>
        </w:tc>
      </w:tr>
      <w:tr w:rsidR="009D09DF" w:rsidRPr="00857C3B" w14:paraId="6D6A532D" w14:textId="77777777" w:rsidTr="009D09DF">
        <w:trPr>
          <w:trHeight w:val="284"/>
        </w:trPr>
        <w:tc>
          <w:tcPr>
            <w:tcW w:w="3636" w:type="dxa"/>
            <w:tcBorders>
              <w:top w:val="nil"/>
              <w:left w:val="nil"/>
              <w:bottom w:val="single" w:sz="4" w:space="0" w:color="auto"/>
              <w:right w:val="nil"/>
            </w:tcBorders>
            <w:shd w:val="clear" w:color="auto" w:fill="auto"/>
            <w:noWrap/>
            <w:vAlign w:val="bottom"/>
            <w:hideMark/>
          </w:tcPr>
          <w:p w14:paraId="3B99CD97"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 xml:space="preserve">   Missing (%)</w:t>
            </w:r>
          </w:p>
        </w:tc>
        <w:tc>
          <w:tcPr>
            <w:tcW w:w="1624" w:type="dxa"/>
            <w:tcBorders>
              <w:top w:val="nil"/>
              <w:left w:val="nil"/>
              <w:bottom w:val="single" w:sz="4" w:space="0" w:color="auto"/>
              <w:right w:val="nil"/>
            </w:tcBorders>
            <w:shd w:val="clear" w:color="auto" w:fill="auto"/>
            <w:noWrap/>
            <w:vAlign w:val="bottom"/>
            <w:hideMark/>
          </w:tcPr>
          <w:p w14:paraId="1670FB0A"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1 (1%)</w:t>
            </w:r>
          </w:p>
        </w:tc>
        <w:tc>
          <w:tcPr>
            <w:tcW w:w="1312" w:type="dxa"/>
            <w:tcBorders>
              <w:top w:val="nil"/>
              <w:left w:val="nil"/>
              <w:bottom w:val="single" w:sz="4" w:space="0" w:color="auto"/>
              <w:right w:val="nil"/>
            </w:tcBorders>
            <w:shd w:val="clear" w:color="auto" w:fill="auto"/>
            <w:noWrap/>
            <w:vAlign w:val="bottom"/>
            <w:hideMark/>
          </w:tcPr>
          <w:p w14:paraId="075B78AA"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2 (6%)</w:t>
            </w:r>
          </w:p>
        </w:tc>
        <w:tc>
          <w:tcPr>
            <w:tcW w:w="916" w:type="dxa"/>
            <w:tcBorders>
              <w:top w:val="nil"/>
              <w:left w:val="nil"/>
              <w:bottom w:val="single" w:sz="4" w:space="0" w:color="auto"/>
              <w:right w:val="nil"/>
            </w:tcBorders>
            <w:shd w:val="clear" w:color="auto" w:fill="auto"/>
            <w:noWrap/>
            <w:vAlign w:val="bottom"/>
            <w:hideMark/>
          </w:tcPr>
          <w:p w14:paraId="5B30D6EA" w14:textId="77777777" w:rsidR="009D09DF" w:rsidRPr="00857C3B" w:rsidRDefault="009D09DF" w:rsidP="009D09DF">
            <w:pPr>
              <w:spacing w:after="0" w:line="240" w:lineRule="auto"/>
              <w:jc w:val="right"/>
              <w:rPr>
                <w:rFonts w:eastAsia="Times New Roman" w:cs="Times New Roman"/>
                <w:color w:val="000000"/>
                <w:szCs w:val="24"/>
                <w:lang w:val="en-GB" w:eastAsia="en-GB"/>
              </w:rPr>
            </w:pPr>
            <w:r w:rsidRPr="00857C3B">
              <w:rPr>
                <w:rFonts w:eastAsia="Times New Roman" w:cs="Times New Roman"/>
                <w:color w:val="000000"/>
                <w:szCs w:val="24"/>
                <w:lang w:val="en-GB" w:eastAsia="en-GB"/>
              </w:rPr>
              <w:t>0.603</w:t>
            </w:r>
          </w:p>
        </w:tc>
        <w:tc>
          <w:tcPr>
            <w:tcW w:w="1842" w:type="dxa"/>
            <w:tcBorders>
              <w:top w:val="nil"/>
              <w:left w:val="nil"/>
              <w:bottom w:val="single" w:sz="4" w:space="0" w:color="auto"/>
              <w:right w:val="nil"/>
            </w:tcBorders>
            <w:shd w:val="clear" w:color="auto" w:fill="auto"/>
            <w:noWrap/>
            <w:vAlign w:val="bottom"/>
            <w:hideMark/>
          </w:tcPr>
          <w:p w14:paraId="7BB1C1F2" w14:textId="77777777" w:rsidR="009D09DF" w:rsidRPr="00857C3B" w:rsidRDefault="009D09DF" w:rsidP="009D09DF">
            <w:pPr>
              <w:spacing w:after="0" w:line="240" w:lineRule="auto"/>
              <w:rPr>
                <w:rFonts w:eastAsia="Times New Roman" w:cs="Times New Roman"/>
                <w:color w:val="000000"/>
                <w:szCs w:val="24"/>
                <w:lang w:val="en-GB" w:eastAsia="en-GB"/>
              </w:rPr>
            </w:pPr>
            <w:r w:rsidRPr="00857C3B">
              <w:rPr>
                <w:rFonts w:eastAsia="Times New Roman" w:cs="Times New Roman"/>
                <w:color w:val="000000"/>
                <w:szCs w:val="24"/>
                <w:lang w:val="en-GB" w:eastAsia="en-GB"/>
              </w:rPr>
              <w:t>3 (2.63%)</w:t>
            </w:r>
          </w:p>
        </w:tc>
      </w:tr>
    </w:tbl>
    <w:p w14:paraId="1ADFF970" w14:textId="1D5429F7" w:rsidR="00857C3B" w:rsidRPr="00C94E69" w:rsidRDefault="009D09DF" w:rsidP="009D09DF">
      <w:pPr>
        <w:spacing w:line="240" w:lineRule="auto"/>
        <w:rPr>
          <w:rFonts w:cs="Times New Roman"/>
          <w:szCs w:val="24"/>
          <w:lang w:val="en-GB"/>
        </w:rPr>
      </w:pPr>
      <w:r w:rsidRPr="009D09DF">
        <w:rPr>
          <w:rFonts w:cs="Times New Roman"/>
          <w:i/>
          <w:szCs w:val="24"/>
          <w:lang w:val="en-GB"/>
        </w:rPr>
        <w:t>Note</w:t>
      </w:r>
      <w:r>
        <w:rPr>
          <w:rFonts w:cs="Times New Roman"/>
          <w:szCs w:val="24"/>
          <w:lang w:val="en-GB"/>
        </w:rPr>
        <w:t xml:space="preserve">: </w:t>
      </w:r>
      <w:proofErr w:type="spellStart"/>
      <w:r w:rsidRPr="009D09DF">
        <w:rPr>
          <w:rFonts w:cs="Times New Roman"/>
          <w:szCs w:val="24"/>
          <w:vertAlign w:val="superscript"/>
          <w:lang w:val="en-GB"/>
        </w:rPr>
        <w:t>a</w:t>
      </w:r>
      <w:r>
        <w:rPr>
          <w:rFonts w:cs="Times New Roman"/>
          <w:szCs w:val="24"/>
          <w:lang w:val="en-GB"/>
        </w:rPr>
        <w:t>P</w:t>
      </w:r>
      <w:proofErr w:type="spellEnd"/>
      <w:r>
        <w:rPr>
          <w:rFonts w:cs="Times New Roman"/>
          <w:szCs w:val="24"/>
          <w:lang w:val="en-GB"/>
        </w:rPr>
        <w:t>-values are based on T-tests and χ</w:t>
      </w:r>
      <w:r w:rsidRPr="009D09DF">
        <w:rPr>
          <w:rFonts w:cs="Times New Roman"/>
          <w:szCs w:val="24"/>
          <w:vertAlign w:val="superscript"/>
          <w:lang w:val="en-GB"/>
        </w:rPr>
        <w:t>2</w:t>
      </w:r>
      <w:r>
        <w:rPr>
          <w:rFonts w:cs="Times New Roman"/>
          <w:szCs w:val="24"/>
          <w:lang w:val="en-GB"/>
        </w:rPr>
        <w:t xml:space="preserve">-tests for continuous and categorical variables, respectively. </w:t>
      </w:r>
    </w:p>
    <w:p w14:paraId="74E51178" w14:textId="7DE8E5D0" w:rsidR="00C94E69" w:rsidRDefault="00F655D7" w:rsidP="00F655D7">
      <w:pPr>
        <w:pStyle w:val="Heading2"/>
      </w:pPr>
      <w:r>
        <w:t>Treatment Prediction</w:t>
      </w:r>
    </w:p>
    <w:p w14:paraId="6AC54A2E" w14:textId="0DBEB49A" w:rsidR="00F655D7" w:rsidRDefault="007C1CE8" w:rsidP="00F655D7">
      <w:pPr>
        <w:rPr>
          <w:lang w:val="en-CA" w:eastAsia="en-CA"/>
        </w:rPr>
      </w:pPr>
      <w:r>
        <w:rPr>
          <w:lang w:val="en-CA" w:eastAsia="en-CA"/>
        </w:rPr>
        <w:t>T</w:t>
      </w:r>
      <w:r w:rsidR="00F655D7">
        <w:rPr>
          <w:lang w:val="en-CA" w:eastAsia="en-CA"/>
        </w:rPr>
        <w:t>bc</w:t>
      </w:r>
    </w:p>
    <w:p w14:paraId="682338AE" w14:textId="1F85505F" w:rsidR="00B36B4E" w:rsidRDefault="00F720DD" w:rsidP="00F655D7">
      <w:pPr>
        <w:rPr>
          <w:lang w:val="en-CA" w:eastAsia="en-CA"/>
        </w:rPr>
      </w:pPr>
      <w:r>
        <w:rPr>
          <w:noProof/>
          <w:lang w:val="en-CA" w:eastAsia="en-CA"/>
        </w:rPr>
        <w:lastRenderedPageBreak/>
        <w:drawing>
          <wp:inline distT="0" distB="0" distL="0" distR="0" wp14:anchorId="2CB45621" wp14:editId="3C979D96">
            <wp:extent cx="5966460" cy="3909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6460" cy="3909060"/>
                    </a:xfrm>
                    <a:prstGeom prst="rect">
                      <a:avLst/>
                    </a:prstGeom>
                    <a:noFill/>
                    <a:ln>
                      <a:noFill/>
                    </a:ln>
                  </pic:spPr>
                </pic:pic>
              </a:graphicData>
            </a:graphic>
          </wp:inline>
        </w:drawing>
      </w:r>
    </w:p>
    <w:p w14:paraId="6A417257" w14:textId="6BCC651F" w:rsidR="00F720DD" w:rsidRDefault="00F720DD" w:rsidP="00F655D7">
      <w:pPr>
        <w:rPr>
          <w:lang w:val="en-CA" w:eastAsia="en-CA"/>
        </w:rPr>
      </w:pPr>
    </w:p>
    <w:p w14:paraId="1B503739" w14:textId="77777777" w:rsidR="00F720DD" w:rsidRDefault="00F720DD" w:rsidP="00F655D7">
      <w:pPr>
        <w:rPr>
          <w:lang w:val="en-CA" w:eastAsia="en-CA"/>
        </w:rPr>
      </w:pPr>
    </w:p>
    <w:p w14:paraId="50C39751" w14:textId="4C366E86" w:rsidR="00B36B4E" w:rsidRDefault="00B36B4E" w:rsidP="00F655D7">
      <w:pPr>
        <w:rPr>
          <w:lang w:val="en-CA" w:eastAsia="en-CA"/>
        </w:rPr>
      </w:pPr>
      <w:r>
        <w:rPr>
          <w:lang w:val="en-CA" w:eastAsia="en-CA"/>
        </w:rPr>
        <w:t>Table 2: Treatment Prediction</w:t>
      </w:r>
    </w:p>
    <w:p w14:paraId="545FF7CA" w14:textId="77777777" w:rsidR="007C1CE8" w:rsidRPr="00F655D7" w:rsidRDefault="007C1CE8" w:rsidP="00F655D7">
      <w:pPr>
        <w:rPr>
          <w:lang w:val="en-CA" w:eastAsia="en-CA"/>
        </w:rPr>
      </w:pPr>
    </w:p>
    <w:p w14:paraId="3F1D56F2" w14:textId="77777777" w:rsidR="00F655D7" w:rsidRDefault="00F655D7" w:rsidP="00F655D7">
      <w:pPr>
        <w:rPr>
          <w:lang w:val="en-GB"/>
        </w:rPr>
      </w:pPr>
    </w:p>
    <w:p w14:paraId="7FFC90EE" w14:textId="77777777" w:rsidR="003D4F7E" w:rsidRDefault="003D4F7E" w:rsidP="003D4F7E">
      <w:pPr>
        <w:pStyle w:val="Heading2"/>
      </w:pPr>
      <w:r>
        <w:t>Content Validity Analyses</w:t>
      </w:r>
    </w:p>
    <w:p w14:paraId="55269A08" w14:textId="16546F8A" w:rsidR="003D4F7E" w:rsidRPr="00F655D7" w:rsidRDefault="003D4F7E" w:rsidP="00F655D7">
      <w:pPr>
        <w:rPr>
          <w:lang w:val="en-GB"/>
        </w:rPr>
        <w:sectPr w:rsidR="003D4F7E" w:rsidRPr="00F655D7">
          <w:pgSz w:w="12240" w:h="15840"/>
          <w:pgMar w:top="1417" w:right="1417" w:bottom="1134" w:left="1417" w:header="708" w:footer="708" w:gutter="0"/>
          <w:cols w:space="708"/>
          <w:docGrid w:linePitch="360"/>
        </w:sectPr>
      </w:pPr>
      <w:r>
        <w:rPr>
          <w:lang w:val="en-GB"/>
        </w:rPr>
        <w:t>as</w:t>
      </w:r>
    </w:p>
    <w:p w14:paraId="4D3E8844" w14:textId="549E3A12" w:rsidR="00FA6EAF" w:rsidRPr="006145CB" w:rsidRDefault="00FA6EAF" w:rsidP="00C937E7">
      <w:pPr>
        <w:pStyle w:val="Heading1"/>
        <w:rPr>
          <w:lang w:val="en-GB"/>
        </w:rPr>
      </w:pPr>
      <w:r>
        <w:rPr>
          <w:lang w:val="en-GB"/>
        </w:rPr>
        <w:lastRenderedPageBreak/>
        <w:t>Discussion</w:t>
      </w:r>
    </w:p>
    <w:p w14:paraId="72FE89C4" w14:textId="29396846" w:rsidR="00FA6EAF" w:rsidRDefault="009D00B5" w:rsidP="00FA6EAF">
      <w:pPr>
        <w:rPr>
          <w:rFonts w:cs="Times New Roman"/>
          <w:szCs w:val="24"/>
          <w:lang w:val="en-GB"/>
        </w:rPr>
      </w:pPr>
      <w:r>
        <w:rPr>
          <w:rFonts w:cs="Times New Roman"/>
          <w:szCs w:val="24"/>
          <w:lang w:val="en-GB"/>
        </w:rPr>
        <w:t>T</w:t>
      </w:r>
      <w:r w:rsidR="00656490">
        <w:rPr>
          <w:rFonts w:cs="Times New Roman"/>
          <w:szCs w:val="24"/>
          <w:lang w:val="en-GB"/>
        </w:rPr>
        <w:t>bc</w:t>
      </w:r>
    </w:p>
    <w:p w14:paraId="34C493ED" w14:textId="692D9027" w:rsidR="003E0B47" w:rsidRDefault="003E0B47" w:rsidP="00FA6EAF">
      <w:pPr>
        <w:rPr>
          <w:rFonts w:cs="Times New Roman"/>
          <w:szCs w:val="24"/>
          <w:lang w:val="en-GB"/>
        </w:rPr>
      </w:pPr>
    </w:p>
    <w:p w14:paraId="5C0B88E1" w14:textId="77777777" w:rsidR="00902B11" w:rsidRDefault="00902B11" w:rsidP="00FA6EAF">
      <w:pPr>
        <w:rPr>
          <w:rFonts w:cs="Times New Roman"/>
          <w:szCs w:val="24"/>
          <w:lang w:val="en-GB"/>
        </w:rPr>
      </w:pPr>
    </w:p>
    <w:p w14:paraId="6F4EFC63" w14:textId="2C1A408E" w:rsidR="00DF1571" w:rsidRPr="006145CB" w:rsidRDefault="00DF1571" w:rsidP="00C937E7">
      <w:pPr>
        <w:pStyle w:val="Heading2"/>
      </w:pPr>
      <w:r>
        <w:t>Conclusion</w:t>
      </w:r>
    </w:p>
    <w:p w14:paraId="443547A5" w14:textId="77777777" w:rsidR="00DF1571" w:rsidRDefault="00DF1571" w:rsidP="00DF1571">
      <w:pPr>
        <w:rPr>
          <w:rFonts w:cs="Times New Roman"/>
          <w:szCs w:val="24"/>
          <w:lang w:val="en-GB"/>
        </w:rPr>
      </w:pPr>
      <w:r>
        <w:rPr>
          <w:rFonts w:cs="Times New Roman"/>
          <w:szCs w:val="24"/>
          <w:lang w:val="en-GB"/>
        </w:rPr>
        <w:t>Tbc</w:t>
      </w:r>
    </w:p>
    <w:p w14:paraId="28E8353C" w14:textId="77777777" w:rsidR="00DF1571" w:rsidRPr="006145CB" w:rsidRDefault="00DF1571" w:rsidP="00FA6EAF">
      <w:pPr>
        <w:rPr>
          <w:rFonts w:cs="Times New Roman"/>
          <w:szCs w:val="24"/>
          <w:lang w:val="en-GB"/>
        </w:rPr>
      </w:pPr>
    </w:p>
    <w:p w14:paraId="7C686D85" w14:textId="77777777" w:rsidR="00FA6EAF" w:rsidRPr="006145CB" w:rsidRDefault="00FA6EAF" w:rsidP="00FA6EAF">
      <w:pPr>
        <w:rPr>
          <w:rFonts w:cs="Times New Roman"/>
          <w:szCs w:val="24"/>
          <w:lang w:val="en-GB"/>
        </w:rPr>
      </w:pPr>
    </w:p>
    <w:p w14:paraId="4D3413D2" w14:textId="77777777" w:rsidR="00FA6EAF" w:rsidRDefault="00FA6EAF" w:rsidP="005145B6">
      <w:pPr>
        <w:rPr>
          <w:rFonts w:cs="Times New Roman"/>
          <w:b/>
          <w:szCs w:val="24"/>
          <w:lang w:val="en-GB"/>
        </w:rPr>
      </w:pPr>
    </w:p>
    <w:p w14:paraId="797A5379" w14:textId="77777777" w:rsidR="00FA6EAF" w:rsidRDefault="00FA6EAF" w:rsidP="005145B6">
      <w:pPr>
        <w:rPr>
          <w:rFonts w:cs="Times New Roman"/>
          <w:b/>
          <w:szCs w:val="24"/>
          <w:lang w:val="en-GB"/>
        </w:rPr>
        <w:sectPr w:rsidR="00FA6EAF">
          <w:pgSz w:w="12240" w:h="15840"/>
          <w:pgMar w:top="1417" w:right="1417" w:bottom="1134" w:left="1417" w:header="708" w:footer="708" w:gutter="0"/>
          <w:cols w:space="708"/>
          <w:docGrid w:linePitch="360"/>
        </w:sectPr>
      </w:pPr>
    </w:p>
    <w:p w14:paraId="478163A1" w14:textId="12AC5D0C" w:rsidR="005145B6" w:rsidRPr="006145CB" w:rsidRDefault="005145B6" w:rsidP="00E96A8D">
      <w:pPr>
        <w:pStyle w:val="Heading1"/>
        <w:rPr>
          <w:lang w:val="en-GB"/>
        </w:rPr>
      </w:pPr>
      <w:r>
        <w:rPr>
          <w:lang w:val="en-GB"/>
        </w:rPr>
        <w:lastRenderedPageBreak/>
        <w:t>Competing interests</w:t>
      </w:r>
    </w:p>
    <w:p w14:paraId="49D7ED6E" w14:textId="127207C0" w:rsidR="005145B6" w:rsidRPr="006145CB" w:rsidRDefault="00C937E7" w:rsidP="00DE55B4">
      <w:pPr>
        <w:rPr>
          <w:rFonts w:cs="Times New Roman"/>
          <w:szCs w:val="24"/>
          <w:lang w:val="en-GB"/>
        </w:rPr>
      </w:pPr>
      <w:r>
        <w:rPr>
          <w:rFonts w:cs="Times New Roman"/>
          <w:szCs w:val="24"/>
          <w:lang w:val="en-GB"/>
        </w:rPr>
        <w:t>The authors do not have any competing interests</w:t>
      </w:r>
      <w:r w:rsidR="005963F6">
        <w:rPr>
          <w:rFonts w:cs="Times New Roman"/>
          <w:szCs w:val="24"/>
          <w:lang w:val="en-GB"/>
        </w:rPr>
        <w:t>.</w:t>
      </w:r>
    </w:p>
    <w:p w14:paraId="5D25CADE" w14:textId="678373C7" w:rsidR="005145B6" w:rsidRPr="006145CB" w:rsidRDefault="005145B6" w:rsidP="00E96A8D">
      <w:pPr>
        <w:pStyle w:val="Heading1"/>
        <w:rPr>
          <w:lang w:val="en-GB"/>
        </w:rPr>
      </w:pPr>
      <w:r>
        <w:rPr>
          <w:lang w:val="en-GB"/>
        </w:rPr>
        <w:t>Funding</w:t>
      </w:r>
    </w:p>
    <w:p w14:paraId="14FA8C3D" w14:textId="127FD987" w:rsidR="000A5D76" w:rsidRPr="00E33811" w:rsidRDefault="005963F6" w:rsidP="00BE666C">
      <w:pPr>
        <w:rPr>
          <w:rFonts w:cs="Times New Roman"/>
          <w:szCs w:val="24"/>
          <w:lang w:val="en-GB"/>
        </w:rPr>
      </w:pPr>
      <w:r w:rsidRPr="005963F6">
        <w:rPr>
          <w:rFonts w:cs="Times New Roman"/>
          <w:szCs w:val="24"/>
          <w:lang w:val="en-GB"/>
        </w:rPr>
        <w:t xml:space="preserve">This study is funded by the Max Planck Institute of Psychiatry. </w:t>
      </w:r>
      <w:r>
        <w:rPr>
          <w:rFonts w:cs="Times New Roman"/>
          <w:szCs w:val="24"/>
          <w:lang w:val="en-GB"/>
        </w:rPr>
        <w:t>NK</w:t>
      </w:r>
      <w:r w:rsidRPr="005963F6">
        <w:rPr>
          <w:rFonts w:cs="Times New Roman"/>
          <w:szCs w:val="24"/>
          <w:lang w:val="en-GB"/>
        </w:rPr>
        <w:t xml:space="preserve"> </w:t>
      </w:r>
      <w:r w:rsidR="00A46886">
        <w:rPr>
          <w:rFonts w:cs="Times New Roman"/>
          <w:szCs w:val="24"/>
          <w:lang w:val="en-GB"/>
        </w:rPr>
        <w:t>is</w:t>
      </w:r>
      <w:r w:rsidRPr="005963F6">
        <w:rPr>
          <w:rFonts w:cs="Times New Roman"/>
          <w:szCs w:val="24"/>
          <w:lang w:val="en-GB"/>
        </w:rPr>
        <w:t xml:space="preserve"> supported by the International Max Planck Research School of Translational Psychiatry (IMPRS-TP). </w:t>
      </w:r>
      <w:r w:rsidR="003D1602">
        <w:rPr>
          <w:rFonts w:cs="Times New Roman"/>
          <w:szCs w:val="24"/>
          <w:lang w:val="en-GB"/>
        </w:rPr>
        <w:t xml:space="preserve">GMK </w:t>
      </w:r>
      <w:r w:rsidRPr="005963F6">
        <w:rPr>
          <w:rFonts w:cs="Times New Roman"/>
          <w:szCs w:val="24"/>
          <w:lang w:val="en-GB"/>
        </w:rPr>
        <w:t xml:space="preserve">acknowledges funding support from the </w:t>
      </w:r>
      <w:proofErr w:type="spellStart"/>
      <w:r w:rsidRPr="005963F6">
        <w:rPr>
          <w:rFonts w:cs="Times New Roman"/>
          <w:szCs w:val="24"/>
          <w:lang w:val="en-GB"/>
        </w:rPr>
        <w:t>Wellcome</w:t>
      </w:r>
      <w:proofErr w:type="spellEnd"/>
      <w:r w:rsidRPr="005963F6">
        <w:rPr>
          <w:rFonts w:cs="Times New Roman"/>
          <w:szCs w:val="24"/>
          <w:lang w:val="en-GB"/>
        </w:rPr>
        <w:t xml:space="preserve"> Trust (grant code: 201486/Z/16/Z), the MQ: Transforming Mental Health (grant code: MQDS17/40), the Medical Research Council, UK (grant code: MC_PC_17213 and grant code: MR/S037675/1), and the BMA Foundation (J Moulton grant 2019).</w:t>
      </w:r>
    </w:p>
    <w:p w14:paraId="324D3597" w14:textId="34071488" w:rsidR="005145B6" w:rsidRPr="006145CB" w:rsidRDefault="005145B6" w:rsidP="00E96A8D">
      <w:pPr>
        <w:pStyle w:val="Heading1"/>
        <w:rPr>
          <w:lang w:val="en-GB"/>
        </w:rPr>
      </w:pPr>
      <w:r>
        <w:rPr>
          <w:lang w:val="en-GB"/>
        </w:rPr>
        <w:t>Authors’ contributions</w:t>
      </w:r>
    </w:p>
    <w:p w14:paraId="6AE2CE3C" w14:textId="77777777" w:rsidR="000A5D76" w:rsidRPr="006145CB" w:rsidRDefault="000A5D76" w:rsidP="000A5D76">
      <w:pPr>
        <w:rPr>
          <w:rFonts w:cs="Times New Roman"/>
          <w:szCs w:val="24"/>
          <w:lang w:val="en-GB"/>
        </w:rPr>
      </w:pPr>
      <w:r>
        <w:rPr>
          <w:rFonts w:cs="Times New Roman"/>
          <w:szCs w:val="24"/>
          <w:lang w:val="en-GB"/>
        </w:rPr>
        <w:t>tbc</w:t>
      </w:r>
    </w:p>
    <w:p w14:paraId="184FC05C" w14:textId="1B0234FB" w:rsidR="00976539" w:rsidRPr="006145CB" w:rsidRDefault="00976539" w:rsidP="00E96A8D">
      <w:pPr>
        <w:pStyle w:val="Heading1"/>
        <w:rPr>
          <w:lang w:val="en-GB"/>
        </w:rPr>
      </w:pPr>
      <w:r>
        <w:rPr>
          <w:lang w:val="en-GB"/>
        </w:rPr>
        <w:t>Acknowledgements</w:t>
      </w:r>
    </w:p>
    <w:p w14:paraId="4D152EDF" w14:textId="66DFE9E1" w:rsidR="00F9369D" w:rsidRPr="00F9369D" w:rsidRDefault="00BE666C" w:rsidP="009A1D40">
      <w:pPr>
        <w:rPr>
          <w:rFonts w:cs="Times New Roman"/>
          <w:szCs w:val="24"/>
          <w:lang w:val="en-GB"/>
        </w:rPr>
        <w:sectPr w:rsidR="00F9369D" w:rsidRPr="00F9369D">
          <w:pgSz w:w="12240" w:h="15840"/>
          <w:pgMar w:top="1417" w:right="1417" w:bottom="1134" w:left="1417" w:header="708" w:footer="708" w:gutter="0"/>
          <w:cols w:space="708"/>
          <w:docGrid w:linePitch="360"/>
        </w:sectPr>
      </w:pPr>
      <w:r>
        <w:rPr>
          <w:rFonts w:cs="Times New Roman"/>
          <w:szCs w:val="24"/>
          <w:lang w:val="en-GB"/>
        </w:rPr>
        <w:t>tbc</w:t>
      </w:r>
    </w:p>
    <w:p w14:paraId="21140263" w14:textId="41B4C61D" w:rsidR="009A1D40" w:rsidRPr="006145CB" w:rsidRDefault="009A1D40" w:rsidP="00E96A8D">
      <w:pPr>
        <w:pStyle w:val="Heading1"/>
        <w:rPr>
          <w:lang w:val="en-GB"/>
        </w:rPr>
      </w:pPr>
      <w:r w:rsidRPr="006145CB">
        <w:rPr>
          <w:lang w:val="en-GB"/>
        </w:rPr>
        <w:lastRenderedPageBreak/>
        <w:t>References</w:t>
      </w:r>
    </w:p>
    <w:p w14:paraId="0DAEA894" w14:textId="56408988" w:rsidR="007B75D2" w:rsidRPr="007B75D2" w:rsidRDefault="006B6FB0" w:rsidP="007B75D2">
      <w:pPr>
        <w:widowControl w:val="0"/>
        <w:autoSpaceDE w:val="0"/>
        <w:autoSpaceDN w:val="0"/>
        <w:adjustRightInd w:val="0"/>
        <w:ind w:left="480" w:hanging="480"/>
        <w:rPr>
          <w:rFonts w:cs="Times New Roman"/>
          <w:noProof/>
          <w:szCs w:val="24"/>
        </w:rPr>
      </w:pPr>
      <w:r w:rsidRPr="006145CB">
        <w:rPr>
          <w:rFonts w:cs="Times New Roman"/>
          <w:b/>
          <w:szCs w:val="24"/>
          <w:lang w:val="en-GB"/>
        </w:rPr>
        <w:fldChar w:fldCharType="begin" w:fldLock="1"/>
      </w:r>
      <w:r w:rsidRPr="006145CB">
        <w:rPr>
          <w:rFonts w:cs="Times New Roman"/>
          <w:b/>
          <w:szCs w:val="24"/>
          <w:lang w:val="en-GB"/>
        </w:rPr>
        <w:instrText xml:space="preserve">ADDIN Mendeley Bibliography CSL_BIBLIOGRAPHY </w:instrText>
      </w:r>
      <w:r w:rsidRPr="006145CB">
        <w:rPr>
          <w:rFonts w:cs="Times New Roman"/>
          <w:b/>
          <w:szCs w:val="24"/>
          <w:lang w:val="en-GB"/>
        </w:rPr>
        <w:fldChar w:fldCharType="separate"/>
      </w:r>
      <w:r w:rsidR="007B75D2" w:rsidRPr="007B75D2">
        <w:rPr>
          <w:rFonts w:cs="Times New Roman"/>
          <w:noProof/>
          <w:szCs w:val="24"/>
        </w:rPr>
        <w:t>Brückl, T.M., Spoormaker, V.I., Sämann, P.G., Brem, A., Henco, L., Czamara, D., Elbau, I., Grandi, N.C., Jollans, L., Kühnel, A., Leuchs, L., Pöhlchen, D., Schneider, M., Tontsch, A., Keck, M.E., Schilbach, L., Czisch, M., Lucae, S., Erhardt, A., Binder, E.B., 2020. The biological classification of mental disorders (BeCOME) study: a protocol for an observational deep-phenotyping study for the identification of biological subtypes. BMC Psychiatry 1–25. https://doi.org/10.1186/s12888-020-02541-z</w:t>
      </w:r>
    </w:p>
    <w:p w14:paraId="0085DC35" w14:textId="77777777" w:rsidR="007B75D2" w:rsidRPr="007B75D2" w:rsidRDefault="007B75D2" w:rsidP="007B75D2">
      <w:pPr>
        <w:widowControl w:val="0"/>
        <w:autoSpaceDE w:val="0"/>
        <w:autoSpaceDN w:val="0"/>
        <w:adjustRightInd w:val="0"/>
        <w:ind w:left="480" w:hanging="480"/>
        <w:rPr>
          <w:rFonts w:cs="Times New Roman"/>
          <w:noProof/>
          <w:szCs w:val="24"/>
        </w:rPr>
      </w:pPr>
      <w:r w:rsidRPr="007B75D2">
        <w:rPr>
          <w:rFonts w:cs="Times New Roman"/>
          <w:noProof/>
          <w:szCs w:val="24"/>
        </w:rPr>
        <w:t>Chekroud, A.M., Zotti, R.J., Shehzad, Z., Gueorguieva, R., Johnson, M.K., Trivedi, M.H., Cannon, T.D., Krystal, J.H., Corlett, P.R., 2016. Cross-trial prediction of treatment outcome in depression: a machine learning approach. The Lancet Psychiatry 3, 243–250. https://doi.org/10.1016/S2215-0366(15)00471-X</w:t>
      </w:r>
    </w:p>
    <w:p w14:paraId="2A5D97B3" w14:textId="77777777" w:rsidR="007B75D2" w:rsidRPr="007B75D2" w:rsidRDefault="007B75D2" w:rsidP="007B75D2">
      <w:pPr>
        <w:widowControl w:val="0"/>
        <w:autoSpaceDE w:val="0"/>
        <w:autoSpaceDN w:val="0"/>
        <w:adjustRightInd w:val="0"/>
        <w:ind w:left="480" w:hanging="480"/>
        <w:rPr>
          <w:rFonts w:cs="Times New Roman"/>
          <w:noProof/>
          <w:szCs w:val="24"/>
        </w:rPr>
      </w:pPr>
      <w:r w:rsidRPr="007B75D2">
        <w:rPr>
          <w:rFonts w:cs="Times New Roman"/>
          <w:noProof/>
          <w:szCs w:val="24"/>
        </w:rPr>
        <w:t>Cohen, Z.D., Kim, T.T., Van, H.L., Dekker, J.J.M., Driessen, E., 2020. A demonstration of a multi-method variable selection approach for treatment selection: Recommending cognitive–behavioral versus psychodynamic therapy for mild to moderate adult depression. Psychother. Res. 30, 137–150. https://doi.org/10.1080/10503307.2018.1563312</w:t>
      </w:r>
    </w:p>
    <w:p w14:paraId="63917B94" w14:textId="77777777" w:rsidR="007B75D2" w:rsidRPr="007B75D2" w:rsidRDefault="007B75D2" w:rsidP="007B75D2">
      <w:pPr>
        <w:widowControl w:val="0"/>
        <w:autoSpaceDE w:val="0"/>
        <w:autoSpaceDN w:val="0"/>
        <w:adjustRightInd w:val="0"/>
        <w:ind w:left="480" w:hanging="480"/>
        <w:rPr>
          <w:rFonts w:cs="Times New Roman"/>
          <w:noProof/>
          <w:szCs w:val="24"/>
        </w:rPr>
      </w:pPr>
      <w:r w:rsidRPr="007B75D2">
        <w:rPr>
          <w:rFonts w:cs="Times New Roman"/>
          <w:noProof/>
          <w:szCs w:val="24"/>
        </w:rPr>
        <w:t>Dantzer, R., O’Connor, J.C., Freund, G.G., Johnson, R.W., Kelley, K.W., 2008. From inflammation to sickness and depression: when the immune system subjugates the brain. Nat. Rev. Neurosci. 9, 46–56. https://doi.org/10.1038/nrn2297</w:t>
      </w:r>
    </w:p>
    <w:p w14:paraId="5F3EC208" w14:textId="77777777" w:rsidR="007B75D2" w:rsidRPr="007B75D2" w:rsidRDefault="007B75D2" w:rsidP="007B75D2">
      <w:pPr>
        <w:widowControl w:val="0"/>
        <w:autoSpaceDE w:val="0"/>
        <w:autoSpaceDN w:val="0"/>
        <w:adjustRightInd w:val="0"/>
        <w:ind w:left="480" w:hanging="480"/>
        <w:rPr>
          <w:rFonts w:cs="Times New Roman"/>
          <w:noProof/>
          <w:szCs w:val="24"/>
        </w:rPr>
      </w:pPr>
      <w:r w:rsidRPr="007B75D2">
        <w:rPr>
          <w:rFonts w:cs="Times New Roman"/>
          <w:noProof/>
          <w:szCs w:val="24"/>
        </w:rPr>
        <w:t>Engebretsen, S., Bohlin, J., 2019. Statistical predictions with glmnet. Clin. Epigenetics 11, 123. https://doi.org/10.1186/s13148-019-0730-1</w:t>
      </w:r>
    </w:p>
    <w:p w14:paraId="05A6863A" w14:textId="77777777" w:rsidR="007B75D2" w:rsidRPr="007B75D2" w:rsidRDefault="007B75D2" w:rsidP="007B75D2">
      <w:pPr>
        <w:widowControl w:val="0"/>
        <w:autoSpaceDE w:val="0"/>
        <w:autoSpaceDN w:val="0"/>
        <w:adjustRightInd w:val="0"/>
        <w:ind w:left="480" w:hanging="480"/>
        <w:rPr>
          <w:rFonts w:cs="Times New Roman"/>
          <w:noProof/>
          <w:szCs w:val="24"/>
        </w:rPr>
      </w:pPr>
      <w:r w:rsidRPr="007B75D2">
        <w:rPr>
          <w:rFonts w:cs="Times New Roman"/>
          <w:noProof/>
          <w:szCs w:val="24"/>
        </w:rPr>
        <w:t xml:space="preserve">Gadad, B.S., Jha, M.K., Grannemann, B.D., Mayes, T.L., Trivedi, M.H., 2017. Proteomics profiling reveals inflammatory biomarkers of antidepressant treatment response: Findings </w:t>
      </w:r>
      <w:r w:rsidRPr="007B75D2">
        <w:rPr>
          <w:rFonts w:cs="Times New Roman"/>
          <w:noProof/>
          <w:szCs w:val="24"/>
        </w:rPr>
        <w:lastRenderedPageBreak/>
        <w:t>from the CO-MED trial. J. Psychiatr. Res. 94, 1–6. https://doi.org/10.1016/j.jpsychires.2017.05.012</w:t>
      </w:r>
    </w:p>
    <w:p w14:paraId="6077FFF6" w14:textId="77777777" w:rsidR="007B75D2" w:rsidRPr="007B75D2" w:rsidRDefault="007B75D2" w:rsidP="007B75D2">
      <w:pPr>
        <w:widowControl w:val="0"/>
        <w:autoSpaceDE w:val="0"/>
        <w:autoSpaceDN w:val="0"/>
        <w:adjustRightInd w:val="0"/>
        <w:ind w:left="480" w:hanging="480"/>
        <w:rPr>
          <w:rFonts w:cs="Times New Roman"/>
          <w:noProof/>
          <w:szCs w:val="24"/>
        </w:rPr>
      </w:pPr>
      <w:r w:rsidRPr="007B75D2">
        <w:rPr>
          <w:rFonts w:cs="Times New Roman"/>
          <w:noProof/>
          <w:szCs w:val="24"/>
        </w:rPr>
        <w:t>Hannestad, J., DellaGioia, N., Bloch, M., 2011. The effect of antidepressant medication treatment on serum levels of inflammatory cytokines: a meta-analysis. Neuropsychopharmacology 36, 2452–2459. https://doi.org/10.1038/npp.2011.132</w:t>
      </w:r>
    </w:p>
    <w:p w14:paraId="76A3769A" w14:textId="77777777" w:rsidR="007B75D2" w:rsidRPr="007B75D2" w:rsidRDefault="007B75D2" w:rsidP="007B75D2">
      <w:pPr>
        <w:widowControl w:val="0"/>
        <w:autoSpaceDE w:val="0"/>
        <w:autoSpaceDN w:val="0"/>
        <w:adjustRightInd w:val="0"/>
        <w:ind w:left="480" w:hanging="480"/>
        <w:rPr>
          <w:rFonts w:cs="Times New Roman"/>
          <w:noProof/>
          <w:szCs w:val="24"/>
        </w:rPr>
      </w:pPr>
      <w:r w:rsidRPr="007B75D2">
        <w:rPr>
          <w:rFonts w:cs="Times New Roman"/>
          <w:noProof/>
          <w:szCs w:val="24"/>
        </w:rPr>
        <w:t>Kuhn, M., 2008. Building Predictive Models in R Using the caret Package. J. Stat. Softw. 28. https://doi.org/10.18637/jss.v028.i05</w:t>
      </w:r>
    </w:p>
    <w:p w14:paraId="7809E3E8" w14:textId="77777777" w:rsidR="007B75D2" w:rsidRPr="007B75D2" w:rsidRDefault="007B75D2" w:rsidP="007B75D2">
      <w:pPr>
        <w:widowControl w:val="0"/>
        <w:autoSpaceDE w:val="0"/>
        <w:autoSpaceDN w:val="0"/>
        <w:adjustRightInd w:val="0"/>
        <w:ind w:left="480" w:hanging="480"/>
        <w:rPr>
          <w:rFonts w:cs="Times New Roman"/>
          <w:noProof/>
          <w:szCs w:val="24"/>
        </w:rPr>
      </w:pPr>
      <w:r w:rsidRPr="007B75D2">
        <w:rPr>
          <w:rFonts w:cs="Times New Roman"/>
          <w:noProof/>
          <w:szCs w:val="24"/>
        </w:rPr>
        <w:t>Liu, J.J., Wei, Y. Bin, Strawbridge, R., Bao, Y., Chang, S., Shi, L., Que, J., Gadad, B.S., Trivedi, M.H., Kelsoe, J.R., Lu, L., 2020. Peripheral cytokine levels and response to antidepressant treatment in depression: a systematic review and meta-analysis. Mol. Psychiatry 25, 339–350. https://doi.org/10.1038/s41380-019-0474-5</w:t>
      </w:r>
    </w:p>
    <w:p w14:paraId="2E794620" w14:textId="77777777" w:rsidR="007B75D2" w:rsidRPr="007B75D2" w:rsidRDefault="007B75D2" w:rsidP="007B75D2">
      <w:pPr>
        <w:widowControl w:val="0"/>
        <w:autoSpaceDE w:val="0"/>
        <w:autoSpaceDN w:val="0"/>
        <w:adjustRightInd w:val="0"/>
        <w:ind w:left="480" w:hanging="480"/>
        <w:rPr>
          <w:rFonts w:cs="Times New Roman"/>
          <w:noProof/>
          <w:szCs w:val="24"/>
        </w:rPr>
      </w:pPr>
      <w:r w:rsidRPr="007B75D2">
        <w:rPr>
          <w:rFonts w:cs="Times New Roman"/>
          <w:noProof/>
          <w:szCs w:val="24"/>
        </w:rPr>
        <w:t>Lynall, M.-E., Turner, L., Bhatti, J., Cavanagh, J., de Boer, P., Mondelli, V., Jones, D., Drevets, W.C., Cowen, P., Harrison, N.A., Pariante, C.M., Pointon, L., Clatworthy, M.R., Bullmore, E., 2020. Peripheral Blood Cell–Stratified Subgroups of Inflamed Depression. Biol. Psychiatry 88, 185–196. https://doi.org/10.1016/j.biopsych.2019.11.017</w:t>
      </w:r>
    </w:p>
    <w:p w14:paraId="7D84036D" w14:textId="77777777" w:rsidR="007B75D2" w:rsidRPr="007B75D2" w:rsidRDefault="007B75D2" w:rsidP="007B75D2">
      <w:pPr>
        <w:widowControl w:val="0"/>
        <w:autoSpaceDE w:val="0"/>
        <w:autoSpaceDN w:val="0"/>
        <w:adjustRightInd w:val="0"/>
        <w:ind w:left="480" w:hanging="480"/>
        <w:rPr>
          <w:rFonts w:cs="Times New Roman"/>
          <w:noProof/>
          <w:szCs w:val="24"/>
        </w:rPr>
      </w:pPr>
      <w:r w:rsidRPr="007B75D2">
        <w:rPr>
          <w:rFonts w:cs="Times New Roman"/>
          <w:noProof/>
          <w:szCs w:val="24"/>
        </w:rPr>
        <w:t>R Core Team, 2017. R: A language and environment for statistical computing.</w:t>
      </w:r>
    </w:p>
    <w:p w14:paraId="4C846994" w14:textId="77777777" w:rsidR="007B75D2" w:rsidRPr="007B75D2" w:rsidRDefault="007B75D2" w:rsidP="007B75D2">
      <w:pPr>
        <w:widowControl w:val="0"/>
        <w:autoSpaceDE w:val="0"/>
        <w:autoSpaceDN w:val="0"/>
        <w:adjustRightInd w:val="0"/>
        <w:ind w:left="480" w:hanging="480"/>
        <w:rPr>
          <w:rFonts w:cs="Times New Roman"/>
          <w:noProof/>
        </w:rPr>
      </w:pPr>
      <w:r w:rsidRPr="007B75D2">
        <w:rPr>
          <w:rFonts w:cs="Times New Roman"/>
          <w:noProof/>
          <w:szCs w:val="24"/>
        </w:rPr>
        <w:t>Strawbridge, R., Arnone, D., Danese, A., Papadopoulos, A., Herane Vives, A., Cleare, A.J., 2015. Inflammation and clinical response to treatment in depression: A meta-analysis. Eur. Neuropsychopharmacol. 25, 1532–1543. https://doi.org/10.1016/j.euroneuro.2015.06.007</w:t>
      </w:r>
    </w:p>
    <w:p w14:paraId="57F36C62" w14:textId="40A8A075" w:rsidR="00693D5C" w:rsidRPr="006145CB" w:rsidRDefault="006B6FB0" w:rsidP="002B438A">
      <w:pPr>
        <w:rPr>
          <w:rFonts w:cs="Times New Roman"/>
          <w:szCs w:val="24"/>
          <w:lang w:val="en-GB"/>
        </w:rPr>
      </w:pPr>
      <w:r w:rsidRPr="006145CB">
        <w:rPr>
          <w:rFonts w:cs="Times New Roman"/>
          <w:b/>
          <w:szCs w:val="24"/>
          <w:lang w:val="en-GB"/>
        </w:rPr>
        <w:fldChar w:fldCharType="end"/>
      </w:r>
    </w:p>
    <w:sectPr w:rsidR="00693D5C" w:rsidRPr="006145CB">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28EB73" w14:textId="77777777" w:rsidR="00B62254" w:rsidRDefault="00B62254" w:rsidP="00B14F11">
      <w:pPr>
        <w:spacing w:after="0" w:line="240" w:lineRule="auto"/>
      </w:pPr>
      <w:r>
        <w:separator/>
      </w:r>
    </w:p>
  </w:endnote>
  <w:endnote w:type="continuationSeparator" w:id="0">
    <w:p w14:paraId="57BA002F" w14:textId="77777777" w:rsidR="00B62254" w:rsidRDefault="00B62254" w:rsidP="00B14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453865210"/>
      <w:docPartObj>
        <w:docPartGallery w:val="Page Numbers (Bottom of Page)"/>
        <w:docPartUnique/>
      </w:docPartObj>
    </w:sdtPr>
    <w:sdtEndPr/>
    <w:sdtContent>
      <w:p w14:paraId="79BB636C" w14:textId="6D3C2373" w:rsidR="00CD7A6A" w:rsidRPr="00595A6D" w:rsidRDefault="00CD7A6A">
        <w:pPr>
          <w:pStyle w:val="Footer"/>
          <w:jc w:val="center"/>
          <w:rPr>
            <w:rFonts w:cs="Times New Roman"/>
          </w:rPr>
        </w:pPr>
        <w:r w:rsidRPr="00595A6D">
          <w:rPr>
            <w:rFonts w:cs="Times New Roman"/>
          </w:rPr>
          <w:fldChar w:fldCharType="begin"/>
        </w:r>
        <w:r w:rsidRPr="00595A6D">
          <w:rPr>
            <w:rFonts w:cs="Times New Roman"/>
          </w:rPr>
          <w:instrText>PAGE   \* MERGEFORMAT</w:instrText>
        </w:r>
        <w:r w:rsidRPr="00595A6D">
          <w:rPr>
            <w:rFonts w:cs="Times New Roman"/>
          </w:rPr>
          <w:fldChar w:fldCharType="separate"/>
        </w:r>
        <w:r>
          <w:rPr>
            <w:rFonts w:cs="Times New Roman"/>
            <w:noProof/>
          </w:rPr>
          <w:t>2</w:t>
        </w:r>
        <w:r w:rsidRPr="00595A6D">
          <w:rPr>
            <w:rFonts w:cs="Times New Roman"/>
          </w:rPr>
          <w:fldChar w:fldCharType="end"/>
        </w:r>
      </w:p>
    </w:sdtContent>
  </w:sdt>
  <w:p w14:paraId="24E2192D" w14:textId="77777777" w:rsidR="00CD7A6A" w:rsidRDefault="00CD7A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4955147"/>
      <w:docPartObj>
        <w:docPartGallery w:val="Page Numbers (Bottom of Page)"/>
        <w:docPartUnique/>
      </w:docPartObj>
    </w:sdtPr>
    <w:sdtEndPr/>
    <w:sdtContent>
      <w:p w14:paraId="6D1F6F1A" w14:textId="77777777" w:rsidR="00CD7A6A" w:rsidRDefault="00CD7A6A">
        <w:pPr>
          <w:pStyle w:val="Footer"/>
          <w:jc w:val="center"/>
        </w:pPr>
        <w:r>
          <w:fldChar w:fldCharType="begin"/>
        </w:r>
        <w:r>
          <w:instrText>PAGE   \* MERGEFORMAT</w:instrText>
        </w:r>
        <w:r>
          <w:fldChar w:fldCharType="separate"/>
        </w:r>
        <w:r>
          <w:rPr>
            <w:noProof/>
          </w:rPr>
          <w:t>22</w:t>
        </w:r>
        <w:r>
          <w:fldChar w:fldCharType="end"/>
        </w:r>
      </w:p>
    </w:sdtContent>
  </w:sdt>
  <w:p w14:paraId="69F635A6" w14:textId="77777777" w:rsidR="00CD7A6A" w:rsidRDefault="00CD7A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7B47C1" w14:textId="77777777" w:rsidR="00B62254" w:rsidRDefault="00B62254" w:rsidP="00B14F11">
      <w:pPr>
        <w:spacing w:after="0" w:line="240" w:lineRule="auto"/>
      </w:pPr>
      <w:r>
        <w:separator/>
      </w:r>
    </w:p>
  </w:footnote>
  <w:footnote w:type="continuationSeparator" w:id="0">
    <w:p w14:paraId="35E37411" w14:textId="77777777" w:rsidR="00B62254" w:rsidRDefault="00B62254" w:rsidP="00B14F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F28F5"/>
    <w:multiLevelType w:val="hybridMultilevel"/>
    <w:tmpl w:val="05525C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08005C"/>
    <w:multiLevelType w:val="hybridMultilevel"/>
    <w:tmpl w:val="E564E134"/>
    <w:lvl w:ilvl="0" w:tplc="B28C4844">
      <w:start w:val="19"/>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225"/>
    <w:rsid w:val="00002E8D"/>
    <w:rsid w:val="00002F7B"/>
    <w:rsid w:val="0000317C"/>
    <w:rsid w:val="0000349B"/>
    <w:rsid w:val="00003F63"/>
    <w:rsid w:val="0000477F"/>
    <w:rsid w:val="00004A00"/>
    <w:rsid w:val="00005D08"/>
    <w:rsid w:val="00006461"/>
    <w:rsid w:val="00011BBC"/>
    <w:rsid w:val="00012107"/>
    <w:rsid w:val="00012A35"/>
    <w:rsid w:val="0001324A"/>
    <w:rsid w:val="00014151"/>
    <w:rsid w:val="00016AC1"/>
    <w:rsid w:val="00016F07"/>
    <w:rsid w:val="0001749E"/>
    <w:rsid w:val="00020299"/>
    <w:rsid w:val="00026B00"/>
    <w:rsid w:val="000337E9"/>
    <w:rsid w:val="00035CCC"/>
    <w:rsid w:val="0003710D"/>
    <w:rsid w:val="00040C78"/>
    <w:rsid w:val="00041943"/>
    <w:rsid w:val="00041C7C"/>
    <w:rsid w:val="000421BC"/>
    <w:rsid w:val="000436FA"/>
    <w:rsid w:val="00043BA1"/>
    <w:rsid w:val="00043D29"/>
    <w:rsid w:val="000454BA"/>
    <w:rsid w:val="00047F5B"/>
    <w:rsid w:val="00050117"/>
    <w:rsid w:val="000508E9"/>
    <w:rsid w:val="00052033"/>
    <w:rsid w:val="00054BE6"/>
    <w:rsid w:val="000566AC"/>
    <w:rsid w:val="000601D0"/>
    <w:rsid w:val="00061623"/>
    <w:rsid w:val="0006214E"/>
    <w:rsid w:val="00062655"/>
    <w:rsid w:val="00063C02"/>
    <w:rsid w:val="00064339"/>
    <w:rsid w:val="000645C0"/>
    <w:rsid w:val="00065760"/>
    <w:rsid w:val="00066142"/>
    <w:rsid w:val="00066823"/>
    <w:rsid w:val="00066D3A"/>
    <w:rsid w:val="000676DE"/>
    <w:rsid w:val="00067F6E"/>
    <w:rsid w:val="00071A64"/>
    <w:rsid w:val="00071B13"/>
    <w:rsid w:val="00072C84"/>
    <w:rsid w:val="00074000"/>
    <w:rsid w:val="00074080"/>
    <w:rsid w:val="000750C3"/>
    <w:rsid w:val="00076399"/>
    <w:rsid w:val="0007706E"/>
    <w:rsid w:val="000809D3"/>
    <w:rsid w:val="0008197D"/>
    <w:rsid w:val="00081E82"/>
    <w:rsid w:val="00081F71"/>
    <w:rsid w:val="0008285A"/>
    <w:rsid w:val="000835BA"/>
    <w:rsid w:val="00084D54"/>
    <w:rsid w:val="000854A5"/>
    <w:rsid w:val="00091D68"/>
    <w:rsid w:val="00092440"/>
    <w:rsid w:val="00092929"/>
    <w:rsid w:val="0009316C"/>
    <w:rsid w:val="000933DD"/>
    <w:rsid w:val="000937E1"/>
    <w:rsid w:val="00093865"/>
    <w:rsid w:val="00094A74"/>
    <w:rsid w:val="00095231"/>
    <w:rsid w:val="000A17E6"/>
    <w:rsid w:val="000A221D"/>
    <w:rsid w:val="000A2345"/>
    <w:rsid w:val="000A2698"/>
    <w:rsid w:val="000A2C8D"/>
    <w:rsid w:val="000A3813"/>
    <w:rsid w:val="000A39A6"/>
    <w:rsid w:val="000A5BF8"/>
    <w:rsid w:val="000A5D76"/>
    <w:rsid w:val="000A7469"/>
    <w:rsid w:val="000B2485"/>
    <w:rsid w:val="000B32E8"/>
    <w:rsid w:val="000B3460"/>
    <w:rsid w:val="000B3D20"/>
    <w:rsid w:val="000B3E38"/>
    <w:rsid w:val="000B49A6"/>
    <w:rsid w:val="000B4B79"/>
    <w:rsid w:val="000B4DA6"/>
    <w:rsid w:val="000C2233"/>
    <w:rsid w:val="000C2A68"/>
    <w:rsid w:val="000C2E6F"/>
    <w:rsid w:val="000C453B"/>
    <w:rsid w:val="000C5A59"/>
    <w:rsid w:val="000C66BA"/>
    <w:rsid w:val="000C6EBD"/>
    <w:rsid w:val="000C743B"/>
    <w:rsid w:val="000D0E49"/>
    <w:rsid w:val="000D1C7E"/>
    <w:rsid w:val="000D3DC5"/>
    <w:rsid w:val="000D4372"/>
    <w:rsid w:val="000D528E"/>
    <w:rsid w:val="000D5E0F"/>
    <w:rsid w:val="000D66A6"/>
    <w:rsid w:val="000E1338"/>
    <w:rsid w:val="000E42F2"/>
    <w:rsid w:val="000E55E2"/>
    <w:rsid w:val="000E5DCE"/>
    <w:rsid w:val="000E6288"/>
    <w:rsid w:val="000F13D0"/>
    <w:rsid w:val="000F29A2"/>
    <w:rsid w:val="000F2D4E"/>
    <w:rsid w:val="000F35E2"/>
    <w:rsid w:val="000F475D"/>
    <w:rsid w:val="000F493F"/>
    <w:rsid w:val="000F5475"/>
    <w:rsid w:val="000F6635"/>
    <w:rsid w:val="000F67E8"/>
    <w:rsid w:val="000F6E8F"/>
    <w:rsid w:val="000F7932"/>
    <w:rsid w:val="001005B5"/>
    <w:rsid w:val="00100707"/>
    <w:rsid w:val="00101ACC"/>
    <w:rsid w:val="00102E19"/>
    <w:rsid w:val="001037E6"/>
    <w:rsid w:val="001038A8"/>
    <w:rsid w:val="00103DDC"/>
    <w:rsid w:val="00104CA5"/>
    <w:rsid w:val="00105513"/>
    <w:rsid w:val="00105875"/>
    <w:rsid w:val="001061B3"/>
    <w:rsid w:val="00106549"/>
    <w:rsid w:val="001124BF"/>
    <w:rsid w:val="0011342E"/>
    <w:rsid w:val="00113985"/>
    <w:rsid w:val="00113A4C"/>
    <w:rsid w:val="001143FA"/>
    <w:rsid w:val="001150CE"/>
    <w:rsid w:val="00115137"/>
    <w:rsid w:val="00115728"/>
    <w:rsid w:val="00120011"/>
    <w:rsid w:val="001207DF"/>
    <w:rsid w:val="00121E37"/>
    <w:rsid w:val="001225A9"/>
    <w:rsid w:val="0012489B"/>
    <w:rsid w:val="001261A9"/>
    <w:rsid w:val="0013084A"/>
    <w:rsid w:val="00130A39"/>
    <w:rsid w:val="00131C78"/>
    <w:rsid w:val="0013250F"/>
    <w:rsid w:val="0013321A"/>
    <w:rsid w:val="00133655"/>
    <w:rsid w:val="00133836"/>
    <w:rsid w:val="001339D2"/>
    <w:rsid w:val="001355D6"/>
    <w:rsid w:val="00137A9A"/>
    <w:rsid w:val="001415A3"/>
    <w:rsid w:val="00142006"/>
    <w:rsid w:val="001436C3"/>
    <w:rsid w:val="00145336"/>
    <w:rsid w:val="00145C96"/>
    <w:rsid w:val="00145FA6"/>
    <w:rsid w:val="001467FB"/>
    <w:rsid w:val="0014712E"/>
    <w:rsid w:val="00147627"/>
    <w:rsid w:val="00147925"/>
    <w:rsid w:val="001509F7"/>
    <w:rsid w:val="00151851"/>
    <w:rsid w:val="001525D1"/>
    <w:rsid w:val="00152693"/>
    <w:rsid w:val="00152B4C"/>
    <w:rsid w:val="00152DE1"/>
    <w:rsid w:val="0015303E"/>
    <w:rsid w:val="00153FDF"/>
    <w:rsid w:val="001541F8"/>
    <w:rsid w:val="00154DA5"/>
    <w:rsid w:val="00156050"/>
    <w:rsid w:val="00156541"/>
    <w:rsid w:val="00157306"/>
    <w:rsid w:val="00160E31"/>
    <w:rsid w:val="00161BDE"/>
    <w:rsid w:val="00164A8A"/>
    <w:rsid w:val="00164ADF"/>
    <w:rsid w:val="00165B17"/>
    <w:rsid w:val="00167596"/>
    <w:rsid w:val="001705EF"/>
    <w:rsid w:val="00170946"/>
    <w:rsid w:val="00172C78"/>
    <w:rsid w:val="00173920"/>
    <w:rsid w:val="00174E37"/>
    <w:rsid w:val="00176504"/>
    <w:rsid w:val="001806D3"/>
    <w:rsid w:val="0018239C"/>
    <w:rsid w:val="00182755"/>
    <w:rsid w:val="00183187"/>
    <w:rsid w:val="00183689"/>
    <w:rsid w:val="00184C8E"/>
    <w:rsid w:val="001853C5"/>
    <w:rsid w:val="00186B88"/>
    <w:rsid w:val="0018729A"/>
    <w:rsid w:val="001902F1"/>
    <w:rsid w:val="001922D1"/>
    <w:rsid w:val="00193C38"/>
    <w:rsid w:val="00194F1F"/>
    <w:rsid w:val="00195072"/>
    <w:rsid w:val="0019578B"/>
    <w:rsid w:val="001957E8"/>
    <w:rsid w:val="00196BA5"/>
    <w:rsid w:val="001A45EE"/>
    <w:rsid w:val="001A4A8C"/>
    <w:rsid w:val="001A52E4"/>
    <w:rsid w:val="001A5424"/>
    <w:rsid w:val="001A640B"/>
    <w:rsid w:val="001A673E"/>
    <w:rsid w:val="001A7AF1"/>
    <w:rsid w:val="001A7B8C"/>
    <w:rsid w:val="001B1E8E"/>
    <w:rsid w:val="001B26E0"/>
    <w:rsid w:val="001B2FF7"/>
    <w:rsid w:val="001B547B"/>
    <w:rsid w:val="001B58DD"/>
    <w:rsid w:val="001B5BF7"/>
    <w:rsid w:val="001B5D00"/>
    <w:rsid w:val="001B6FBF"/>
    <w:rsid w:val="001B7B2F"/>
    <w:rsid w:val="001C0887"/>
    <w:rsid w:val="001C1B04"/>
    <w:rsid w:val="001C2072"/>
    <w:rsid w:val="001C5255"/>
    <w:rsid w:val="001C5630"/>
    <w:rsid w:val="001C6706"/>
    <w:rsid w:val="001C77B0"/>
    <w:rsid w:val="001D0B94"/>
    <w:rsid w:val="001D0C7B"/>
    <w:rsid w:val="001D21C3"/>
    <w:rsid w:val="001D2886"/>
    <w:rsid w:val="001D2BF3"/>
    <w:rsid w:val="001D3988"/>
    <w:rsid w:val="001D5B54"/>
    <w:rsid w:val="001D6CE7"/>
    <w:rsid w:val="001D7B6E"/>
    <w:rsid w:val="001E0144"/>
    <w:rsid w:val="001E0475"/>
    <w:rsid w:val="001E0585"/>
    <w:rsid w:val="001E06C4"/>
    <w:rsid w:val="001E1053"/>
    <w:rsid w:val="001E1386"/>
    <w:rsid w:val="001E2959"/>
    <w:rsid w:val="001E428B"/>
    <w:rsid w:val="001E5088"/>
    <w:rsid w:val="001E6067"/>
    <w:rsid w:val="001E6208"/>
    <w:rsid w:val="001E7191"/>
    <w:rsid w:val="001E741F"/>
    <w:rsid w:val="001E7823"/>
    <w:rsid w:val="001E79A9"/>
    <w:rsid w:val="001F2395"/>
    <w:rsid w:val="001F24C7"/>
    <w:rsid w:val="001F30A7"/>
    <w:rsid w:val="001F3308"/>
    <w:rsid w:val="001F3830"/>
    <w:rsid w:val="001F38DD"/>
    <w:rsid w:val="001F40D3"/>
    <w:rsid w:val="001F415E"/>
    <w:rsid w:val="0020300F"/>
    <w:rsid w:val="00203831"/>
    <w:rsid w:val="0020423E"/>
    <w:rsid w:val="00204E70"/>
    <w:rsid w:val="002067FB"/>
    <w:rsid w:val="00212767"/>
    <w:rsid w:val="002143B5"/>
    <w:rsid w:val="00215CB0"/>
    <w:rsid w:val="00215D15"/>
    <w:rsid w:val="002167A9"/>
    <w:rsid w:val="00216910"/>
    <w:rsid w:val="002173CD"/>
    <w:rsid w:val="002213F8"/>
    <w:rsid w:val="00221E6B"/>
    <w:rsid w:val="00224D2A"/>
    <w:rsid w:val="00225433"/>
    <w:rsid w:val="0022572A"/>
    <w:rsid w:val="00225CE5"/>
    <w:rsid w:val="00225CF7"/>
    <w:rsid w:val="00225DEE"/>
    <w:rsid w:val="00227545"/>
    <w:rsid w:val="0022776E"/>
    <w:rsid w:val="00230EBE"/>
    <w:rsid w:val="0023225B"/>
    <w:rsid w:val="00232A6F"/>
    <w:rsid w:val="00232CA1"/>
    <w:rsid w:val="00233608"/>
    <w:rsid w:val="002352D6"/>
    <w:rsid w:val="002354A3"/>
    <w:rsid w:val="002361BB"/>
    <w:rsid w:val="00237421"/>
    <w:rsid w:val="00237AE2"/>
    <w:rsid w:val="00237D20"/>
    <w:rsid w:val="00241A08"/>
    <w:rsid w:val="002427FF"/>
    <w:rsid w:val="00243390"/>
    <w:rsid w:val="0024343C"/>
    <w:rsid w:val="002434AF"/>
    <w:rsid w:val="00244EB8"/>
    <w:rsid w:val="0024546D"/>
    <w:rsid w:val="00245956"/>
    <w:rsid w:val="00245AC6"/>
    <w:rsid w:val="0024601D"/>
    <w:rsid w:val="0025081C"/>
    <w:rsid w:val="00251234"/>
    <w:rsid w:val="0025171B"/>
    <w:rsid w:val="00251B4A"/>
    <w:rsid w:val="00251FCB"/>
    <w:rsid w:val="002521C9"/>
    <w:rsid w:val="00252AB6"/>
    <w:rsid w:val="00262BCB"/>
    <w:rsid w:val="00263773"/>
    <w:rsid w:val="00265E6C"/>
    <w:rsid w:val="00266BA8"/>
    <w:rsid w:val="002671F3"/>
    <w:rsid w:val="0026751E"/>
    <w:rsid w:val="00267DD9"/>
    <w:rsid w:val="00273376"/>
    <w:rsid w:val="0027603F"/>
    <w:rsid w:val="00277080"/>
    <w:rsid w:val="00280D73"/>
    <w:rsid w:val="00281F0A"/>
    <w:rsid w:val="0028443E"/>
    <w:rsid w:val="00284486"/>
    <w:rsid w:val="00285D73"/>
    <w:rsid w:val="0028673D"/>
    <w:rsid w:val="0028783C"/>
    <w:rsid w:val="0029185B"/>
    <w:rsid w:val="00291AD3"/>
    <w:rsid w:val="00291E23"/>
    <w:rsid w:val="00292620"/>
    <w:rsid w:val="002930C7"/>
    <w:rsid w:val="00293720"/>
    <w:rsid w:val="002938D8"/>
    <w:rsid w:val="00293D48"/>
    <w:rsid w:val="00294C66"/>
    <w:rsid w:val="00295679"/>
    <w:rsid w:val="0029644E"/>
    <w:rsid w:val="002967A3"/>
    <w:rsid w:val="00296893"/>
    <w:rsid w:val="002970A7"/>
    <w:rsid w:val="002A044E"/>
    <w:rsid w:val="002A0711"/>
    <w:rsid w:val="002A0FE9"/>
    <w:rsid w:val="002A15F0"/>
    <w:rsid w:val="002A1964"/>
    <w:rsid w:val="002A5E37"/>
    <w:rsid w:val="002B0375"/>
    <w:rsid w:val="002B085B"/>
    <w:rsid w:val="002B08AE"/>
    <w:rsid w:val="002B0931"/>
    <w:rsid w:val="002B1B84"/>
    <w:rsid w:val="002B1B9C"/>
    <w:rsid w:val="002B1DF2"/>
    <w:rsid w:val="002B24EF"/>
    <w:rsid w:val="002B37B5"/>
    <w:rsid w:val="002B438A"/>
    <w:rsid w:val="002B4A5B"/>
    <w:rsid w:val="002B4CD1"/>
    <w:rsid w:val="002B6F3D"/>
    <w:rsid w:val="002B6FDF"/>
    <w:rsid w:val="002B7059"/>
    <w:rsid w:val="002B79A7"/>
    <w:rsid w:val="002C0C2C"/>
    <w:rsid w:val="002C1095"/>
    <w:rsid w:val="002C1B5C"/>
    <w:rsid w:val="002C2F04"/>
    <w:rsid w:val="002C3187"/>
    <w:rsid w:val="002C4E6E"/>
    <w:rsid w:val="002C53DD"/>
    <w:rsid w:val="002C5F57"/>
    <w:rsid w:val="002C679B"/>
    <w:rsid w:val="002C7723"/>
    <w:rsid w:val="002D0230"/>
    <w:rsid w:val="002D1A18"/>
    <w:rsid w:val="002D1B75"/>
    <w:rsid w:val="002D1C78"/>
    <w:rsid w:val="002D29D4"/>
    <w:rsid w:val="002D2E52"/>
    <w:rsid w:val="002D60D1"/>
    <w:rsid w:val="002D6DB5"/>
    <w:rsid w:val="002D7443"/>
    <w:rsid w:val="002D7BFE"/>
    <w:rsid w:val="002E00F7"/>
    <w:rsid w:val="002E146E"/>
    <w:rsid w:val="002E169A"/>
    <w:rsid w:val="002E1B90"/>
    <w:rsid w:val="002E1BAC"/>
    <w:rsid w:val="002E250C"/>
    <w:rsid w:val="002E2D5C"/>
    <w:rsid w:val="002E30D5"/>
    <w:rsid w:val="002E4471"/>
    <w:rsid w:val="002E51B0"/>
    <w:rsid w:val="002E5490"/>
    <w:rsid w:val="002E59B8"/>
    <w:rsid w:val="002E6876"/>
    <w:rsid w:val="002E7D6D"/>
    <w:rsid w:val="002F3616"/>
    <w:rsid w:val="002F4603"/>
    <w:rsid w:val="002F4912"/>
    <w:rsid w:val="002F50E5"/>
    <w:rsid w:val="002F54B0"/>
    <w:rsid w:val="002F6727"/>
    <w:rsid w:val="002F71DD"/>
    <w:rsid w:val="002F7BD4"/>
    <w:rsid w:val="002F7CA9"/>
    <w:rsid w:val="00303563"/>
    <w:rsid w:val="0030387E"/>
    <w:rsid w:val="00304C15"/>
    <w:rsid w:val="00306FB1"/>
    <w:rsid w:val="00307E06"/>
    <w:rsid w:val="0031102D"/>
    <w:rsid w:val="0031295D"/>
    <w:rsid w:val="00313277"/>
    <w:rsid w:val="0031390E"/>
    <w:rsid w:val="00317D92"/>
    <w:rsid w:val="003202DB"/>
    <w:rsid w:val="00322B5D"/>
    <w:rsid w:val="0032452A"/>
    <w:rsid w:val="00325CB6"/>
    <w:rsid w:val="00326AF0"/>
    <w:rsid w:val="00331188"/>
    <w:rsid w:val="0033192C"/>
    <w:rsid w:val="00331FEC"/>
    <w:rsid w:val="00332772"/>
    <w:rsid w:val="00333767"/>
    <w:rsid w:val="00333D25"/>
    <w:rsid w:val="00333F01"/>
    <w:rsid w:val="003341A2"/>
    <w:rsid w:val="00334213"/>
    <w:rsid w:val="003344E0"/>
    <w:rsid w:val="003345BE"/>
    <w:rsid w:val="003346F6"/>
    <w:rsid w:val="003417C7"/>
    <w:rsid w:val="00342161"/>
    <w:rsid w:val="00342BB2"/>
    <w:rsid w:val="00347D77"/>
    <w:rsid w:val="003503ED"/>
    <w:rsid w:val="0035055E"/>
    <w:rsid w:val="00350927"/>
    <w:rsid w:val="0035092D"/>
    <w:rsid w:val="0035381E"/>
    <w:rsid w:val="00354DE6"/>
    <w:rsid w:val="00355A58"/>
    <w:rsid w:val="00355BF8"/>
    <w:rsid w:val="00360B0C"/>
    <w:rsid w:val="0036111A"/>
    <w:rsid w:val="00361DED"/>
    <w:rsid w:val="00361DEE"/>
    <w:rsid w:val="0036284F"/>
    <w:rsid w:val="00362D57"/>
    <w:rsid w:val="00363EC2"/>
    <w:rsid w:val="00366266"/>
    <w:rsid w:val="00367155"/>
    <w:rsid w:val="0036784D"/>
    <w:rsid w:val="00370E1B"/>
    <w:rsid w:val="00370E59"/>
    <w:rsid w:val="0037109E"/>
    <w:rsid w:val="00371516"/>
    <w:rsid w:val="00372B51"/>
    <w:rsid w:val="00373961"/>
    <w:rsid w:val="00373978"/>
    <w:rsid w:val="003743D2"/>
    <w:rsid w:val="00374EB4"/>
    <w:rsid w:val="00375224"/>
    <w:rsid w:val="003762DA"/>
    <w:rsid w:val="003774F3"/>
    <w:rsid w:val="003777BF"/>
    <w:rsid w:val="0037780F"/>
    <w:rsid w:val="00380E44"/>
    <w:rsid w:val="00381113"/>
    <w:rsid w:val="0038132A"/>
    <w:rsid w:val="00381A16"/>
    <w:rsid w:val="00382656"/>
    <w:rsid w:val="0038284A"/>
    <w:rsid w:val="0038442D"/>
    <w:rsid w:val="00386CF2"/>
    <w:rsid w:val="00390091"/>
    <w:rsid w:val="0039076D"/>
    <w:rsid w:val="00390893"/>
    <w:rsid w:val="00390EB7"/>
    <w:rsid w:val="00391177"/>
    <w:rsid w:val="0039265F"/>
    <w:rsid w:val="00392F9E"/>
    <w:rsid w:val="003943A0"/>
    <w:rsid w:val="0039519B"/>
    <w:rsid w:val="003958F0"/>
    <w:rsid w:val="00396D02"/>
    <w:rsid w:val="003A40F7"/>
    <w:rsid w:val="003A411F"/>
    <w:rsid w:val="003A4E69"/>
    <w:rsid w:val="003A5DCD"/>
    <w:rsid w:val="003A6737"/>
    <w:rsid w:val="003A697B"/>
    <w:rsid w:val="003A6B84"/>
    <w:rsid w:val="003A713D"/>
    <w:rsid w:val="003A7D02"/>
    <w:rsid w:val="003B093F"/>
    <w:rsid w:val="003B2A56"/>
    <w:rsid w:val="003B2DCC"/>
    <w:rsid w:val="003B4474"/>
    <w:rsid w:val="003B4485"/>
    <w:rsid w:val="003B46A0"/>
    <w:rsid w:val="003B4A21"/>
    <w:rsid w:val="003B543D"/>
    <w:rsid w:val="003B714F"/>
    <w:rsid w:val="003C1348"/>
    <w:rsid w:val="003C1F8D"/>
    <w:rsid w:val="003C2DF4"/>
    <w:rsid w:val="003C315E"/>
    <w:rsid w:val="003C3711"/>
    <w:rsid w:val="003C4049"/>
    <w:rsid w:val="003C58E2"/>
    <w:rsid w:val="003C7F29"/>
    <w:rsid w:val="003D037F"/>
    <w:rsid w:val="003D0E9D"/>
    <w:rsid w:val="003D1602"/>
    <w:rsid w:val="003D1AE6"/>
    <w:rsid w:val="003D1C13"/>
    <w:rsid w:val="003D25DD"/>
    <w:rsid w:val="003D4376"/>
    <w:rsid w:val="003D4F7E"/>
    <w:rsid w:val="003D5D7F"/>
    <w:rsid w:val="003D5E31"/>
    <w:rsid w:val="003D7067"/>
    <w:rsid w:val="003E0B47"/>
    <w:rsid w:val="003E1EA2"/>
    <w:rsid w:val="003E2A31"/>
    <w:rsid w:val="003E3D41"/>
    <w:rsid w:val="003E43EB"/>
    <w:rsid w:val="003E5177"/>
    <w:rsid w:val="003E56E2"/>
    <w:rsid w:val="003E5A33"/>
    <w:rsid w:val="003E5A41"/>
    <w:rsid w:val="003E6239"/>
    <w:rsid w:val="003F022A"/>
    <w:rsid w:val="003F422B"/>
    <w:rsid w:val="003F51E1"/>
    <w:rsid w:val="003F57C2"/>
    <w:rsid w:val="003F7791"/>
    <w:rsid w:val="003F7D16"/>
    <w:rsid w:val="0040062A"/>
    <w:rsid w:val="00401A31"/>
    <w:rsid w:val="00401C24"/>
    <w:rsid w:val="00402A09"/>
    <w:rsid w:val="00403A1F"/>
    <w:rsid w:val="00403F1C"/>
    <w:rsid w:val="00404B1D"/>
    <w:rsid w:val="004052D1"/>
    <w:rsid w:val="00406FB3"/>
    <w:rsid w:val="00407D00"/>
    <w:rsid w:val="0041005F"/>
    <w:rsid w:val="004100FC"/>
    <w:rsid w:val="004130DD"/>
    <w:rsid w:val="004131B4"/>
    <w:rsid w:val="00413F8A"/>
    <w:rsid w:val="00414093"/>
    <w:rsid w:val="004213F1"/>
    <w:rsid w:val="00421F4B"/>
    <w:rsid w:val="00422D7C"/>
    <w:rsid w:val="00423772"/>
    <w:rsid w:val="004261E5"/>
    <w:rsid w:val="00430161"/>
    <w:rsid w:val="00430989"/>
    <w:rsid w:val="00432CE7"/>
    <w:rsid w:val="00433620"/>
    <w:rsid w:val="004359DF"/>
    <w:rsid w:val="00436FAF"/>
    <w:rsid w:val="004411A5"/>
    <w:rsid w:val="004416C8"/>
    <w:rsid w:val="00441AB7"/>
    <w:rsid w:val="00441E6B"/>
    <w:rsid w:val="00442EF7"/>
    <w:rsid w:val="00443AB0"/>
    <w:rsid w:val="00445937"/>
    <w:rsid w:val="00450631"/>
    <w:rsid w:val="004507B1"/>
    <w:rsid w:val="00450A92"/>
    <w:rsid w:val="00450C90"/>
    <w:rsid w:val="004513D9"/>
    <w:rsid w:val="00452A8D"/>
    <w:rsid w:val="004537BD"/>
    <w:rsid w:val="00453AFB"/>
    <w:rsid w:val="00455BF5"/>
    <w:rsid w:val="00457272"/>
    <w:rsid w:val="004606AA"/>
    <w:rsid w:val="0046099B"/>
    <w:rsid w:val="00460CB2"/>
    <w:rsid w:val="0046200B"/>
    <w:rsid w:val="00462E5F"/>
    <w:rsid w:val="00463F5F"/>
    <w:rsid w:val="0046604A"/>
    <w:rsid w:val="00467EEF"/>
    <w:rsid w:val="004705B9"/>
    <w:rsid w:val="00470E3F"/>
    <w:rsid w:val="004712E4"/>
    <w:rsid w:val="004713EC"/>
    <w:rsid w:val="0047192C"/>
    <w:rsid w:val="0047412F"/>
    <w:rsid w:val="00474ABB"/>
    <w:rsid w:val="004757C7"/>
    <w:rsid w:val="004778DF"/>
    <w:rsid w:val="0048050F"/>
    <w:rsid w:val="004805B9"/>
    <w:rsid w:val="00483B59"/>
    <w:rsid w:val="00483E9C"/>
    <w:rsid w:val="00486758"/>
    <w:rsid w:val="00491BB0"/>
    <w:rsid w:val="00492DAC"/>
    <w:rsid w:val="004933CD"/>
    <w:rsid w:val="004934A9"/>
    <w:rsid w:val="00493813"/>
    <w:rsid w:val="004955C4"/>
    <w:rsid w:val="00495A77"/>
    <w:rsid w:val="00495F81"/>
    <w:rsid w:val="0049617E"/>
    <w:rsid w:val="004961F9"/>
    <w:rsid w:val="004974E4"/>
    <w:rsid w:val="00497B7F"/>
    <w:rsid w:val="004A0161"/>
    <w:rsid w:val="004A24A8"/>
    <w:rsid w:val="004A2A7C"/>
    <w:rsid w:val="004A35C2"/>
    <w:rsid w:val="004A36AF"/>
    <w:rsid w:val="004A3FBC"/>
    <w:rsid w:val="004A4376"/>
    <w:rsid w:val="004A548D"/>
    <w:rsid w:val="004A7D52"/>
    <w:rsid w:val="004A7DE2"/>
    <w:rsid w:val="004A7FC5"/>
    <w:rsid w:val="004B099B"/>
    <w:rsid w:val="004B1BB1"/>
    <w:rsid w:val="004B2130"/>
    <w:rsid w:val="004B4AFE"/>
    <w:rsid w:val="004B5012"/>
    <w:rsid w:val="004B532D"/>
    <w:rsid w:val="004B578B"/>
    <w:rsid w:val="004B6A03"/>
    <w:rsid w:val="004B750E"/>
    <w:rsid w:val="004C069E"/>
    <w:rsid w:val="004C18D5"/>
    <w:rsid w:val="004C1C4C"/>
    <w:rsid w:val="004C42DB"/>
    <w:rsid w:val="004C4863"/>
    <w:rsid w:val="004C4A20"/>
    <w:rsid w:val="004C5CCC"/>
    <w:rsid w:val="004C60C4"/>
    <w:rsid w:val="004C64CA"/>
    <w:rsid w:val="004C6A35"/>
    <w:rsid w:val="004C6A66"/>
    <w:rsid w:val="004D0693"/>
    <w:rsid w:val="004D2386"/>
    <w:rsid w:val="004D34A0"/>
    <w:rsid w:val="004D518A"/>
    <w:rsid w:val="004D521A"/>
    <w:rsid w:val="004D6893"/>
    <w:rsid w:val="004E08B0"/>
    <w:rsid w:val="004E117A"/>
    <w:rsid w:val="004E1D17"/>
    <w:rsid w:val="004E41AD"/>
    <w:rsid w:val="004E655A"/>
    <w:rsid w:val="004E6564"/>
    <w:rsid w:val="004E6741"/>
    <w:rsid w:val="004E6B5B"/>
    <w:rsid w:val="004E7756"/>
    <w:rsid w:val="004F1285"/>
    <w:rsid w:val="004F1BF6"/>
    <w:rsid w:val="004F2CC7"/>
    <w:rsid w:val="004F2EB3"/>
    <w:rsid w:val="004F3079"/>
    <w:rsid w:val="004F41C4"/>
    <w:rsid w:val="004F4669"/>
    <w:rsid w:val="004F4E00"/>
    <w:rsid w:val="004F4FA0"/>
    <w:rsid w:val="00500934"/>
    <w:rsid w:val="0050140C"/>
    <w:rsid w:val="005030A4"/>
    <w:rsid w:val="005032FB"/>
    <w:rsid w:val="005036EA"/>
    <w:rsid w:val="00503D00"/>
    <w:rsid w:val="00505284"/>
    <w:rsid w:val="00505393"/>
    <w:rsid w:val="00505453"/>
    <w:rsid w:val="005068DC"/>
    <w:rsid w:val="00507645"/>
    <w:rsid w:val="00507D80"/>
    <w:rsid w:val="00507EFE"/>
    <w:rsid w:val="0051078A"/>
    <w:rsid w:val="00510D61"/>
    <w:rsid w:val="00510E76"/>
    <w:rsid w:val="0051120E"/>
    <w:rsid w:val="005120FA"/>
    <w:rsid w:val="00512488"/>
    <w:rsid w:val="005145B6"/>
    <w:rsid w:val="00514BA6"/>
    <w:rsid w:val="00522041"/>
    <w:rsid w:val="005235B1"/>
    <w:rsid w:val="005244A5"/>
    <w:rsid w:val="00524E0A"/>
    <w:rsid w:val="00526801"/>
    <w:rsid w:val="00527508"/>
    <w:rsid w:val="005278E5"/>
    <w:rsid w:val="005301A2"/>
    <w:rsid w:val="005321B0"/>
    <w:rsid w:val="00533FB0"/>
    <w:rsid w:val="00534897"/>
    <w:rsid w:val="00535DA2"/>
    <w:rsid w:val="00536114"/>
    <w:rsid w:val="005362EA"/>
    <w:rsid w:val="00536AA0"/>
    <w:rsid w:val="0053723D"/>
    <w:rsid w:val="00537325"/>
    <w:rsid w:val="005379A0"/>
    <w:rsid w:val="0054178A"/>
    <w:rsid w:val="00541900"/>
    <w:rsid w:val="005438C9"/>
    <w:rsid w:val="00543CFA"/>
    <w:rsid w:val="005449D9"/>
    <w:rsid w:val="00547BDC"/>
    <w:rsid w:val="005518A2"/>
    <w:rsid w:val="00551D39"/>
    <w:rsid w:val="00552048"/>
    <w:rsid w:val="0055249B"/>
    <w:rsid w:val="00552718"/>
    <w:rsid w:val="00552FFF"/>
    <w:rsid w:val="00553559"/>
    <w:rsid w:val="005544B0"/>
    <w:rsid w:val="00554733"/>
    <w:rsid w:val="0055565A"/>
    <w:rsid w:val="00555683"/>
    <w:rsid w:val="005562D4"/>
    <w:rsid w:val="00556D41"/>
    <w:rsid w:val="005570D7"/>
    <w:rsid w:val="0055715D"/>
    <w:rsid w:val="00557DBE"/>
    <w:rsid w:val="00560050"/>
    <w:rsid w:val="00562074"/>
    <w:rsid w:val="00562DB4"/>
    <w:rsid w:val="00563B4C"/>
    <w:rsid w:val="00564F09"/>
    <w:rsid w:val="005674F0"/>
    <w:rsid w:val="0057098B"/>
    <w:rsid w:val="00570E79"/>
    <w:rsid w:val="00573574"/>
    <w:rsid w:val="00573F8A"/>
    <w:rsid w:val="00575463"/>
    <w:rsid w:val="005761D6"/>
    <w:rsid w:val="00576892"/>
    <w:rsid w:val="00576C6F"/>
    <w:rsid w:val="00577191"/>
    <w:rsid w:val="005776D0"/>
    <w:rsid w:val="00580039"/>
    <w:rsid w:val="00583101"/>
    <w:rsid w:val="00584233"/>
    <w:rsid w:val="00584825"/>
    <w:rsid w:val="005858E1"/>
    <w:rsid w:val="00587CA0"/>
    <w:rsid w:val="005903B2"/>
    <w:rsid w:val="00590744"/>
    <w:rsid w:val="0059125D"/>
    <w:rsid w:val="0059138C"/>
    <w:rsid w:val="00591B21"/>
    <w:rsid w:val="00591EA4"/>
    <w:rsid w:val="00592495"/>
    <w:rsid w:val="00592EE7"/>
    <w:rsid w:val="005934A5"/>
    <w:rsid w:val="00593694"/>
    <w:rsid w:val="00593886"/>
    <w:rsid w:val="005950D2"/>
    <w:rsid w:val="00595A6D"/>
    <w:rsid w:val="00595DE5"/>
    <w:rsid w:val="00595FB9"/>
    <w:rsid w:val="005963F6"/>
    <w:rsid w:val="00597BC9"/>
    <w:rsid w:val="00597E9C"/>
    <w:rsid w:val="005A0B40"/>
    <w:rsid w:val="005A1FF5"/>
    <w:rsid w:val="005A2F15"/>
    <w:rsid w:val="005A4E53"/>
    <w:rsid w:val="005A61F8"/>
    <w:rsid w:val="005A7788"/>
    <w:rsid w:val="005A78FD"/>
    <w:rsid w:val="005B028E"/>
    <w:rsid w:val="005B02EC"/>
    <w:rsid w:val="005B0AB9"/>
    <w:rsid w:val="005B2331"/>
    <w:rsid w:val="005B2DEE"/>
    <w:rsid w:val="005B2F98"/>
    <w:rsid w:val="005B367B"/>
    <w:rsid w:val="005B3899"/>
    <w:rsid w:val="005B4C78"/>
    <w:rsid w:val="005C0FA4"/>
    <w:rsid w:val="005C10C0"/>
    <w:rsid w:val="005C142B"/>
    <w:rsid w:val="005C1444"/>
    <w:rsid w:val="005C16C8"/>
    <w:rsid w:val="005C213C"/>
    <w:rsid w:val="005C3CF3"/>
    <w:rsid w:val="005C40F7"/>
    <w:rsid w:val="005C5E88"/>
    <w:rsid w:val="005C6518"/>
    <w:rsid w:val="005D09AD"/>
    <w:rsid w:val="005D13C7"/>
    <w:rsid w:val="005D1A33"/>
    <w:rsid w:val="005D1BA2"/>
    <w:rsid w:val="005D2C02"/>
    <w:rsid w:val="005D463C"/>
    <w:rsid w:val="005D4766"/>
    <w:rsid w:val="005D476D"/>
    <w:rsid w:val="005D7195"/>
    <w:rsid w:val="005D7CD5"/>
    <w:rsid w:val="005E0431"/>
    <w:rsid w:val="005E0CE8"/>
    <w:rsid w:val="005E10E4"/>
    <w:rsid w:val="005E15D7"/>
    <w:rsid w:val="005E3216"/>
    <w:rsid w:val="005E37C4"/>
    <w:rsid w:val="005E4965"/>
    <w:rsid w:val="005E4FDA"/>
    <w:rsid w:val="005E539F"/>
    <w:rsid w:val="005E5B9D"/>
    <w:rsid w:val="005E5FA6"/>
    <w:rsid w:val="005E6ADA"/>
    <w:rsid w:val="005E7A68"/>
    <w:rsid w:val="005F001C"/>
    <w:rsid w:val="005F06B4"/>
    <w:rsid w:val="005F17E0"/>
    <w:rsid w:val="005F181E"/>
    <w:rsid w:val="005F1CA5"/>
    <w:rsid w:val="005F1ED6"/>
    <w:rsid w:val="005F2100"/>
    <w:rsid w:val="005F24E9"/>
    <w:rsid w:val="005F3424"/>
    <w:rsid w:val="005F4C7F"/>
    <w:rsid w:val="006003B9"/>
    <w:rsid w:val="00600998"/>
    <w:rsid w:val="00601A06"/>
    <w:rsid w:val="00601E67"/>
    <w:rsid w:val="00602AC1"/>
    <w:rsid w:val="00604773"/>
    <w:rsid w:val="00604B1E"/>
    <w:rsid w:val="00606A8C"/>
    <w:rsid w:val="00606FD4"/>
    <w:rsid w:val="00610165"/>
    <w:rsid w:val="006103CC"/>
    <w:rsid w:val="0061243D"/>
    <w:rsid w:val="00613116"/>
    <w:rsid w:val="0061312E"/>
    <w:rsid w:val="006134AA"/>
    <w:rsid w:val="006145CB"/>
    <w:rsid w:val="006174B1"/>
    <w:rsid w:val="00620999"/>
    <w:rsid w:val="00620DA8"/>
    <w:rsid w:val="00621271"/>
    <w:rsid w:val="0062240D"/>
    <w:rsid w:val="00622575"/>
    <w:rsid w:val="006229F7"/>
    <w:rsid w:val="00623716"/>
    <w:rsid w:val="00623F54"/>
    <w:rsid w:val="00624558"/>
    <w:rsid w:val="006249FC"/>
    <w:rsid w:val="00626C26"/>
    <w:rsid w:val="00630109"/>
    <w:rsid w:val="006318A9"/>
    <w:rsid w:val="00631D8B"/>
    <w:rsid w:val="0063318B"/>
    <w:rsid w:val="00634EDE"/>
    <w:rsid w:val="00636289"/>
    <w:rsid w:val="00636304"/>
    <w:rsid w:val="0063680C"/>
    <w:rsid w:val="00636F9D"/>
    <w:rsid w:val="006374B2"/>
    <w:rsid w:val="00640B56"/>
    <w:rsid w:val="006419CA"/>
    <w:rsid w:val="00642316"/>
    <w:rsid w:val="00642E76"/>
    <w:rsid w:val="0064388D"/>
    <w:rsid w:val="00644214"/>
    <w:rsid w:val="006446E0"/>
    <w:rsid w:val="0064756C"/>
    <w:rsid w:val="00647826"/>
    <w:rsid w:val="00647C97"/>
    <w:rsid w:val="006509D5"/>
    <w:rsid w:val="00650D2C"/>
    <w:rsid w:val="006522D7"/>
    <w:rsid w:val="0065253E"/>
    <w:rsid w:val="0065376A"/>
    <w:rsid w:val="006548A0"/>
    <w:rsid w:val="006549AA"/>
    <w:rsid w:val="006549D1"/>
    <w:rsid w:val="00656490"/>
    <w:rsid w:val="006568B1"/>
    <w:rsid w:val="0066036B"/>
    <w:rsid w:val="00662E6C"/>
    <w:rsid w:val="00663698"/>
    <w:rsid w:val="006648C0"/>
    <w:rsid w:val="00665990"/>
    <w:rsid w:val="00665F2D"/>
    <w:rsid w:val="00667EB0"/>
    <w:rsid w:val="0067041F"/>
    <w:rsid w:val="0067054D"/>
    <w:rsid w:val="00670655"/>
    <w:rsid w:val="0067186A"/>
    <w:rsid w:val="00671CF0"/>
    <w:rsid w:val="00672A0E"/>
    <w:rsid w:val="00672BCF"/>
    <w:rsid w:val="00673405"/>
    <w:rsid w:val="0067370B"/>
    <w:rsid w:val="00673EA0"/>
    <w:rsid w:val="006745C4"/>
    <w:rsid w:val="00674A51"/>
    <w:rsid w:val="0067563F"/>
    <w:rsid w:val="00675698"/>
    <w:rsid w:val="006765B0"/>
    <w:rsid w:val="006814D9"/>
    <w:rsid w:val="00681FDC"/>
    <w:rsid w:val="00682260"/>
    <w:rsid w:val="006832E4"/>
    <w:rsid w:val="00683434"/>
    <w:rsid w:val="00683AA6"/>
    <w:rsid w:val="006846A0"/>
    <w:rsid w:val="00687704"/>
    <w:rsid w:val="00691E3B"/>
    <w:rsid w:val="00692294"/>
    <w:rsid w:val="00692710"/>
    <w:rsid w:val="00693D5C"/>
    <w:rsid w:val="0069400D"/>
    <w:rsid w:val="0069484F"/>
    <w:rsid w:val="00694E6A"/>
    <w:rsid w:val="0069549E"/>
    <w:rsid w:val="00695548"/>
    <w:rsid w:val="00695E85"/>
    <w:rsid w:val="006A0163"/>
    <w:rsid w:val="006A01C7"/>
    <w:rsid w:val="006A0863"/>
    <w:rsid w:val="006A1C6F"/>
    <w:rsid w:val="006A1CE4"/>
    <w:rsid w:val="006A216A"/>
    <w:rsid w:val="006A2B67"/>
    <w:rsid w:val="006A2BB2"/>
    <w:rsid w:val="006A3F90"/>
    <w:rsid w:val="006A42D0"/>
    <w:rsid w:val="006A49E3"/>
    <w:rsid w:val="006A4F4E"/>
    <w:rsid w:val="006A5575"/>
    <w:rsid w:val="006A5DA0"/>
    <w:rsid w:val="006A656B"/>
    <w:rsid w:val="006A65E6"/>
    <w:rsid w:val="006A79A9"/>
    <w:rsid w:val="006A7DA8"/>
    <w:rsid w:val="006B0B6B"/>
    <w:rsid w:val="006B5A2F"/>
    <w:rsid w:val="006B63EC"/>
    <w:rsid w:val="006B6BE4"/>
    <w:rsid w:val="006B6FB0"/>
    <w:rsid w:val="006C0678"/>
    <w:rsid w:val="006C10A7"/>
    <w:rsid w:val="006C13E3"/>
    <w:rsid w:val="006C1B9B"/>
    <w:rsid w:val="006C24CC"/>
    <w:rsid w:val="006C31B1"/>
    <w:rsid w:val="006C3394"/>
    <w:rsid w:val="006C3A61"/>
    <w:rsid w:val="006C401E"/>
    <w:rsid w:val="006C41B8"/>
    <w:rsid w:val="006C43BA"/>
    <w:rsid w:val="006C45A6"/>
    <w:rsid w:val="006C493A"/>
    <w:rsid w:val="006C5B29"/>
    <w:rsid w:val="006C62FF"/>
    <w:rsid w:val="006C646F"/>
    <w:rsid w:val="006D0192"/>
    <w:rsid w:val="006D0536"/>
    <w:rsid w:val="006D056F"/>
    <w:rsid w:val="006D0754"/>
    <w:rsid w:val="006D0A8D"/>
    <w:rsid w:val="006D268B"/>
    <w:rsid w:val="006D2B85"/>
    <w:rsid w:val="006D35C0"/>
    <w:rsid w:val="006D52AE"/>
    <w:rsid w:val="006D587B"/>
    <w:rsid w:val="006D5B68"/>
    <w:rsid w:val="006D5DB9"/>
    <w:rsid w:val="006D615D"/>
    <w:rsid w:val="006D77FC"/>
    <w:rsid w:val="006E07FD"/>
    <w:rsid w:val="006E2DB1"/>
    <w:rsid w:val="006E4E54"/>
    <w:rsid w:val="006E5DB8"/>
    <w:rsid w:val="006E668C"/>
    <w:rsid w:val="006E677A"/>
    <w:rsid w:val="006E6BFC"/>
    <w:rsid w:val="006E75F6"/>
    <w:rsid w:val="006E7B5D"/>
    <w:rsid w:val="006F00D6"/>
    <w:rsid w:val="006F1BEC"/>
    <w:rsid w:val="006F2F59"/>
    <w:rsid w:val="006F317A"/>
    <w:rsid w:val="006F43D0"/>
    <w:rsid w:val="006F5C91"/>
    <w:rsid w:val="006F648C"/>
    <w:rsid w:val="006F7041"/>
    <w:rsid w:val="006F7C2E"/>
    <w:rsid w:val="007012FD"/>
    <w:rsid w:val="0070229D"/>
    <w:rsid w:val="007028C0"/>
    <w:rsid w:val="007101FD"/>
    <w:rsid w:val="007109BA"/>
    <w:rsid w:val="00710F1C"/>
    <w:rsid w:val="00711F69"/>
    <w:rsid w:val="007121C4"/>
    <w:rsid w:val="00713661"/>
    <w:rsid w:val="007147AA"/>
    <w:rsid w:val="00716453"/>
    <w:rsid w:val="00717736"/>
    <w:rsid w:val="00717845"/>
    <w:rsid w:val="0071784C"/>
    <w:rsid w:val="007212AE"/>
    <w:rsid w:val="00721D98"/>
    <w:rsid w:val="0072207B"/>
    <w:rsid w:val="0072295F"/>
    <w:rsid w:val="00723921"/>
    <w:rsid w:val="007254D7"/>
    <w:rsid w:val="007258B7"/>
    <w:rsid w:val="00726ADF"/>
    <w:rsid w:val="00730687"/>
    <w:rsid w:val="00730906"/>
    <w:rsid w:val="00730AE7"/>
    <w:rsid w:val="00731653"/>
    <w:rsid w:val="0073177E"/>
    <w:rsid w:val="00734714"/>
    <w:rsid w:val="00734AF1"/>
    <w:rsid w:val="0073510B"/>
    <w:rsid w:val="007357C4"/>
    <w:rsid w:val="00735822"/>
    <w:rsid w:val="00735CE4"/>
    <w:rsid w:val="007371E3"/>
    <w:rsid w:val="00737D63"/>
    <w:rsid w:val="00737E66"/>
    <w:rsid w:val="00741939"/>
    <w:rsid w:val="007443E4"/>
    <w:rsid w:val="007459DA"/>
    <w:rsid w:val="00746641"/>
    <w:rsid w:val="00747067"/>
    <w:rsid w:val="0075017E"/>
    <w:rsid w:val="0075417E"/>
    <w:rsid w:val="00755E37"/>
    <w:rsid w:val="00756F90"/>
    <w:rsid w:val="007577FB"/>
    <w:rsid w:val="00757C8D"/>
    <w:rsid w:val="00757D1B"/>
    <w:rsid w:val="00761716"/>
    <w:rsid w:val="00761E1A"/>
    <w:rsid w:val="007622B2"/>
    <w:rsid w:val="00762400"/>
    <w:rsid w:val="00762A72"/>
    <w:rsid w:val="00762F61"/>
    <w:rsid w:val="00765CC0"/>
    <w:rsid w:val="00766FA1"/>
    <w:rsid w:val="00771AC7"/>
    <w:rsid w:val="007749EA"/>
    <w:rsid w:val="00774F14"/>
    <w:rsid w:val="00775AE8"/>
    <w:rsid w:val="00775CCE"/>
    <w:rsid w:val="00776B98"/>
    <w:rsid w:val="00777372"/>
    <w:rsid w:val="00777FBB"/>
    <w:rsid w:val="00780633"/>
    <w:rsid w:val="0078188E"/>
    <w:rsid w:val="00784C0B"/>
    <w:rsid w:val="00784D99"/>
    <w:rsid w:val="0078692F"/>
    <w:rsid w:val="00790760"/>
    <w:rsid w:val="00792008"/>
    <w:rsid w:val="0079279C"/>
    <w:rsid w:val="007939F9"/>
    <w:rsid w:val="007953F6"/>
    <w:rsid w:val="0079543A"/>
    <w:rsid w:val="00796F1B"/>
    <w:rsid w:val="007A10FC"/>
    <w:rsid w:val="007A17EB"/>
    <w:rsid w:val="007A2BBB"/>
    <w:rsid w:val="007A3F13"/>
    <w:rsid w:val="007A40E6"/>
    <w:rsid w:val="007A4C15"/>
    <w:rsid w:val="007A4FB4"/>
    <w:rsid w:val="007A60FB"/>
    <w:rsid w:val="007B386F"/>
    <w:rsid w:val="007B5132"/>
    <w:rsid w:val="007B515C"/>
    <w:rsid w:val="007B75D2"/>
    <w:rsid w:val="007C056F"/>
    <w:rsid w:val="007C073C"/>
    <w:rsid w:val="007C0CA4"/>
    <w:rsid w:val="007C1CE8"/>
    <w:rsid w:val="007C2135"/>
    <w:rsid w:val="007C2B23"/>
    <w:rsid w:val="007C3541"/>
    <w:rsid w:val="007C63F8"/>
    <w:rsid w:val="007C6E18"/>
    <w:rsid w:val="007C6F19"/>
    <w:rsid w:val="007D0314"/>
    <w:rsid w:val="007D05E6"/>
    <w:rsid w:val="007D27B1"/>
    <w:rsid w:val="007D4C63"/>
    <w:rsid w:val="007D506B"/>
    <w:rsid w:val="007D64FD"/>
    <w:rsid w:val="007D6B3A"/>
    <w:rsid w:val="007D786E"/>
    <w:rsid w:val="007E0227"/>
    <w:rsid w:val="007E2BCE"/>
    <w:rsid w:val="007E2F0F"/>
    <w:rsid w:val="007E371B"/>
    <w:rsid w:val="007E394E"/>
    <w:rsid w:val="007E4C93"/>
    <w:rsid w:val="007E52CF"/>
    <w:rsid w:val="007E5E67"/>
    <w:rsid w:val="007E67B9"/>
    <w:rsid w:val="007E6D7E"/>
    <w:rsid w:val="007E7118"/>
    <w:rsid w:val="007E7C31"/>
    <w:rsid w:val="007F0AEC"/>
    <w:rsid w:val="007F2713"/>
    <w:rsid w:val="007F271C"/>
    <w:rsid w:val="007F284E"/>
    <w:rsid w:val="007F44B8"/>
    <w:rsid w:val="007F6EB2"/>
    <w:rsid w:val="007F71AE"/>
    <w:rsid w:val="007F77FE"/>
    <w:rsid w:val="00801010"/>
    <w:rsid w:val="008017E6"/>
    <w:rsid w:val="008024C5"/>
    <w:rsid w:val="00802A81"/>
    <w:rsid w:val="0080478F"/>
    <w:rsid w:val="0080505A"/>
    <w:rsid w:val="0080527A"/>
    <w:rsid w:val="00806D3D"/>
    <w:rsid w:val="008131DB"/>
    <w:rsid w:val="00815086"/>
    <w:rsid w:val="00816BB2"/>
    <w:rsid w:val="00817729"/>
    <w:rsid w:val="0082299B"/>
    <w:rsid w:val="00822AD3"/>
    <w:rsid w:val="00824581"/>
    <w:rsid w:val="008248D9"/>
    <w:rsid w:val="00825F14"/>
    <w:rsid w:val="008260F3"/>
    <w:rsid w:val="008272BF"/>
    <w:rsid w:val="008272F6"/>
    <w:rsid w:val="008276DB"/>
    <w:rsid w:val="008303F5"/>
    <w:rsid w:val="00833475"/>
    <w:rsid w:val="00833A36"/>
    <w:rsid w:val="00833D91"/>
    <w:rsid w:val="0083522B"/>
    <w:rsid w:val="00835A3E"/>
    <w:rsid w:val="00835F85"/>
    <w:rsid w:val="008365ED"/>
    <w:rsid w:val="00836C6B"/>
    <w:rsid w:val="008444B0"/>
    <w:rsid w:val="008475C2"/>
    <w:rsid w:val="00850587"/>
    <w:rsid w:val="00850A39"/>
    <w:rsid w:val="008539F1"/>
    <w:rsid w:val="00855B5D"/>
    <w:rsid w:val="00855EED"/>
    <w:rsid w:val="00856725"/>
    <w:rsid w:val="00857C3B"/>
    <w:rsid w:val="00857FB0"/>
    <w:rsid w:val="00860316"/>
    <w:rsid w:val="0086080B"/>
    <w:rsid w:val="00860D2B"/>
    <w:rsid w:val="00861259"/>
    <w:rsid w:val="00862911"/>
    <w:rsid w:val="00863E0B"/>
    <w:rsid w:val="00865372"/>
    <w:rsid w:val="00866A25"/>
    <w:rsid w:val="0087079C"/>
    <w:rsid w:val="0087229D"/>
    <w:rsid w:val="00873282"/>
    <w:rsid w:val="00874AC4"/>
    <w:rsid w:val="0087565B"/>
    <w:rsid w:val="00876D9E"/>
    <w:rsid w:val="00877139"/>
    <w:rsid w:val="008775D2"/>
    <w:rsid w:val="008779C0"/>
    <w:rsid w:val="00880005"/>
    <w:rsid w:val="00880B88"/>
    <w:rsid w:val="008824DC"/>
    <w:rsid w:val="008825CC"/>
    <w:rsid w:val="00882D56"/>
    <w:rsid w:val="00883C81"/>
    <w:rsid w:val="00884698"/>
    <w:rsid w:val="008847CC"/>
    <w:rsid w:val="00884D62"/>
    <w:rsid w:val="008869E2"/>
    <w:rsid w:val="00890078"/>
    <w:rsid w:val="00891D79"/>
    <w:rsid w:val="008935AC"/>
    <w:rsid w:val="00893C36"/>
    <w:rsid w:val="00893CDC"/>
    <w:rsid w:val="00894C4D"/>
    <w:rsid w:val="00895C9A"/>
    <w:rsid w:val="00896F26"/>
    <w:rsid w:val="00897049"/>
    <w:rsid w:val="008970F3"/>
    <w:rsid w:val="00897EDC"/>
    <w:rsid w:val="008A0CD9"/>
    <w:rsid w:val="008A10EC"/>
    <w:rsid w:val="008A25B2"/>
    <w:rsid w:val="008A3180"/>
    <w:rsid w:val="008A48CB"/>
    <w:rsid w:val="008A4D00"/>
    <w:rsid w:val="008A5B33"/>
    <w:rsid w:val="008A602D"/>
    <w:rsid w:val="008A6040"/>
    <w:rsid w:val="008A62A8"/>
    <w:rsid w:val="008A677B"/>
    <w:rsid w:val="008A74CC"/>
    <w:rsid w:val="008A7ADA"/>
    <w:rsid w:val="008A7BF2"/>
    <w:rsid w:val="008B118D"/>
    <w:rsid w:val="008B2A57"/>
    <w:rsid w:val="008B30EE"/>
    <w:rsid w:val="008B31D8"/>
    <w:rsid w:val="008C0344"/>
    <w:rsid w:val="008C04DB"/>
    <w:rsid w:val="008C0754"/>
    <w:rsid w:val="008C253E"/>
    <w:rsid w:val="008C2BAE"/>
    <w:rsid w:val="008C2D96"/>
    <w:rsid w:val="008C38B1"/>
    <w:rsid w:val="008C3B21"/>
    <w:rsid w:val="008C4AD6"/>
    <w:rsid w:val="008C5DD9"/>
    <w:rsid w:val="008C6950"/>
    <w:rsid w:val="008C69B6"/>
    <w:rsid w:val="008C7589"/>
    <w:rsid w:val="008D4B9B"/>
    <w:rsid w:val="008D57BA"/>
    <w:rsid w:val="008D5C08"/>
    <w:rsid w:val="008D7E2E"/>
    <w:rsid w:val="008E03FF"/>
    <w:rsid w:val="008E0F06"/>
    <w:rsid w:val="008E1130"/>
    <w:rsid w:val="008E1863"/>
    <w:rsid w:val="008E1D4E"/>
    <w:rsid w:val="008E340D"/>
    <w:rsid w:val="008E3EBD"/>
    <w:rsid w:val="008E40E6"/>
    <w:rsid w:val="008E63AA"/>
    <w:rsid w:val="008E65FA"/>
    <w:rsid w:val="008E7B02"/>
    <w:rsid w:val="008F19F7"/>
    <w:rsid w:val="008F33E5"/>
    <w:rsid w:val="008F46EB"/>
    <w:rsid w:val="008F5815"/>
    <w:rsid w:val="008F6652"/>
    <w:rsid w:val="008F6E02"/>
    <w:rsid w:val="008F763B"/>
    <w:rsid w:val="009005B0"/>
    <w:rsid w:val="009015F2"/>
    <w:rsid w:val="00901D1C"/>
    <w:rsid w:val="009027A3"/>
    <w:rsid w:val="00902B11"/>
    <w:rsid w:val="00903F2F"/>
    <w:rsid w:val="00903F99"/>
    <w:rsid w:val="009043E2"/>
    <w:rsid w:val="00904B16"/>
    <w:rsid w:val="00904C0B"/>
    <w:rsid w:val="00904CD1"/>
    <w:rsid w:val="00904CFE"/>
    <w:rsid w:val="009062F9"/>
    <w:rsid w:val="00911182"/>
    <w:rsid w:val="00911A88"/>
    <w:rsid w:val="00911DF1"/>
    <w:rsid w:val="009152EB"/>
    <w:rsid w:val="00915BF1"/>
    <w:rsid w:val="00916892"/>
    <w:rsid w:val="009169D4"/>
    <w:rsid w:val="0091759F"/>
    <w:rsid w:val="009176AF"/>
    <w:rsid w:val="00922335"/>
    <w:rsid w:val="00922C5C"/>
    <w:rsid w:val="00923E54"/>
    <w:rsid w:val="009242ED"/>
    <w:rsid w:val="00925DBF"/>
    <w:rsid w:val="0092666A"/>
    <w:rsid w:val="00930D0C"/>
    <w:rsid w:val="00930E95"/>
    <w:rsid w:val="00935773"/>
    <w:rsid w:val="00935885"/>
    <w:rsid w:val="00935FEF"/>
    <w:rsid w:val="00937755"/>
    <w:rsid w:val="00940945"/>
    <w:rsid w:val="00940A30"/>
    <w:rsid w:val="00944030"/>
    <w:rsid w:val="0094430D"/>
    <w:rsid w:val="00947959"/>
    <w:rsid w:val="00947E7D"/>
    <w:rsid w:val="009507C7"/>
    <w:rsid w:val="0095094A"/>
    <w:rsid w:val="00952598"/>
    <w:rsid w:val="00952773"/>
    <w:rsid w:val="00953064"/>
    <w:rsid w:val="009531E3"/>
    <w:rsid w:val="0095428E"/>
    <w:rsid w:val="00955934"/>
    <w:rsid w:val="00960DA2"/>
    <w:rsid w:val="00961A1D"/>
    <w:rsid w:val="00961F19"/>
    <w:rsid w:val="0096213F"/>
    <w:rsid w:val="009628AE"/>
    <w:rsid w:val="00962BC8"/>
    <w:rsid w:val="009646E7"/>
    <w:rsid w:val="009656D6"/>
    <w:rsid w:val="00966A0E"/>
    <w:rsid w:val="00967AA0"/>
    <w:rsid w:val="00971AA1"/>
    <w:rsid w:val="00973838"/>
    <w:rsid w:val="00973A96"/>
    <w:rsid w:val="00973C55"/>
    <w:rsid w:val="00976539"/>
    <w:rsid w:val="00976DF6"/>
    <w:rsid w:val="00977B79"/>
    <w:rsid w:val="009808FB"/>
    <w:rsid w:val="00980D59"/>
    <w:rsid w:val="00982658"/>
    <w:rsid w:val="00983054"/>
    <w:rsid w:val="00983B63"/>
    <w:rsid w:val="00984512"/>
    <w:rsid w:val="0098552F"/>
    <w:rsid w:val="009856DB"/>
    <w:rsid w:val="0099081D"/>
    <w:rsid w:val="00990B17"/>
    <w:rsid w:val="00991169"/>
    <w:rsid w:val="009922CE"/>
    <w:rsid w:val="00992423"/>
    <w:rsid w:val="00992B98"/>
    <w:rsid w:val="00993EF4"/>
    <w:rsid w:val="009954A3"/>
    <w:rsid w:val="00995CD1"/>
    <w:rsid w:val="00996163"/>
    <w:rsid w:val="00996CE2"/>
    <w:rsid w:val="009973FA"/>
    <w:rsid w:val="009A13EF"/>
    <w:rsid w:val="009A147E"/>
    <w:rsid w:val="009A1D40"/>
    <w:rsid w:val="009A27CA"/>
    <w:rsid w:val="009A2868"/>
    <w:rsid w:val="009A391F"/>
    <w:rsid w:val="009A420E"/>
    <w:rsid w:val="009A486F"/>
    <w:rsid w:val="009A5587"/>
    <w:rsid w:val="009A56B6"/>
    <w:rsid w:val="009A58AE"/>
    <w:rsid w:val="009A5F36"/>
    <w:rsid w:val="009A7218"/>
    <w:rsid w:val="009B1BDD"/>
    <w:rsid w:val="009B2BF7"/>
    <w:rsid w:val="009B4D66"/>
    <w:rsid w:val="009B538D"/>
    <w:rsid w:val="009B649A"/>
    <w:rsid w:val="009B675E"/>
    <w:rsid w:val="009B6DAC"/>
    <w:rsid w:val="009C1356"/>
    <w:rsid w:val="009C1E6E"/>
    <w:rsid w:val="009C2B41"/>
    <w:rsid w:val="009C4923"/>
    <w:rsid w:val="009C4B30"/>
    <w:rsid w:val="009C55E6"/>
    <w:rsid w:val="009C5608"/>
    <w:rsid w:val="009C6023"/>
    <w:rsid w:val="009C6362"/>
    <w:rsid w:val="009C72BA"/>
    <w:rsid w:val="009C7520"/>
    <w:rsid w:val="009C7CE0"/>
    <w:rsid w:val="009D00B5"/>
    <w:rsid w:val="009D09DF"/>
    <w:rsid w:val="009D0BBB"/>
    <w:rsid w:val="009D1C22"/>
    <w:rsid w:val="009D3139"/>
    <w:rsid w:val="009D4162"/>
    <w:rsid w:val="009D42A9"/>
    <w:rsid w:val="009D6FAE"/>
    <w:rsid w:val="009D7F9C"/>
    <w:rsid w:val="009E01DF"/>
    <w:rsid w:val="009E0483"/>
    <w:rsid w:val="009E04AD"/>
    <w:rsid w:val="009E04E6"/>
    <w:rsid w:val="009E09C8"/>
    <w:rsid w:val="009E0F00"/>
    <w:rsid w:val="009E368F"/>
    <w:rsid w:val="009E439B"/>
    <w:rsid w:val="009E48DF"/>
    <w:rsid w:val="009E68F5"/>
    <w:rsid w:val="009E6E16"/>
    <w:rsid w:val="009F00AA"/>
    <w:rsid w:val="009F0544"/>
    <w:rsid w:val="009F1A56"/>
    <w:rsid w:val="009F2627"/>
    <w:rsid w:val="009F30EE"/>
    <w:rsid w:val="009F4993"/>
    <w:rsid w:val="009F5057"/>
    <w:rsid w:val="009F600F"/>
    <w:rsid w:val="009F692A"/>
    <w:rsid w:val="009F6B64"/>
    <w:rsid w:val="009F6DB9"/>
    <w:rsid w:val="009F6ED7"/>
    <w:rsid w:val="009F7C8C"/>
    <w:rsid w:val="009F7CD7"/>
    <w:rsid w:val="00A00716"/>
    <w:rsid w:val="00A0109C"/>
    <w:rsid w:val="00A02777"/>
    <w:rsid w:val="00A03E01"/>
    <w:rsid w:val="00A05201"/>
    <w:rsid w:val="00A05632"/>
    <w:rsid w:val="00A07AD6"/>
    <w:rsid w:val="00A11729"/>
    <w:rsid w:val="00A12330"/>
    <w:rsid w:val="00A12AAD"/>
    <w:rsid w:val="00A12C22"/>
    <w:rsid w:val="00A1315C"/>
    <w:rsid w:val="00A147F2"/>
    <w:rsid w:val="00A148FE"/>
    <w:rsid w:val="00A14F5A"/>
    <w:rsid w:val="00A164AB"/>
    <w:rsid w:val="00A16E63"/>
    <w:rsid w:val="00A2090A"/>
    <w:rsid w:val="00A21A8E"/>
    <w:rsid w:val="00A229C0"/>
    <w:rsid w:val="00A234EA"/>
    <w:rsid w:val="00A23868"/>
    <w:rsid w:val="00A2420A"/>
    <w:rsid w:val="00A2470A"/>
    <w:rsid w:val="00A269CA"/>
    <w:rsid w:val="00A26C14"/>
    <w:rsid w:val="00A2752B"/>
    <w:rsid w:val="00A27985"/>
    <w:rsid w:val="00A304F0"/>
    <w:rsid w:val="00A32421"/>
    <w:rsid w:val="00A33F4F"/>
    <w:rsid w:val="00A355FB"/>
    <w:rsid w:val="00A35F64"/>
    <w:rsid w:val="00A36798"/>
    <w:rsid w:val="00A370C9"/>
    <w:rsid w:val="00A37587"/>
    <w:rsid w:val="00A408AD"/>
    <w:rsid w:val="00A41147"/>
    <w:rsid w:val="00A41AD3"/>
    <w:rsid w:val="00A42C2F"/>
    <w:rsid w:val="00A43C1B"/>
    <w:rsid w:val="00A44DFF"/>
    <w:rsid w:val="00A46886"/>
    <w:rsid w:val="00A47778"/>
    <w:rsid w:val="00A5123A"/>
    <w:rsid w:val="00A5222D"/>
    <w:rsid w:val="00A549A8"/>
    <w:rsid w:val="00A55110"/>
    <w:rsid w:val="00A557AF"/>
    <w:rsid w:val="00A62C4E"/>
    <w:rsid w:val="00A63ECF"/>
    <w:rsid w:val="00A64CE5"/>
    <w:rsid w:val="00A65367"/>
    <w:rsid w:val="00A65DD1"/>
    <w:rsid w:val="00A671E2"/>
    <w:rsid w:val="00A6776C"/>
    <w:rsid w:val="00A701BB"/>
    <w:rsid w:val="00A703DC"/>
    <w:rsid w:val="00A70ABD"/>
    <w:rsid w:val="00A71D70"/>
    <w:rsid w:val="00A71E17"/>
    <w:rsid w:val="00A74F6C"/>
    <w:rsid w:val="00A832EE"/>
    <w:rsid w:val="00A83E61"/>
    <w:rsid w:val="00A84FB6"/>
    <w:rsid w:val="00A8510D"/>
    <w:rsid w:val="00A85BF8"/>
    <w:rsid w:val="00A85C0C"/>
    <w:rsid w:val="00A86933"/>
    <w:rsid w:val="00A873FC"/>
    <w:rsid w:val="00A87553"/>
    <w:rsid w:val="00A90A82"/>
    <w:rsid w:val="00A91CB8"/>
    <w:rsid w:val="00A92B6E"/>
    <w:rsid w:val="00A92DBB"/>
    <w:rsid w:val="00A93430"/>
    <w:rsid w:val="00A943AA"/>
    <w:rsid w:val="00A94E6D"/>
    <w:rsid w:val="00A95D1E"/>
    <w:rsid w:val="00A9603B"/>
    <w:rsid w:val="00AA0D20"/>
    <w:rsid w:val="00AA100E"/>
    <w:rsid w:val="00AA2B3D"/>
    <w:rsid w:val="00AA3099"/>
    <w:rsid w:val="00AA482C"/>
    <w:rsid w:val="00AA498D"/>
    <w:rsid w:val="00AA50E8"/>
    <w:rsid w:val="00AA5401"/>
    <w:rsid w:val="00AA553A"/>
    <w:rsid w:val="00AA621D"/>
    <w:rsid w:val="00AA70CE"/>
    <w:rsid w:val="00AB08DA"/>
    <w:rsid w:val="00AB2F33"/>
    <w:rsid w:val="00AB43A6"/>
    <w:rsid w:val="00AB4605"/>
    <w:rsid w:val="00AB5E7C"/>
    <w:rsid w:val="00AC054A"/>
    <w:rsid w:val="00AC0735"/>
    <w:rsid w:val="00AC178D"/>
    <w:rsid w:val="00AC1F9F"/>
    <w:rsid w:val="00AC2419"/>
    <w:rsid w:val="00AC2954"/>
    <w:rsid w:val="00AC3040"/>
    <w:rsid w:val="00AC49E8"/>
    <w:rsid w:val="00AC4A93"/>
    <w:rsid w:val="00AC57D1"/>
    <w:rsid w:val="00AD3376"/>
    <w:rsid w:val="00AD68E7"/>
    <w:rsid w:val="00AD6961"/>
    <w:rsid w:val="00AD6B7F"/>
    <w:rsid w:val="00AE0038"/>
    <w:rsid w:val="00AE1391"/>
    <w:rsid w:val="00AE1CD8"/>
    <w:rsid w:val="00AE1F1D"/>
    <w:rsid w:val="00AE238F"/>
    <w:rsid w:val="00AE3E04"/>
    <w:rsid w:val="00AE7548"/>
    <w:rsid w:val="00AE75FF"/>
    <w:rsid w:val="00AF037D"/>
    <w:rsid w:val="00AF283A"/>
    <w:rsid w:val="00AF5359"/>
    <w:rsid w:val="00AF604C"/>
    <w:rsid w:val="00AF66FB"/>
    <w:rsid w:val="00AF6F13"/>
    <w:rsid w:val="00AF6FC1"/>
    <w:rsid w:val="00AF7649"/>
    <w:rsid w:val="00AF7A64"/>
    <w:rsid w:val="00B030B5"/>
    <w:rsid w:val="00B034DC"/>
    <w:rsid w:val="00B04103"/>
    <w:rsid w:val="00B041FD"/>
    <w:rsid w:val="00B04225"/>
    <w:rsid w:val="00B05887"/>
    <w:rsid w:val="00B065D5"/>
    <w:rsid w:val="00B07304"/>
    <w:rsid w:val="00B0773D"/>
    <w:rsid w:val="00B07D0B"/>
    <w:rsid w:val="00B101A4"/>
    <w:rsid w:val="00B10CAE"/>
    <w:rsid w:val="00B11F4D"/>
    <w:rsid w:val="00B1239E"/>
    <w:rsid w:val="00B12BA4"/>
    <w:rsid w:val="00B12F7F"/>
    <w:rsid w:val="00B132FE"/>
    <w:rsid w:val="00B13B12"/>
    <w:rsid w:val="00B14F11"/>
    <w:rsid w:val="00B152C8"/>
    <w:rsid w:val="00B157DC"/>
    <w:rsid w:val="00B159FD"/>
    <w:rsid w:val="00B1630F"/>
    <w:rsid w:val="00B16497"/>
    <w:rsid w:val="00B169B2"/>
    <w:rsid w:val="00B201FA"/>
    <w:rsid w:val="00B21230"/>
    <w:rsid w:val="00B21706"/>
    <w:rsid w:val="00B22289"/>
    <w:rsid w:val="00B2238F"/>
    <w:rsid w:val="00B237A2"/>
    <w:rsid w:val="00B24BDD"/>
    <w:rsid w:val="00B25BE4"/>
    <w:rsid w:val="00B265B8"/>
    <w:rsid w:val="00B27E28"/>
    <w:rsid w:val="00B30267"/>
    <w:rsid w:val="00B30635"/>
    <w:rsid w:val="00B30E3E"/>
    <w:rsid w:val="00B32956"/>
    <w:rsid w:val="00B331A3"/>
    <w:rsid w:val="00B3335B"/>
    <w:rsid w:val="00B34BD4"/>
    <w:rsid w:val="00B34F83"/>
    <w:rsid w:val="00B35209"/>
    <w:rsid w:val="00B354DF"/>
    <w:rsid w:val="00B36B4E"/>
    <w:rsid w:val="00B37E24"/>
    <w:rsid w:val="00B40AD1"/>
    <w:rsid w:val="00B41585"/>
    <w:rsid w:val="00B42A47"/>
    <w:rsid w:val="00B440FF"/>
    <w:rsid w:val="00B448C0"/>
    <w:rsid w:val="00B45B22"/>
    <w:rsid w:val="00B45C1E"/>
    <w:rsid w:val="00B46AE0"/>
    <w:rsid w:val="00B51871"/>
    <w:rsid w:val="00B5290B"/>
    <w:rsid w:val="00B52947"/>
    <w:rsid w:val="00B52A8E"/>
    <w:rsid w:val="00B52C61"/>
    <w:rsid w:val="00B55B6F"/>
    <w:rsid w:val="00B57C68"/>
    <w:rsid w:val="00B60A31"/>
    <w:rsid w:val="00B60C50"/>
    <w:rsid w:val="00B615E5"/>
    <w:rsid w:val="00B61E5C"/>
    <w:rsid w:val="00B62254"/>
    <w:rsid w:val="00B63775"/>
    <w:rsid w:val="00B64463"/>
    <w:rsid w:val="00B64A9F"/>
    <w:rsid w:val="00B6631D"/>
    <w:rsid w:val="00B671AA"/>
    <w:rsid w:val="00B677E9"/>
    <w:rsid w:val="00B715B9"/>
    <w:rsid w:val="00B72B09"/>
    <w:rsid w:val="00B731BE"/>
    <w:rsid w:val="00B739F2"/>
    <w:rsid w:val="00B77365"/>
    <w:rsid w:val="00B77BF7"/>
    <w:rsid w:val="00B809D9"/>
    <w:rsid w:val="00B80A1D"/>
    <w:rsid w:val="00B80EA3"/>
    <w:rsid w:val="00B8131A"/>
    <w:rsid w:val="00B82E44"/>
    <w:rsid w:val="00B84F39"/>
    <w:rsid w:val="00B850DF"/>
    <w:rsid w:val="00B851A1"/>
    <w:rsid w:val="00B87F03"/>
    <w:rsid w:val="00B90D57"/>
    <w:rsid w:val="00B91186"/>
    <w:rsid w:val="00B9179E"/>
    <w:rsid w:val="00B91C40"/>
    <w:rsid w:val="00B91DDB"/>
    <w:rsid w:val="00B91E3D"/>
    <w:rsid w:val="00B94780"/>
    <w:rsid w:val="00B94FD3"/>
    <w:rsid w:val="00B96052"/>
    <w:rsid w:val="00B963A1"/>
    <w:rsid w:val="00B963BA"/>
    <w:rsid w:val="00B97447"/>
    <w:rsid w:val="00BA062F"/>
    <w:rsid w:val="00BA0772"/>
    <w:rsid w:val="00BA157E"/>
    <w:rsid w:val="00BA1A7A"/>
    <w:rsid w:val="00BA370F"/>
    <w:rsid w:val="00BA3A4B"/>
    <w:rsid w:val="00BA415D"/>
    <w:rsid w:val="00BA5E10"/>
    <w:rsid w:val="00BA716A"/>
    <w:rsid w:val="00BB0FF8"/>
    <w:rsid w:val="00BB1416"/>
    <w:rsid w:val="00BB347B"/>
    <w:rsid w:val="00BB3909"/>
    <w:rsid w:val="00BB4494"/>
    <w:rsid w:val="00BB4AA0"/>
    <w:rsid w:val="00BB4BE0"/>
    <w:rsid w:val="00BB5073"/>
    <w:rsid w:val="00BB68ED"/>
    <w:rsid w:val="00BB7203"/>
    <w:rsid w:val="00BB7635"/>
    <w:rsid w:val="00BB7A6D"/>
    <w:rsid w:val="00BC03E0"/>
    <w:rsid w:val="00BC1A9C"/>
    <w:rsid w:val="00BC1D04"/>
    <w:rsid w:val="00BC3E4A"/>
    <w:rsid w:val="00BC64CF"/>
    <w:rsid w:val="00BD0A4E"/>
    <w:rsid w:val="00BD22F0"/>
    <w:rsid w:val="00BD27BB"/>
    <w:rsid w:val="00BD28B8"/>
    <w:rsid w:val="00BD3C28"/>
    <w:rsid w:val="00BD4F4C"/>
    <w:rsid w:val="00BD50F3"/>
    <w:rsid w:val="00BD52CB"/>
    <w:rsid w:val="00BD542B"/>
    <w:rsid w:val="00BD6C5B"/>
    <w:rsid w:val="00BD6D0E"/>
    <w:rsid w:val="00BE0C94"/>
    <w:rsid w:val="00BE1753"/>
    <w:rsid w:val="00BE29A9"/>
    <w:rsid w:val="00BE2CC5"/>
    <w:rsid w:val="00BE3331"/>
    <w:rsid w:val="00BE46DF"/>
    <w:rsid w:val="00BE4A1E"/>
    <w:rsid w:val="00BE4CF1"/>
    <w:rsid w:val="00BE6294"/>
    <w:rsid w:val="00BE6667"/>
    <w:rsid w:val="00BE666C"/>
    <w:rsid w:val="00BE6E81"/>
    <w:rsid w:val="00BE7DEA"/>
    <w:rsid w:val="00BF1592"/>
    <w:rsid w:val="00BF1E5B"/>
    <w:rsid w:val="00BF293A"/>
    <w:rsid w:val="00BF2E91"/>
    <w:rsid w:val="00BF4B6E"/>
    <w:rsid w:val="00BF4DC3"/>
    <w:rsid w:val="00BF4DDF"/>
    <w:rsid w:val="00BF53F5"/>
    <w:rsid w:val="00BF5ACD"/>
    <w:rsid w:val="00BF662E"/>
    <w:rsid w:val="00BF68C4"/>
    <w:rsid w:val="00BF6C00"/>
    <w:rsid w:val="00BF7ACE"/>
    <w:rsid w:val="00BF7AD0"/>
    <w:rsid w:val="00BF7D4F"/>
    <w:rsid w:val="00C013A4"/>
    <w:rsid w:val="00C0268E"/>
    <w:rsid w:val="00C055FE"/>
    <w:rsid w:val="00C05AF0"/>
    <w:rsid w:val="00C06F5E"/>
    <w:rsid w:val="00C10B9C"/>
    <w:rsid w:val="00C13512"/>
    <w:rsid w:val="00C138F9"/>
    <w:rsid w:val="00C140E1"/>
    <w:rsid w:val="00C14538"/>
    <w:rsid w:val="00C152F5"/>
    <w:rsid w:val="00C15990"/>
    <w:rsid w:val="00C1781C"/>
    <w:rsid w:val="00C21342"/>
    <w:rsid w:val="00C26DF0"/>
    <w:rsid w:val="00C27041"/>
    <w:rsid w:val="00C271C1"/>
    <w:rsid w:val="00C315BC"/>
    <w:rsid w:val="00C35E99"/>
    <w:rsid w:val="00C37A6E"/>
    <w:rsid w:val="00C40C35"/>
    <w:rsid w:val="00C426A3"/>
    <w:rsid w:val="00C45CFE"/>
    <w:rsid w:val="00C45E53"/>
    <w:rsid w:val="00C46509"/>
    <w:rsid w:val="00C473E9"/>
    <w:rsid w:val="00C5034A"/>
    <w:rsid w:val="00C50BFC"/>
    <w:rsid w:val="00C53651"/>
    <w:rsid w:val="00C538E8"/>
    <w:rsid w:val="00C53B09"/>
    <w:rsid w:val="00C544DE"/>
    <w:rsid w:val="00C54748"/>
    <w:rsid w:val="00C55ABE"/>
    <w:rsid w:val="00C5767D"/>
    <w:rsid w:val="00C57B0D"/>
    <w:rsid w:val="00C609F0"/>
    <w:rsid w:val="00C610FC"/>
    <w:rsid w:val="00C6246D"/>
    <w:rsid w:val="00C62745"/>
    <w:rsid w:val="00C648C5"/>
    <w:rsid w:val="00C64A3A"/>
    <w:rsid w:val="00C64C9C"/>
    <w:rsid w:val="00C65029"/>
    <w:rsid w:val="00C661F4"/>
    <w:rsid w:val="00C66C7B"/>
    <w:rsid w:val="00C67EA2"/>
    <w:rsid w:val="00C706C2"/>
    <w:rsid w:val="00C71142"/>
    <w:rsid w:val="00C7136A"/>
    <w:rsid w:val="00C71E03"/>
    <w:rsid w:val="00C721A1"/>
    <w:rsid w:val="00C73268"/>
    <w:rsid w:val="00C73858"/>
    <w:rsid w:val="00C74217"/>
    <w:rsid w:val="00C74A6E"/>
    <w:rsid w:val="00C7563B"/>
    <w:rsid w:val="00C7628A"/>
    <w:rsid w:val="00C773C1"/>
    <w:rsid w:val="00C8230B"/>
    <w:rsid w:val="00C8454F"/>
    <w:rsid w:val="00C85295"/>
    <w:rsid w:val="00C855B1"/>
    <w:rsid w:val="00C85C9B"/>
    <w:rsid w:val="00C860E7"/>
    <w:rsid w:val="00C87217"/>
    <w:rsid w:val="00C90A15"/>
    <w:rsid w:val="00C90E08"/>
    <w:rsid w:val="00C92202"/>
    <w:rsid w:val="00C926A2"/>
    <w:rsid w:val="00C932C4"/>
    <w:rsid w:val="00C937E7"/>
    <w:rsid w:val="00C9473E"/>
    <w:rsid w:val="00C947A4"/>
    <w:rsid w:val="00C94ACB"/>
    <w:rsid w:val="00C94C77"/>
    <w:rsid w:val="00C94E69"/>
    <w:rsid w:val="00C95D0F"/>
    <w:rsid w:val="00CA038B"/>
    <w:rsid w:val="00CA3148"/>
    <w:rsid w:val="00CA3351"/>
    <w:rsid w:val="00CA388C"/>
    <w:rsid w:val="00CA4980"/>
    <w:rsid w:val="00CA753B"/>
    <w:rsid w:val="00CA77EA"/>
    <w:rsid w:val="00CA7A99"/>
    <w:rsid w:val="00CA7BF8"/>
    <w:rsid w:val="00CA7FBC"/>
    <w:rsid w:val="00CB0B9E"/>
    <w:rsid w:val="00CB0C65"/>
    <w:rsid w:val="00CB16B7"/>
    <w:rsid w:val="00CB19B7"/>
    <w:rsid w:val="00CB1C66"/>
    <w:rsid w:val="00CB2169"/>
    <w:rsid w:val="00CB27CC"/>
    <w:rsid w:val="00CB295C"/>
    <w:rsid w:val="00CB70BE"/>
    <w:rsid w:val="00CC0062"/>
    <w:rsid w:val="00CC01FD"/>
    <w:rsid w:val="00CC091A"/>
    <w:rsid w:val="00CC1976"/>
    <w:rsid w:val="00CC2DF8"/>
    <w:rsid w:val="00CC6910"/>
    <w:rsid w:val="00CC735E"/>
    <w:rsid w:val="00CC7B1D"/>
    <w:rsid w:val="00CC7DC4"/>
    <w:rsid w:val="00CC7FEB"/>
    <w:rsid w:val="00CD21D9"/>
    <w:rsid w:val="00CD2515"/>
    <w:rsid w:val="00CD36EF"/>
    <w:rsid w:val="00CD3A32"/>
    <w:rsid w:val="00CD7A6A"/>
    <w:rsid w:val="00CE0DD6"/>
    <w:rsid w:val="00CE134E"/>
    <w:rsid w:val="00CE3C01"/>
    <w:rsid w:val="00CE4AC7"/>
    <w:rsid w:val="00CE50D0"/>
    <w:rsid w:val="00CE7B66"/>
    <w:rsid w:val="00CF1110"/>
    <w:rsid w:val="00CF44AF"/>
    <w:rsid w:val="00CF4A31"/>
    <w:rsid w:val="00CF69E0"/>
    <w:rsid w:val="00CF7D84"/>
    <w:rsid w:val="00CF7E4B"/>
    <w:rsid w:val="00CF7F0D"/>
    <w:rsid w:val="00D00B94"/>
    <w:rsid w:val="00D00EA1"/>
    <w:rsid w:val="00D019B5"/>
    <w:rsid w:val="00D04BAE"/>
    <w:rsid w:val="00D056CF"/>
    <w:rsid w:val="00D05C9A"/>
    <w:rsid w:val="00D06310"/>
    <w:rsid w:val="00D0643B"/>
    <w:rsid w:val="00D133F1"/>
    <w:rsid w:val="00D13F9F"/>
    <w:rsid w:val="00D141F2"/>
    <w:rsid w:val="00D14548"/>
    <w:rsid w:val="00D1537A"/>
    <w:rsid w:val="00D15F86"/>
    <w:rsid w:val="00D16927"/>
    <w:rsid w:val="00D20B0E"/>
    <w:rsid w:val="00D2183D"/>
    <w:rsid w:val="00D21F5B"/>
    <w:rsid w:val="00D2284C"/>
    <w:rsid w:val="00D22BCC"/>
    <w:rsid w:val="00D22EA0"/>
    <w:rsid w:val="00D2476E"/>
    <w:rsid w:val="00D273D6"/>
    <w:rsid w:val="00D303F6"/>
    <w:rsid w:val="00D306EF"/>
    <w:rsid w:val="00D31540"/>
    <w:rsid w:val="00D31894"/>
    <w:rsid w:val="00D31CA0"/>
    <w:rsid w:val="00D320E4"/>
    <w:rsid w:val="00D32ED5"/>
    <w:rsid w:val="00D34619"/>
    <w:rsid w:val="00D34F02"/>
    <w:rsid w:val="00D35CE3"/>
    <w:rsid w:val="00D400FB"/>
    <w:rsid w:val="00D40445"/>
    <w:rsid w:val="00D40951"/>
    <w:rsid w:val="00D423AB"/>
    <w:rsid w:val="00D426C3"/>
    <w:rsid w:val="00D438B2"/>
    <w:rsid w:val="00D47291"/>
    <w:rsid w:val="00D50331"/>
    <w:rsid w:val="00D50485"/>
    <w:rsid w:val="00D5089E"/>
    <w:rsid w:val="00D50B77"/>
    <w:rsid w:val="00D5251D"/>
    <w:rsid w:val="00D54357"/>
    <w:rsid w:val="00D54363"/>
    <w:rsid w:val="00D5441B"/>
    <w:rsid w:val="00D54D39"/>
    <w:rsid w:val="00D57792"/>
    <w:rsid w:val="00D57CC7"/>
    <w:rsid w:val="00D60A5A"/>
    <w:rsid w:val="00D60D3C"/>
    <w:rsid w:val="00D61A9F"/>
    <w:rsid w:val="00D650DF"/>
    <w:rsid w:val="00D66164"/>
    <w:rsid w:val="00D6725D"/>
    <w:rsid w:val="00D6782C"/>
    <w:rsid w:val="00D703DE"/>
    <w:rsid w:val="00D71383"/>
    <w:rsid w:val="00D736B6"/>
    <w:rsid w:val="00D73F4D"/>
    <w:rsid w:val="00D73FCD"/>
    <w:rsid w:val="00D74225"/>
    <w:rsid w:val="00D74BF5"/>
    <w:rsid w:val="00D75D4E"/>
    <w:rsid w:val="00D76356"/>
    <w:rsid w:val="00D76A9A"/>
    <w:rsid w:val="00D812D9"/>
    <w:rsid w:val="00D83DEC"/>
    <w:rsid w:val="00D856C5"/>
    <w:rsid w:val="00D85CFE"/>
    <w:rsid w:val="00D87879"/>
    <w:rsid w:val="00D90C46"/>
    <w:rsid w:val="00D94F24"/>
    <w:rsid w:val="00D95B92"/>
    <w:rsid w:val="00D96A60"/>
    <w:rsid w:val="00D96D84"/>
    <w:rsid w:val="00DA08A6"/>
    <w:rsid w:val="00DA1552"/>
    <w:rsid w:val="00DA1AE2"/>
    <w:rsid w:val="00DA3BF0"/>
    <w:rsid w:val="00DA5447"/>
    <w:rsid w:val="00DA716F"/>
    <w:rsid w:val="00DB1417"/>
    <w:rsid w:val="00DB1CEB"/>
    <w:rsid w:val="00DB1D09"/>
    <w:rsid w:val="00DB1DAC"/>
    <w:rsid w:val="00DB43D2"/>
    <w:rsid w:val="00DB725F"/>
    <w:rsid w:val="00DB73AB"/>
    <w:rsid w:val="00DB73D7"/>
    <w:rsid w:val="00DC0700"/>
    <w:rsid w:val="00DC16A4"/>
    <w:rsid w:val="00DC2990"/>
    <w:rsid w:val="00DC33FD"/>
    <w:rsid w:val="00DC3F7C"/>
    <w:rsid w:val="00DC4969"/>
    <w:rsid w:val="00DC517F"/>
    <w:rsid w:val="00DC7D3F"/>
    <w:rsid w:val="00DD00B0"/>
    <w:rsid w:val="00DD08F2"/>
    <w:rsid w:val="00DD18B5"/>
    <w:rsid w:val="00DD23BE"/>
    <w:rsid w:val="00DD2ED9"/>
    <w:rsid w:val="00DD360C"/>
    <w:rsid w:val="00DD464F"/>
    <w:rsid w:val="00DD49E1"/>
    <w:rsid w:val="00DD4AE5"/>
    <w:rsid w:val="00DD5381"/>
    <w:rsid w:val="00DD56F9"/>
    <w:rsid w:val="00DD6102"/>
    <w:rsid w:val="00DD62EE"/>
    <w:rsid w:val="00DD72E4"/>
    <w:rsid w:val="00DD7769"/>
    <w:rsid w:val="00DE115B"/>
    <w:rsid w:val="00DE29E1"/>
    <w:rsid w:val="00DE311B"/>
    <w:rsid w:val="00DE319D"/>
    <w:rsid w:val="00DE323A"/>
    <w:rsid w:val="00DE472C"/>
    <w:rsid w:val="00DE498E"/>
    <w:rsid w:val="00DE55B4"/>
    <w:rsid w:val="00DE639A"/>
    <w:rsid w:val="00DE7D37"/>
    <w:rsid w:val="00DF1571"/>
    <w:rsid w:val="00DF16B4"/>
    <w:rsid w:val="00DF25B3"/>
    <w:rsid w:val="00DF3269"/>
    <w:rsid w:val="00DF4376"/>
    <w:rsid w:val="00DF51D8"/>
    <w:rsid w:val="00E00267"/>
    <w:rsid w:val="00E00C11"/>
    <w:rsid w:val="00E01232"/>
    <w:rsid w:val="00E02052"/>
    <w:rsid w:val="00E03353"/>
    <w:rsid w:val="00E048B4"/>
    <w:rsid w:val="00E05DAA"/>
    <w:rsid w:val="00E069B2"/>
    <w:rsid w:val="00E06AE7"/>
    <w:rsid w:val="00E100B2"/>
    <w:rsid w:val="00E10B86"/>
    <w:rsid w:val="00E10C93"/>
    <w:rsid w:val="00E10E3E"/>
    <w:rsid w:val="00E115D8"/>
    <w:rsid w:val="00E12D4C"/>
    <w:rsid w:val="00E1427C"/>
    <w:rsid w:val="00E142B7"/>
    <w:rsid w:val="00E145E0"/>
    <w:rsid w:val="00E1594D"/>
    <w:rsid w:val="00E16DAC"/>
    <w:rsid w:val="00E17B10"/>
    <w:rsid w:val="00E21D81"/>
    <w:rsid w:val="00E238BD"/>
    <w:rsid w:val="00E24348"/>
    <w:rsid w:val="00E25A0C"/>
    <w:rsid w:val="00E25E00"/>
    <w:rsid w:val="00E2614A"/>
    <w:rsid w:val="00E26765"/>
    <w:rsid w:val="00E27709"/>
    <w:rsid w:val="00E310F7"/>
    <w:rsid w:val="00E33408"/>
    <w:rsid w:val="00E337CC"/>
    <w:rsid w:val="00E33811"/>
    <w:rsid w:val="00E33E46"/>
    <w:rsid w:val="00E33EAA"/>
    <w:rsid w:val="00E35D57"/>
    <w:rsid w:val="00E36CB1"/>
    <w:rsid w:val="00E37787"/>
    <w:rsid w:val="00E40583"/>
    <w:rsid w:val="00E41643"/>
    <w:rsid w:val="00E421E2"/>
    <w:rsid w:val="00E42C9D"/>
    <w:rsid w:val="00E430F1"/>
    <w:rsid w:val="00E443BF"/>
    <w:rsid w:val="00E45141"/>
    <w:rsid w:val="00E45C5E"/>
    <w:rsid w:val="00E4628A"/>
    <w:rsid w:val="00E47283"/>
    <w:rsid w:val="00E47722"/>
    <w:rsid w:val="00E51D2D"/>
    <w:rsid w:val="00E51E05"/>
    <w:rsid w:val="00E52B50"/>
    <w:rsid w:val="00E52BFD"/>
    <w:rsid w:val="00E54343"/>
    <w:rsid w:val="00E55883"/>
    <w:rsid w:val="00E56216"/>
    <w:rsid w:val="00E600F6"/>
    <w:rsid w:val="00E60526"/>
    <w:rsid w:val="00E6080F"/>
    <w:rsid w:val="00E60D71"/>
    <w:rsid w:val="00E6145A"/>
    <w:rsid w:val="00E6214F"/>
    <w:rsid w:val="00E62F14"/>
    <w:rsid w:val="00E635D3"/>
    <w:rsid w:val="00E65E98"/>
    <w:rsid w:val="00E671BE"/>
    <w:rsid w:val="00E677D2"/>
    <w:rsid w:val="00E7281F"/>
    <w:rsid w:val="00E73D61"/>
    <w:rsid w:val="00E769E8"/>
    <w:rsid w:val="00E76BED"/>
    <w:rsid w:val="00E76F66"/>
    <w:rsid w:val="00E802E8"/>
    <w:rsid w:val="00E825EB"/>
    <w:rsid w:val="00E8288E"/>
    <w:rsid w:val="00E83CCA"/>
    <w:rsid w:val="00E9278D"/>
    <w:rsid w:val="00E92956"/>
    <w:rsid w:val="00E9439B"/>
    <w:rsid w:val="00E962AE"/>
    <w:rsid w:val="00E96980"/>
    <w:rsid w:val="00E96A8D"/>
    <w:rsid w:val="00E96F51"/>
    <w:rsid w:val="00E97862"/>
    <w:rsid w:val="00E97E98"/>
    <w:rsid w:val="00EA040F"/>
    <w:rsid w:val="00EA256C"/>
    <w:rsid w:val="00EA3828"/>
    <w:rsid w:val="00EA3B0B"/>
    <w:rsid w:val="00EA3ED7"/>
    <w:rsid w:val="00EA56AB"/>
    <w:rsid w:val="00EA573F"/>
    <w:rsid w:val="00EA5A8F"/>
    <w:rsid w:val="00EB1CB6"/>
    <w:rsid w:val="00EB1DA6"/>
    <w:rsid w:val="00EB4D6C"/>
    <w:rsid w:val="00EB6018"/>
    <w:rsid w:val="00EB6843"/>
    <w:rsid w:val="00EB6E2E"/>
    <w:rsid w:val="00EB6E42"/>
    <w:rsid w:val="00EB7090"/>
    <w:rsid w:val="00EB7BB2"/>
    <w:rsid w:val="00EC0F68"/>
    <w:rsid w:val="00EC1597"/>
    <w:rsid w:val="00EC3A70"/>
    <w:rsid w:val="00EC4A49"/>
    <w:rsid w:val="00EC6407"/>
    <w:rsid w:val="00EC7901"/>
    <w:rsid w:val="00EC7F23"/>
    <w:rsid w:val="00ED08CA"/>
    <w:rsid w:val="00ED1244"/>
    <w:rsid w:val="00ED1561"/>
    <w:rsid w:val="00ED2140"/>
    <w:rsid w:val="00ED27CE"/>
    <w:rsid w:val="00ED7CB4"/>
    <w:rsid w:val="00EE022F"/>
    <w:rsid w:val="00EE2757"/>
    <w:rsid w:val="00EE2907"/>
    <w:rsid w:val="00EE2B4C"/>
    <w:rsid w:val="00EE79B6"/>
    <w:rsid w:val="00EF0F4F"/>
    <w:rsid w:val="00EF13DF"/>
    <w:rsid w:val="00EF15CB"/>
    <w:rsid w:val="00EF2CF0"/>
    <w:rsid w:val="00EF3A1E"/>
    <w:rsid w:val="00EF454E"/>
    <w:rsid w:val="00EF6A46"/>
    <w:rsid w:val="00EF748B"/>
    <w:rsid w:val="00F00674"/>
    <w:rsid w:val="00F00C94"/>
    <w:rsid w:val="00F023C0"/>
    <w:rsid w:val="00F0241D"/>
    <w:rsid w:val="00F02988"/>
    <w:rsid w:val="00F03397"/>
    <w:rsid w:val="00F03D87"/>
    <w:rsid w:val="00F0500D"/>
    <w:rsid w:val="00F0546C"/>
    <w:rsid w:val="00F056A9"/>
    <w:rsid w:val="00F071E6"/>
    <w:rsid w:val="00F10B31"/>
    <w:rsid w:val="00F1188F"/>
    <w:rsid w:val="00F119D4"/>
    <w:rsid w:val="00F1245C"/>
    <w:rsid w:val="00F126E2"/>
    <w:rsid w:val="00F14319"/>
    <w:rsid w:val="00F14A1B"/>
    <w:rsid w:val="00F15F03"/>
    <w:rsid w:val="00F17248"/>
    <w:rsid w:val="00F20011"/>
    <w:rsid w:val="00F2054D"/>
    <w:rsid w:val="00F20FBF"/>
    <w:rsid w:val="00F210FC"/>
    <w:rsid w:val="00F21DD2"/>
    <w:rsid w:val="00F22E87"/>
    <w:rsid w:val="00F233DC"/>
    <w:rsid w:val="00F238B3"/>
    <w:rsid w:val="00F23FD1"/>
    <w:rsid w:val="00F249C7"/>
    <w:rsid w:val="00F251C9"/>
    <w:rsid w:val="00F25DFB"/>
    <w:rsid w:val="00F26005"/>
    <w:rsid w:val="00F26B03"/>
    <w:rsid w:val="00F3177F"/>
    <w:rsid w:val="00F3269B"/>
    <w:rsid w:val="00F32DDD"/>
    <w:rsid w:val="00F330E4"/>
    <w:rsid w:val="00F334C0"/>
    <w:rsid w:val="00F34CCD"/>
    <w:rsid w:val="00F3516A"/>
    <w:rsid w:val="00F35569"/>
    <w:rsid w:val="00F3689D"/>
    <w:rsid w:val="00F36A50"/>
    <w:rsid w:val="00F36CFC"/>
    <w:rsid w:val="00F371A8"/>
    <w:rsid w:val="00F40B70"/>
    <w:rsid w:val="00F40D26"/>
    <w:rsid w:val="00F41A02"/>
    <w:rsid w:val="00F4370D"/>
    <w:rsid w:val="00F4378A"/>
    <w:rsid w:val="00F462C5"/>
    <w:rsid w:val="00F46E04"/>
    <w:rsid w:val="00F50D27"/>
    <w:rsid w:val="00F52A9B"/>
    <w:rsid w:val="00F5312A"/>
    <w:rsid w:val="00F536B7"/>
    <w:rsid w:val="00F53EF7"/>
    <w:rsid w:val="00F54DF4"/>
    <w:rsid w:val="00F54E07"/>
    <w:rsid w:val="00F54E9E"/>
    <w:rsid w:val="00F5506E"/>
    <w:rsid w:val="00F568ED"/>
    <w:rsid w:val="00F57C18"/>
    <w:rsid w:val="00F63346"/>
    <w:rsid w:val="00F65272"/>
    <w:rsid w:val="00F655D7"/>
    <w:rsid w:val="00F663FA"/>
    <w:rsid w:val="00F66E46"/>
    <w:rsid w:val="00F720DD"/>
    <w:rsid w:val="00F7225B"/>
    <w:rsid w:val="00F72920"/>
    <w:rsid w:val="00F73923"/>
    <w:rsid w:val="00F747B3"/>
    <w:rsid w:val="00F75396"/>
    <w:rsid w:val="00F8180C"/>
    <w:rsid w:val="00F82630"/>
    <w:rsid w:val="00F83B65"/>
    <w:rsid w:val="00F844B5"/>
    <w:rsid w:val="00F84B2E"/>
    <w:rsid w:val="00F85BA8"/>
    <w:rsid w:val="00F86226"/>
    <w:rsid w:val="00F87ADE"/>
    <w:rsid w:val="00F90172"/>
    <w:rsid w:val="00F9140C"/>
    <w:rsid w:val="00F91D82"/>
    <w:rsid w:val="00F91F76"/>
    <w:rsid w:val="00F924BE"/>
    <w:rsid w:val="00F93590"/>
    <w:rsid w:val="00F9369D"/>
    <w:rsid w:val="00F94229"/>
    <w:rsid w:val="00F96736"/>
    <w:rsid w:val="00F96795"/>
    <w:rsid w:val="00FA08E4"/>
    <w:rsid w:val="00FA0D71"/>
    <w:rsid w:val="00FA3643"/>
    <w:rsid w:val="00FA39D0"/>
    <w:rsid w:val="00FA44FF"/>
    <w:rsid w:val="00FA512A"/>
    <w:rsid w:val="00FA5597"/>
    <w:rsid w:val="00FA582A"/>
    <w:rsid w:val="00FA6ABB"/>
    <w:rsid w:val="00FA6EAF"/>
    <w:rsid w:val="00FA6FA1"/>
    <w:rsid w:val="00FA7697"/>
    <w:rsid w:val="00FB104B"/>
    <w:rsid w:val="00FB14FD"/>
    <w:rsid w:val="00FB1E77"/>
    <w:rsid w:val="00FB2536"/>
    <w:rsid w:val="00FB25AE"/>
    <w:rsid w:val="00FB568F"/>
    <w:rsid w:val="00FB5838"/>
    <w:rsid w:val="00FC35ED"/>
    <w:rsid w:val="00FC3D06"/>
    <w:rsid w:val="00FC46FF"/>
    <w:rsid w:val="00FC4A36"/>
    <w:rsid w:val="00FC533C"/>
    <w:rsid w:val="00FC7A01"/>
    <w:rsid w:val="00FD05FF"/>
    <w:rsid w:val="00FD0677"/>
    <w:rsid w:val="00FD0748"/>
    <w:rsid w:val="00FD1320"/>
    <w:rsid w:val="00FD1FB7"/>
    <w:rsid w:val="00FD2886"/>
    <w:rsid w:val="00FD4210"/>
    <w:rsid w:val="00FD45FA"/>
    <w:rsid w:val="00FD5569"/>
    <w:rsid w:val="00FD6288"/>
    <w:rsid w:val="00FD7A15"/>
    <w:rsid w:val="00FE0036"/>
    <w:rsid w:val="00FE1BFD"/>
    <w:rsid w:val="00FE1CA0"/>
    <w:rsid w:val="00FE298B"/>
    <w:rsid w:val="00FE2AAA"/>
    <w:rsid w:val="00FE42F6"/>
    <w:rsid w:val="00FE5B01"/>
    <w:rsid w:val="00FE5DA0"/>
    <w:rsid w:val="00FE672B"/>
    <w:rsid w:val="00FF06DB"/>
    <w:rsid w:val="00FF0999"/>
    <w:rsid w:val="00FF0A87"/>
    <w:rsid w:val="00FF0B65"/>
    <w:rsid w:val="00FF1448"/>
    <w:rsid w:val="00FF2B2F"/>
    <w:rsid w:val="00FF2B39"/>
    <w:rsid w:val="00FF2F9C"/>
    <w:rsid w:val="00FF3449"/>
    <w:rsid w:val="00FF3670"/>
    <w:rsid w:val="00FF36AE"/>
    <w:rsid w:val="00FF59C0"/>
    <w:rsid w:val="00FF63BE"/>
    <w:rsid w:val="00FF6E47"/>
    <w:rsid w:val="00FF72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AE5C8"/>
  <w15:chartTrackingRefBased/>
  <w15:docId w15:val="{D412C441-E94F-4670-9D85-6353E0E9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3CFA"/>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543CFA"/>
    <w:pPr>
      <w:keepNext/>
      <w:keepLines/>
      <w:spacing w:before="240" w:after="240"/>
      <w:outlineLvl w:val="0"/>
    </w:pPr>
    <w:rPr>
      <w:rFonts w:eastAsiaTheme="majorEastAsia" w:cstheme="majorBidi"/>
      <w:b/>
      <w:szCs w:val="32"/>
    </w:rPr>
  </w:style>
  <w:style w:type="paragraph" w:styleId="Heading2">
    <w:name w:val="heading 2"/>
    <w:basedOn w:val="Normal"/>
    <w:next w:val="Normal"/>
    <w:link w:val="Heading2Char"/>
    <w:qFormat/>
    <w:rsid w:val="00A9603B"/>
    <w:pPr>
      <w:spacing w:before="240" w:after="240" w:line="240" w:lineRule="auto"/>
      <w:outlineLvl w:val="1"/>
    </w:pPr>
    <w:rPr>
      <w:rFonts w:eastAsia="Times New Roman" w:cs="Times New Roman"/>
      <w:b/>
      <w:bCs/>
      <w:i/>
      <w:color w:val="000000"/>
      <w:kern w:val="28"/>
      <w:szCs w:val="24"/>
      <w:lang w:val="en-CA" w:eastAsia="en-CA"/>
    </w:rPr>
  </w:style>
  <w:style w:type="paragraph" w:styleId="Heading3">
    <w:name w:val="heading 3"/>
    <w:basedOn w:val="Normal"/>
    <w:next w:val="Normal"/>
    <w:link w:val="Heading3Char"/>
    <w:uiPriority w:val="9"/>
    <w:unhideWhenUsed/>
    <w:qFormat/>
    <w:rsid w:val="00A9603B"/>
    <w:pPr>
      <w:keepNext/>
      <w:keepLines/>
      <w:spacing w:before="240" w:after="240" w:line="240" w:lineRule="auto"/>
      <w:outlineLvl w:val="2"/>
    </w:pPr>
    <w:rPr>
      <w:rFonts w:eastAsiaTheme="majorEastAsia" w:cstheme="majorBidi"/>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14F11"/>
    <w:pPr>
      <w:tabs>
        <w:tab w:val="center" w:pos="4703"/>
        <w:tab w:val="right" w:pos="9406"/>
      </w:tabs>
      <w:spacing w:after="0" w:line="240" w:lineRule="auto"/>
    </w:pPr>
  </w:style>
  <w:style w:type="character" w:customStyle="1" w:styleId="HeaderChar">
    <w:name w:val="Header Char"/>
    <w:basedOn w:val="DefaultParagraphFont"/>
    <w:link w:val="Header"/>
    <w:uiPriority w:val="99"/>
    <w:rsid w:val="00B14F11"/>
  </w:style>
  <w:style w:type="paragraph" w:styleId="Footer">
    <w:name w:val="footer"/>
    <w:basedOn w:val="Normal"/>
    <w:link w:val="FooterChar"/>
    <w:uiPriority w:val="99"/>
    <w:unhideWhenUsed/>
    <w:rsid w:val="00B14F11"/>
    <w:pPr>
      <w:tabs>
        <w:tab w:val="center" w:pos="4703"/>
        <w:tab w:val="right" w:pos="9406"/>
      </w:tabs>
      <w:spacing w:after="0" w:line="240" w:lineRule="auto"/>
    </w:pPr>
  </w:style>
  <w:style w:type="character" w:customStyle="1" w:styleId="FooterChar">
    <w:name w:val="Footer Char"/>
    <w:basedOn w:val="DefaultParagraphFont"/>
    <w:link w:val="Footer"/>
    <w:uiPriority w:val="99"/>
    <w:rsid w:val="00B14F11"/>
  </w:style>
  <w:style w:type="character" w:customStyle="1" w:styleId="Heading2Char">
    <w:name w:val="Heading 2 Char"/>
    <w:basedOn w:val="DefaultParagraphFont"/>
    <w:link w:val="Heading2"/>
    <w:rsid w:val="00A9603B"/>
    <w:rPr>
      <w:rFonts w:ascii="Times New Roman" w:eastAsia="Times New Roman" w:hAnsi="Times New Roman" w:cs="Times New Roman"/>
      <w:b/>
      <w:bCs/>
      <w:i/>
      <w:color w:val="000000"/>
      <w:kern w:val="28"/>
      <w:sz w:val="24"/>
      <w:szCs w:val="24"/>
      <w:lang w:val="en-CA" w:eastAsia="en-CA"/>
    </w:rPr>
  </w:style>
  <w:style w:type="character" w:styleId="CommentReference">
    <w:name w:val="annotation reference"/>
    <w:basedOn w:val="DefaultParagraphFont"/>
    <w:uiPriority w:val="99"/>
    <w:semiHidden/>
    <w:unhideWhenUsed/>
    <w:rsid w:val="007E52CF"/>
    <w:rPr>
      <w:sz w:val="16"/>
      <w:szCs w:val="16"/>
    </w:rPr>
  </w:style>
  <w:style w:type="paragraph" w:styleId="CommentText">
    <w:name w:val="annotation text"/>
    <w:basedOn w:val="Normal"/>
    <w:link w:val="CommentTextChar"/>
    <w:uiPriority w:val="99"/>
    <w:semiHidden/>
    <w:unhideWhenUsed/>
    <w:rsid w:val="007E52CF"/>
    <w:pPr>
      <w:spacing w:line="240" w:lineRule="auto"/>
    </w:pPr>
    <w:rPr>
      <w:sz w:val="20"/>
      <w:szCs w:val="20"/>
    </w:rPr>
  </w:style>
  <w:style w:type="character" w:customStyle="1" w:styleId="CommentTextChar">
    <w:name w:val="Comment Text Char"/>
    <w:basedOn w:val="DefaultParagraphFont"/>
    <w:link w:val="CommentText"/>
    <w:uiPriority w:val="99"/>
    <w:semiHidden/>
    <w:rsid w:val="007E52CF"/>
    <w:rPr>
      <w:sz w:val="20"/>
      <w:szCs w:val="20"/>
    </w:rPr>
  </w:style>
  <w:style w:type="paragraph" w:styleId="CommentSubject">
    <w:name w:val="annotation subject"/>
    <w:basedOn w:val="CommentText"/>
    <w:next w:val="CommentText"/>
    <w:link w:val="CommentSubjectChar"/>
    <w:uiPriority w:val="99"/>
    <w:semiHidden/>
    <w:unhideWhenUsed/>
    <w:rsid w:val="007E52CF"/>
    <w:rPr>
      <w:b/>
      <w:bCs/>
    </w:rPr>
  </w:style>
  <w:style w:type="character" w:customStyle="1" w:styleId="CommentSubjectChar">
    <w:name w:val="Comment Subject Char"/>
    <w:basedOn w:val="CommentTextChar"/>
    <w:link w:val="CommentSubject"/>
    <w:uiPriority w:val="99"/>
    <w:semiHidden/>
    <w:rsid w:val="007E52CF"/>
    <w:rPr>
      <w:b/>
      <w:bCs/>
      <w:sz w:val="20"/>
      <w:szCs w:val="20"/>
    </w:rPr>
  </w:style>
  <w:style w:type="paragraph" w:styleId="BalloonText">
    <w:name w:val="Balloon Text"/>
    <w:basedOn w:val="Normal"/>
    <w:link w:val="BalloonTextChar"/>
    <w:uiPriority w:val="99"/>
    <w:semiHidden/>
    <w:unhideWhenUsed/>
    <w:rsid w:val="007E52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52CF"/>
    <w:rPr>
      <w:rFonts w:ascii="Segoe UI" w:hAnsi="Segoe UI" w:cs="Segoe UI"/>
      <w:sz w:val="18"/>
      <w:szCs w:val="18"/>
    </w:rPr>
  </w:style>
  <w:style w:type="character" w:styleId="LineNumber">
    <w:name w:val="line number"/>
    <w:basedOn w:val="DefaultParagraphFont"/>
    <w:uiPriority w:val="99"/>
    <w:semiHidden/>
    <w:unhideWhenUsed/>
    <w:rsid w:val="00B64A9F"/>
  </w:style>
  <w:style w:type="paragraph" w:styleId="EndnoteText">
    <w:name w:val="endnote text"/>
    <w:basedOn w:val="Normal"/>
    <w:link w:val="EndnoteTextChar"/>
    <w:uiPriority w:val="99"/>
    <w:semiHidden/>
    <w:unhideWhenUsed/>
    <w:rsid w:val="0023742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37421"/>
    <w:rPr>
      <w:sz w:val="20"/>
      <w:szCs w:val="20"/>
    </w:rPr>
  </w:style>
  <w:style w:type="character" w:styleId="EndnoteReference">
    <w:name w:val="endnote reference"/>
    <w:basedOn w:val="DefaultParagraphFont"/>
    <w:uiPriority w:val="99"/>
    <w:semiHidden/>
    <w:unhideWhenUsed/>
    <w:rsid w:val="00237421"/>
    <w:rPr>
      <w:vertAlign w:val="superscript"/>
    </w:rPr>
  </w:style>
  <w:style w:type="paragraph" w:styleId="NormalWeb">
    <w:name w:val="Normal (Web)"/>
    <w:basedOn w:val="Normal"/>
    <w:uiPriority w:val="99"/>
    <w:semiHidden/>
    <w:unhideWhenUsed/>
    <w:rsid w:val="00E6145A"/>
    <w:pPr>
      <w:spacing w:before="100" w:beforeAutospacing="1" w:after="100" w:afterAutospacing="1" w:line="240" w:lineRule="auto"/>
    </w:pPr>
    <w:rPr>
      <w:rFonts w:eastAsia="Times New Roman" w:cs="Times New Roman"/>
      <w:szCs w:val="24"/>
      <w:lang w:val="en-GB" w:eastAsia="en-GB"/>
    </w:rPr>
  </w:style>
  <w:style w:type="character" w:styleId="Hyperlink">
    <w:name w:val="Hyperlink"/>
    <w:basedOn w:val="DefaultParagraphFont"/>
    <w:uiPriority w:val="99"/>
    <w:unhideWhenUsed/>
    <w:rsid w:val="00E6145A"/>
    <w:rPr>
      <w:color w:val="0000FF"/>
      <w:u w:val="single"/>
    </w:rPr>
  </w:style>
  <w:style w:type="character" w:styleId="PlaceholderText">
    <w:name w:val="Placeholder Text"/>
    <w:basedOn w:val="DefaultParagraphFont"/>
    <w:uiPriority w:val="99"/>
    <w:semiHidden/>
    <w:rsid w:val="001E79A9"/>
    <w:rPr>
      <w:color w:val="808080"/>
    </w:rPr>
  </w:style>
  <w:style w:type="table" w:styleId="TableGrid">
    <w:name w:val="Table Grid"/>
    <w:basedOn w:val="TableNormal"/>
    <w:uiPriority w:val="39"/>
    <w:rsid w:val="00153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F2CF0"/>
    <w:pPr>
      <w:spacing w:after="0" w:line="240" w:lineRule="auto"/>
    </w:pPr>
    <w:rPr>
      <w:lang w:val="en-GB"/>
    </w:rPr>
  </w:style>
  <w:style w:type="paragraph" w:styleId="Caption">
    <w:name w:val="caption"/>
    <w:basedOn w:val="Normal"/>
    <w:next w:val="Normal"/>
    <w:uiPriority w:val="35"/>
    <w:unhideWhenUsed/>
    <w:qFormat/>
    <w:rsid w:val="001038A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43CFA"/>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A9603B"/>
    <w:rPr>
      <w:rFonts w:ascii="Times New Roman" w:eastAsiaTheme="majorEastAsia" w:hAnsi="Times New Roman" w:cstheme="majorBidi"/>
      <w:i/>
      <w:sz w:val="24"/>
      <w:szCs w:val="24"/>
    </w:rPr>
  </w:style>
  <w:style w:type="character" w:styleId="UnresolvedMention">
    <w:name w:val="Unresolved Mention"/>
    <w:basedOn w:val="DefaultParagraphFont"/>
    <w:uiPriority w:val="99"/>
    <w:semiHidden/>
    <w:unhideWhenUsed/>
    <w:rsid w:val="00656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3609891">
      <w:bodyDiv w:val="1"/>
      <w:marLeft w:val="0"/>
      <w:marRight w:val="0"/>
      <w:marTop w:val="0"/>
      <w:marBottom w:val="0"/>
      <w:divBdr>
        <w:top w:val="none" w:sz="0" w:space="0" w:color="auto"/>
        <w:left w:val="none" w:sz="0" w:space="0" w:color="auto"/>
        <w:bottom w:val="none" w:sz="0" w:space="0" w:color="auto"/>
        <w:right w:val="none" w:sz="0" w:space="0" w:color="auto"/>
      </w:divBdr>
    </w:div>
    <w:div w:id="844445438">
      <w:bodyDiv w:val="1"/>
      <w:marLeft w:val="0"/>
      <w:marRight w:val="0"/>
      <w:marTop w:val="0"/>
      <w:marBottom w:val="0"/>
      <w:divBdr>
        <w:top w:val="none" w:sz="0" w:space="0" w:color="auto"/>
        <w:left w:val="none" w:sz="0" w:space="0" w:color="auto"/>
        <w:bottom w:val="none" w:sz="0" w:space="0" w:color="auto"/>
        <w:right w:val="none" w:sz="0" w:space="0" w:color="auto"/>
      </w:divBdr>
    </w:div>
    <w:div w:id="1161889503">
      <w:bodyDiv w:val="1"/>
      <w:marLeft w:val="0"/>
      <w:marRight w:val="0"/>
      <w:marTop w:val="0"/>
      <w:marBottom w:val="0"/>
      <w:divBdr>
        <w:top w:val="none" w:sz="0" w:space="0" w:color="auto"/>
        <w:left w:val="none" w:sz="0" w:space="0" w:color="auto"/>
        <w:bottom w:val="none" w:sz="0" w:space="0" w:color="auto"/>
        <w:right w:val="none" w:sz="0" w:space="0" w:color="auto"/>
      </w:divBdr>
    </w:div>
    <w:div w:id="164319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39ABC4-1E87-44A6-9846-76D997219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7509</Words>
  <Characters>42802</Characters>
  <Application>Microsoft Office Word</Application>
  <DocSecurity>0</DocSecurity>
  <Lines>356</Lines>
  <Paragraphs>100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MPI</Company>
  <LinksUpToDate>false</LinksUpToDate>
  <CharactersWithSpaces>50211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Kappelmann, Nils</dc:creator>
  <cp:keywords/>
  <dc:description/>
  <cp:lastModifiedBy>Nils Kappelmann</cp:lastModifiedBy>
  <cp:revision>208</cp:revision>
  <dcterms:created xsi:type="dcterms:W3CDTF">2020-01-31T14:31:00Z</dcterms:created>
  <dcterms:modified xsi:type="dcterms:W3CDTF">2020-07-02T13:37:00Z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http://www.zotero.org/styles/biomed-central</vt:lpwstr>
  </property>
  <property fmtid="{D5CDD505-2E9C-101B-9397-08002B2CF9AE}" pid="9" name="Mendeley Recent Style Name 3_1">
    <vt:lpwstr>BioMed Central</vt:lpwstr>
  </property>
  <property fmtid="{D5CDD505-2E9C-101B-9397-08002B2CF9AE}" pid="10" name="Mendeley Recent Style Id 4_1">
    <vt:lpwstr>http://www.zotero.org/styles/brain-behavior-and-immunity</vt:lpwstr>
  </property>
  <property fmtid="{D5CDD505-2E9C-101B-9397-08002B2CF9AE}" pid="11" name="Mendeley Recent Style Name 4_1">
    <vt:lpwstr>Brain Behavior and Immunity</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35b55aec-20df-383b-a8ad-b86c592c76eb</vt:lpwstr>
  </property>
  <property fmtid="{D5CDD505-2E9C-101B-9397-08002B2CF9AE}" pid="24" name="Mendeley Citation Style_1">
    <vt:lpwstr>http://www.zotero.org/styles/brain-behavior-and-immunity</vt:lpwstr>
  </property>
</Properties>
</file>