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Рабочий протокол для синхронизации</w:t>
      </w:r>
    </w:p>
    <w:p>
      <w:pPr>
        <w:spacing w:after="120"/>
      </w:pPr>
      <w:r>
        <w:t>Файл имитирует уже существующий рабочий протокол, который клиент прислал обратно после нескольких итераций.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vAlign w:val="center"/>
          </w:tcPr>
          <w:p>
            <w:r>
              <w:t>Пункт</w:t>
            </w:r>
          </w:p>
        </w:tc>
        <w:tc>
          <w:tcPr>
            <w:tcW w:type="dxa" w:w="3005"/>
            <w:vAlign w:val="center"/>
          </w:tcPr>
          <w:p>
            <w:r>
              <w:t>Редакция клиента</w:t>
            </w:r>
          </w:p>
        </w:tc>
        <w:tc>
          <w:tcPr>
            <w:tcW w:type="dxa" w:w="2835"/>
            <w:vAlign w:val="center"/>
          </w:tcPr>
          <w:p>
            <w:r>
              <w:t>Наша редакция</w:t>
            </w:r>
          </w:p>
        </w:tc>
        <w:tc>
          <w:tcPr>
            <w:tcW w:type="dxa" w:w="3288"/>
            <w:vAlign w:val="center"/>
          </w:tcPr>
          <w:p>
            <w:r>
              <w:t>Согласованная редакция</w:t>
            </w:r>
          </w:p>
        </w:tc>
      </w:tr>
      <w:tr>
        <w:tc>
          <w:tcPr>
            <w:tcW w:type="dxa" w:w="1020"/>
            <w:vAlign w:val="center"/>
          </w:tcPr>
          <w:p>
            <w:r>
              <w:t>1.2</w:t>
            </w:r>
          </w:p>
        </w:tc>
        <w:tc>
          <w:tcPr>
            <w:tcW w:type="dxa" w:w="3005"/>
            <w:vAlign w:val="center"/>
          </w:tcPr>
          <w:p>
            <w:r>
              <w:t>Полная ответственность Исполнителя за третьих лиц.</w:t>
            </w:r>
          </w:p>
        </w:tc>
        <w:tc>
          <w:tcPr>
            <w:tcW w:type="dxa" w:w="2835"/>
            <w:vAlign w:val="center"/>
          </w:tcPr>
          <w:p>
            <w:r>
              <w:t>Исполнитель вправе привлекать третьих лиц без согласования.</w:t>
            </w:r>
          </w:p>
        </w:tc>
        <w:tc>
          <w:tcPr>
            <w:tcW w:type="dxa" w:w="3288"/>
            <w:vAlign w:val="center"/>
          </w:tcPr>
          <w:p>
            <w:r>
              <w:t>Исполнитель вправе привлекать третьих лиц без дополнительного согласования, оставаясь полностью ответственным перед Клиентом за их действия и бездействие.</w:t>
            </w:r>
          </w:p>
        </w:tc>
      </w:tr>
      <w:tr>
        <w:tc>
          <w:tcPr>
            <w:tcW w:type="dxa" w:w="1020"/>
            <w:vAlign w:val="center"/>
          </w:tcPr>
          <w:p>
            <w:r>
              <w:t>1.3</w:t>
            </w:r>
          </w:p>
        </w:tc>
        <w:tc>
          <w:tcPr>
            <w:tcW w:type="dxa" w:w="3005"/>
            <w:vAlign w:val="center"/>
          </w:tcPr>
          <w:p>
            <w:r>
              <w:t>Акт за 5 рабочих дней, замечания сохранить.</w:t>
            </w:r>
          </w:p>
        </w:tc>
        <w:tc>
          <w:tcPr>
            <w:tcW w:type="dxa" w:w="2835"/>
            <w:vAlign w:val="center"/>
          </w:tcPr>
          <w:p>
            <w:r>
              <w:t>Акт за 5 рабочих дней.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2.1.2</w:t>
            </w:r>
          </w:p>
        </w:tc>
        <w:tc>
          <w:tcPr>
            <w:tcW w:type="dxa" w:w="3005"/>
            <w:vAlign w:val="center"/>
          </w:tcPr>
          <w:p>
            <w:r>
              <w:t>Ответ на заявку за 24 часа.</w:t>
            </w:r>
          </w:p>
        </w:tc>
        <w:tc>
          <w:tcPr>
            <w:tcW w:type="dxa" w:w="2835"/>
            <w:vAlign w:val="center"/>
          </w:tcPr>
          <w:p>
            <w:r>
              <w:t>Ответ на заявку за 48 часов.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3.2</w:t>
            </w:r>
          </w:p>
        </w:tc>
        <w:tc>
          <w:tcPr>
            <w:tcW w:type="dxa" w:w="3005"/>
            <w:vAlign w:val="center"/>
          </w:tcPr>
          <w:p>
            <w:r>
              <w:t>Возмещение документально подтвержденного ущерба.</w:t>
            </w:r>
          </w:p>
        </w:tc>
        <w:tc>
          <w:tcPr>
            <w:tcW w:type="dxa" w:w="2835"/>
            <w:vAlign w:val="center"/>
          </w:tcPr>
          <w:p>
            <w:r>
              <w:t>Ограничение ответственности реальным ущербом.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4.1</w:t>
            </w:r>
          </w:p>
        </w:tc>
        <w:tc>
          <w:tcPr>
            <w:tcW w:type="dxa" w:w="3005"/>
            <w:vAlign w:val="center"/>
          </w:tcPr>
          <w:p>
            <w:r>
              <w:t>Арбитражный суд города Москвы.</w:t>
            </w:r>
          </w:p>
        </w:tc>
        <w:tc>
          <w:tcPr>
            <w:tcW w:type="dxa" w:w="2835"/>
            <w:vAlign w:val="center"/>
          </w:tcPr>
          <w:p>
            <w:r>
              <w:t>Суд по месту Исполнителя.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5.1</w:t>
            </w:r>
          </w:p>
        </w:tc>
        <w:tc>
          <w:tcPr>
            <w:tcW w:type="dxa" w:w="3005"/>
            <w:vAlign w:val="center"/>
          </w:tcPr>
          <w:p>
            <w:r>
              <w:t>Конфиденциальность сохранить.</w:t>
            </w:r>
          </w:p>
        </w:tc>
        <w:tc>
          <w:tcPr>
            <w:tcW w:type="dxa" w:w="2835"/>
            <w:vAlign w:val="center"/>
          </w:tcPr>
          <w:p>
            <w:r>
              <w:t>Возражений нет.</w:t>
            </w:r>
          </w:p>
        </w:tc>
        <w:tc>
          <w:tcPr>
            <w:tcW w:type="dxa" w:w="3288"/>
            <w:vAlign w:val="center"/>
          </w:tcPr>
          <w:p>
            <w:r>
              <w:t>Стороны обязуются не раскрывать стоимость услуг, маршруты перевозки, условия заявок и иную коммерчески значимую информацию.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