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для синхронизации после дублей</w:t>
      </w:r>
    </w:p>
    <w:p>
      <w:pPr>
        <w:spacing w:after="120"/>
      </w:pPr>
      <w:r>
        <w:t>Рабочий протокол после ответа юриста. Клиент прислал его обратно для синхронизации.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</w:tcPr>
          <w:p>
            <w:r>
              <w:t>Пункт</w:t>
            </w:r>
          </w:p>
        </w:tc>
        <w:tc>
          <w:tcPr>
            <w:tcW w:type="dxa" w:w="2948"/>
          </w:tcPr>
          <w:p>
            <w:r>
              <w:t>Редакция клиента</w:t>
            </w:r>
          </w:p>
        </w:tc>
        <w:tc>
          <w:tcPr>
            <w:tcW w:type="dxa" w:w="2835"/>
          </w:tcPr>
          <w:p>
            <w:r>
              <w:t>Наша редакция</w:t>
            </w:r>
          </w:p>
        </w:tc>
        <w:tc>
          <w:tcPr>
            <w:tcW w:type="dxa" w:w="3288"/>
          </w:tcPr>
          <w:p>
            <w:r>
              <w:t>Согласованная редакция</w:t>
            </w:r>
          </w:p>
        </w:tc>
      </w:tr>
      <w:tr>
        <w:tc>
          <w:tcPr>
            <w:tcW w:type="dxa" w:w="1020"/>
            <w:vAlign w:val="center"/>
          </w:tcPr>
          <w:p>
            <w:r>
              <w:t>1.2</w:t>
            </w:r>
          </w:p>
        </w:tc>
        <w:tc>
          <w:tcPr>
            <w:tcW w:type="dxa" w:w="2948"/>
            <w:vAlign w:val="center"/>
          </w:tcPr>
          <w:p>
            <w:r>
              <w:t>Полная ответственность за подрядчиков.</w:t>
            </w:r>
          </w:p>
        </w:tc>
        <w:tc>
          <w:tcPr>
            <w:tcW w:type="dxa" w:w="2835"/>
            <w:vAlign w:val="center"/>
          </w:tcPr>
          <w:p>
            <w:r>
              <w:t>Исполнитель отвечает за действия привлеченных лиц.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1.3</w:t>
            </w:r>
          </w:p>
        </w:tc>
        <w:tc>
          <w:tcPr>
            <w:tcW w:type="dxa" w:w="2948"/>
            <w:vAlign w:val="center"/>
          </w:tcPr>
          <w:p>
            <w:r>
              <w:t>Право на замечания к Акту.</w:t>
            </w:r>
          </w:p>
        </w:tc>
        <w:tc>
          <w:tcPr>
            <w:tcW w:type="dxa" w:w="2835"/>
            <w:vAlign w:val="center"/>
          </w:tcPr>
          <w:p>
            <w:r>
              <w:t>Замечания не выделяем отдельно.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2.1.1</w:t>
            </w:r>
          </w:p>
        </w:tc>
        <w:tc>
          <w:tcPr>
            <w:tcW w:type="dxa" w:w="2948"/>
            <w:vAlign w:val="center"/>
          </w:tcPr>
          <w:p>
            <w:r>
              <w:t>2 рабочих дня.</w:t>
            </w:r>
          </w:p>
        </w:tc>
        <w:tc>
          <w:tcPr>
            <w:tcW w:type="dxa" w:w="2835"/>
            <w:vAlign w:val="center"/>
          </w:tcPr>
          <w:p>
            <w:r>
              <w:t>3 рабочих дня.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3.2</w:t>
            </w:r>
          </w:p>
        </w:tc>
        <w:tc>
          <w:tcPr>
            <w:tcW w:type="dxa" w:w="2948"/>
            <w:vAlign w:val="center"/>
          </w:tcPr>
          <w:p>
            <w:r>
              <w:t>Не ограничивать только реальным ущербом.</w:t>
            </w:r>
          </w:p>
        </w:tc>
        <w:tc>
          <w:tcPr>
            <w:tcW w:type="dxa" w:w="2835"/>
            <w:vAlign w:val="center"/>
          </w:tcPr>
          <w:p>
            <w:r>
              <w:t>Оставить как в шаблоне.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3.4</w:t>
            </w:r>
          </w:p>
        </w:tc>
        <w:tc>
          <w:tcPr>
            <w:tcW w:type="dxa" w:w="2948"/>
            <w:vAlign w:val="center"/>
          </w:tcPr>
          <w:p>
            <w:r>
              <w:t>Добавить страхование груза или уведомление об отсутствии страхования.</w:t>
            </w:r>
          </w:p>
        </w:tc>
        <w:tc>
          <w:tcPr>
            <w:tcW w:type="dxa" w:w="2835"/>
            <w:vAlign w:val="center"/>
          </w:tcPr>
          <w:p>
            <w:r>
              <w:t>Готовы обсуждать только обязанность уведомления.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  <w:tr>
        <w:tc>
          <w:tcPr>
            <w:tcW w:type="dxa" w:w="1020"/>
            <w:vAlign w:val="center"/>
          </w:tcPr>
          <w:p>
            <w:r>
              <w:t>4.1</w:t>
            </w:r>
          </w:p>
        </w:tc>
        <w:tc>
          <w:tcPr>
            <w:tcW w:type="dxa" w:w="2948"/>
            <w:vAlign w:val="center"/>
          </w:tcPr>
          <w:p>
            <w:r>
              <w:t>Арбитражный суд города Москвы.</w:t>
            </w:r>
          </w:p>
        </w:tc>
        <w:tc>
          <w:tcPr>
            <w:tcW w:type="dxa" w:w="2835"/>
            <w:vAlign w:val="center"/>
          </w:tcPr>
          <w:p>
            <w:r>
              <w:t>По месту Исполнителя.</w:t>
            </w:r>
          </w:p>
        </w:tc>
        <w:tc>
          <w:tcPr>
            <w:tcW w:type="dxa" w:w="3288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