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SCHWENNINGEN-COIN</w:t>
      </w:r>
    </w:p>
    <w:p>
      <w:pPr>
        <w:jc w:val="center"/>
      </w:pPr>
      <w:r>
        <w:rPr>
          <w:sz w:val="22"/>
        </w:rPr>
        <w:t>Community Whitepaper</w:t>
        <w:br/>
        <w:t>Version 1.0 · Solana Blockchain</w:t>
      </w:r>
    </w:p>
    <w:p>
      <w:r>
        <w:drawing>
          <wp:inline xmlns:a="http://schemas.openxmlformats.org/drawingml/2006/main" xmlns:pic="http://schemas.openxmlformats.org/drawingml/2006/picture">
            <wp:extent cx="5580000" cy="3663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derundrueckseit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Einleitung</w:t>
      </w:r>
    </w:p>
    <w:p>
      <w:r>
        <w:t>Der Schwenningen-Coin ist ein lokales Community-Projekt auf Basis der Solana-Blockchain. Ziel des Projekts ist es, eine moderne digitale Gemeinschaft rund um Schwenningen aufzubauen und Menschen durch gemeinsame Aktionen, kreative Ideen und digitale Kultur miteinander zu verbinden.</w:t>
        <w:br/>
        <w:br/>
        <w:t>Der Coin versteht sich ausdrücklich nicht als Finanzprodukt oder Investmentobjekt. Stattdessen dient er als digitales Sammlerstück und Symbol einer regionalen Community.</w:t>
      </w:r>
    </w:p>
    <w:p>
      <w:r>
        <w:rPr>
          <w:b/>
          <w:sz w:val="32"/>
        </w:rPr>
        <w:t>Projektidee</w:t>
      </w:r>
    </w:p>
    <w:p>
      <w:r>
        <w:t>Der Schwenningen-Coin kombiniert regionale Identität mit moderner Blockchain-Technologie. Durch einfache Wallet-Transfers, Community-Aktionen und digitale Verteilung entsteht ein offenes Projekt, an dem jeder teilnehmen kann.</w:t>
      </w:r>
    </w:p>
    <w:p>
      <w:pPr>
        <w:pStyle w:val="ListBullet"/>
      </w:pPr>
      <w:r>
        <w:t>Community-Aufbau</w:t>
      </w:r>
    </w:p>
    <w:p>
      <w:pPr>
        <w:pStyle w:val="ListBullet"/>
      </w:pPr>
      <w:r>
        <w:t>regionale Verbundenheit</w:t>
      </w:r>
    </w:p>
    <w:p>
      <w:pPr>
        <w:pStyle w:val="ListBullet"/>
      </w:pPr>
      <w:r>
        <w:t>digitale Aktionen</w:t>
      </w:r>
    </w:p>
    <w:p>
      <w:pPr>
        <w:pStyle w:val="ListBullet"/>
      </w:pPr>
      <w:r>
        <w:t>moderne Internetkultur</w:t>
      </w:r>
    </w:p>
    <w:p>
      <w:pPr>
        <w:pStyle w:val="ListBullet"/>
      </w:pPr>
      <w:r>
        <w:t>kreative Projekte rund um Schwenningen</w:t>
      </w:r>
    </w:p>
    <w:p>
      <w:r>
        <w:rPr>
          <w:b/>
          <w:sz w:val="32"/>
        </w:rPr>
        <w:t>Technische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Merkmal</w:t>
            </w:r>
          </w:p>
        </w:tc>
        <w:tc>
          <w:tcPr>
            <w:tcW w:type="dxa" w:w="4986"/>
          </w:tcPr>
          <w:p>
            <w:r>
              <w:t>Information</w:t>
            </w:r>
          </w:p>
        </w:tc>
      </w:tr>
      <w:tr>
        <w:tc>
          <w:tcPr>
            <w:tcW w:type="dxa" w:w="4986"/>
          </w:tcPr>
          <w:p>
            <w:r>
              <w:t>Blockchain</w:t>
            </w:r>
          </w:p>
        </w:tc>
        <w:tc>
          <w:tcPr>
            <w:tcW w:type="dxa" w:w="4986"/>
          </w:tcPr>
          <w:p>
            <w:r>
              <w:t>Solana</w:t>
            </w:r>
          </w:p>
        </w:tc>
      </w:tr>
      <w:tr>
        <w:tc>
          <w:tcPr>
            <w:tcW w:type="dxa" w:w="4986"/>
          </w:tcPr>
          <w:p>
            <w:r>
              <w:t>Tokenstandard</w:t>
            </w:r>
          </w:p>
        </w:tc>
        <w:tc>
          <w:tcPr>
            <w:tcW w:type="dxa" w:w="4986"/>
          </w:tcPr>
          <w:p>
            <w:r>
              <w:t>SPL Token</w:t>
            </w:r>
          </w:p>
        </w:tc>
      </w:tr>
      <w:tr>
        <w:tc>
          <w:tcPr>
            <w:tcW w:type="dxa" w:w="4986"/>
          </w:tcPr>
          <w:p>
            <w:r>
              <w:t>Gesamtversorgung</w:t>
            </w:r>
          </w:p>
        </w:tc>
        <w:tc>
          <w:tcPr>
            <w:tcW w:type="dxa" w:w="4986"/>
          </w:tcPr>
          <w:p>
            <w:r>
              <w:t>165.000 SWHBG</w:t>
            </w:r>
          </w:p>
        </w:tc>
      </w:tr>
      <w:tr>
        <w:tc>
          <w:tcPr>
            <w:tcW w:type="dxa" w:w="4986"/>
          </w:tcPr>
          <w:p>
            <w:r>
              <w:t>Weitere Mintings</w:t>
            </w:r>
          </w:p>
        </w:tc>
        <w:tc>
          <w:tcPr>
            <w:tcW w:type="dxa" w:w="4986"/>
          </w:tcPr>
          <w:p>
            <w:r>
              <w:t>deaktiviert</w:t>
            </w:r>
          </w:p>
        </w:tc>
      </w:tr>
      <w:tr>
        <w:tc>
          <w:tcPr>
            <w:tcW w:type="dxa" w:w="4986"/>
          </w:tcPr>
          <w:p>
            <w:r>
              <w:t>Freeze Authority</w:t>
            </w:r>
          </w:p>
        </w:tc>
        <w:tc>
          <w:tcPr>
            <w:tcW w:type="dxa" w:w="4986"/>
          </w:tcPr>
          <w:p>
            <w:r>
              <w:t>deaktiviert</w:t>
            </w:r>
          </w:p>
        </w:tc>
      </w:tr>
    </w:tbl>
    <w:p>
      <w:r>
        <w:t>Die Tokenversorgung ist dauerhaft begrenzt. Nachträgliche Änderungen an der Tokenmenge sind nicht möglich.</w:t>
      </w:r>
    </w:p>
    <w:p>
      <w:r>
        <w:rPr>
          <w:b/>
          <w:sz w:val="32"/>
        </w:rPr>
        <w:t>Tokenomics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Bereich</w:t>
            </w:r>
          </w:p>
        </w:tc>
        <w:tc>
          <w:tcPr>
            <w:tcW w:type="dxa" w:w="3324"/>
          </w:tcPr>
          <w:p>
            <w:r>
              <w:t>Anteil</w:t>
            </w:r>
          </w:p>
        </w:tc>
        <w:tc>
          <w:tcPr>
            <w:tcW w:type="dxa" w:w="3324"/>
          </w:tcPr>
          <w:p>
            <w:r>
              <w:t>Menge</w:t>
            </w:r>
          </w:p>
        </w:tc>
      </w:tr>
      <w:tr>
        <w:tc>
          <w:tcPr>
            <w:tcW w:type="dxa" w:w="3324"/>
          </w:tcPr>
          <w:p>
            <w:r>
              <w:t>Community &amp; Events</w:t>
            </w:r>
          </w:p>
        </w:tc>
        <w:tc>
          <w:tcPr>
            <w:tcW w:type="dxa" w:w="3324"/>
          </w:tcPr>
          <w:p>
            <w:r>
              <w:t>70%</w:t>
            </w:r>
          </w:p>
        </w:tc>
        <w:tc>
          <w:tcPr>
            <w:tcW w:type="dxa" w:w="3324"/>
          </w:tcPr>
          <w:p>
            <w:r>
              <w:t>115.500</w:t>
            </w:r>
          </w:p>
        </w:tc>
      </w:tr>
      <w:tr>
        <w:tc>
          <w:tcPr>
            <w:tcW w:type="dxa" w:w="3324"/>
          </w:tcPr>
          <w:p>
            <w:r>
              <w:t>Projektreserve</w:t>
            </w:r>
          </w:p>
        </w:tc>
        <w:tc>
          <w:tcPr>
            <w:tcW w:type="dxa" w:w="3324"/>
          </w:tcPr>
          <w:p>
            <w:r>
              <w:t>20%</w:t>
            </w:r>
          </w:p>
        </w:tc>
        <w:tc>
          <w:tcPr>
            <w:tcW w:type="dxa" w:w="3324"/>
          </w:tcPr>
          <w:p>
            <w:r>
              <w:t>33.000</w:t>
            </w:r>
          </w:p>
        </w:tc>
      </w:tr>
      <w:tr>
        <w:tc>
          <w:tcPr>
            <w:tcW w:type="dxa" w:w="3324"/>
          </w:tcPr>
          <w:p>
            <w:r>
              <w:t>Organisation &amp; Design</w:t>
            </w:r>
          </w:p>
        </w:tc>
        <w:tc>
          <w:tcPr>
            <w:tcW w:type="dxa" w:w="3324"/>
          </w:tcPr>
          <w:p>
            <w:r>
              <w:t>10%</w:t>
            </w:r>
          </w:p>
        </w:tc>
        <w:tc>
          <w:tcPr>
            <w:tcW w:type="dxa" w:w="3324"/>
          </w:tcPr>
          <w:p>
            <w:r>
              <w:t>16.500</w:t>
            </w:r>
          </w:p>
        </w:tc>
      </w:tr>
    </w:tbl>
    <w:p>
      <w:r>
        <w:rPr>
          <w:b/>
          <w:sz w:val="32"/>
        </w:rPr>
        <w:t>Nutzung</w:t>
      </w:r>
    </w:p>
    <w:p>
      <w:r>
        <w:t>Der Schwenningen-Coin kann für Community-Aktionen, digitale Sammelzwecke, Giveaways, lokale Events, kreative Online-Projekte und Social-Media-Aktionen verwendet werden.</w:t>
        <w:br/>
        <w:br/>
        <w:t>Ein offizieller Marktwert oder spekulativer Nutzen ist nicht vorgesehen.</w:t>
      </w:r>
    </w:p>
    <w:p>
      <w:r>
        <w:rPr>
          <w:b/>
          <w:sz w:val="32"/>
        </w:rPr>
        <w:t>Transparenz &amp; Sicherheit</w:t>
      </w:r>
    </w:p>
    <w:p>
      <w:r>
        <w:t>Der Schwenningen-Coin setzt auf maximale Transparenz:</w:t>
        <w:br/>
        <w:br/>
        <w:t>• öffentliche Blockchain-Daten</w:t>
        <w:br/>
        <w:t>• feste Gesamtversorgung</w:t>
        <w:br/>
        <w:t>• keine versteckten Funktionen</w:t>
        <w:br/>
        <w:t>• nachvollziehbare Transaktionen</w:t>
        <w:br/>
        <w:br/>
        <w:t>Alle Transaktionen sind öffentlich über die Solana-Blockchain einsehbar.</w:t>
      </w:r>
    </w:p>
    <w:p>
      <w:r>
        <w:rPr>
          <w:b/>
          <w:sz w:val="32"/>
        </w:rPr>
        <w:t>Vision</w:t>
      </w:r>
    </w:p>
    <w:p>
      <w:r>
        <w:t>Der Schwenningen-Coin soll zeigen, wie moderne Blockchain-Technologie auch für lokale Gemeinschaftsprojekte kreativ genutzt werden kann — unkompliziert, offen und gemeinschaftlich.</w:t>
        <w:br/>
        <w:br/>
        <w:t>Das Projekt steht für digitale Gemeinschaft, regionale Identität und die Freude an neuen Technologien.</w:t>
      </w:r>
    </w:p>
    <w:p>
      <w:r>
        <w:rPr>
          <w:b/>
          <w:sz w:val="32"/>
        </w:rPr>
        <w:t>Hinweis</w:t>
      </w:r>
    </w:p>
    <w:p>
      <w:r>
        <w:t>Der Schwenningen-Coin ist ein unabhängiges Community-Projekt ohne Gewinnversprechen und ohne Anspruch auf finanzielle Rendite.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