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before="0"/>
        <w:jc w:val="center"/>
      </w:pPr>
      <w:r>
        <w:rPr>
          <w:rFonts w:ascii="Arial" w:cs="Arial" w:eastAsia="Arial" w:hAnsi="Arial"/>
          <w:b/>
          <w:bCs/>
          <w:color w:val="1565C0"/>
          <w:sz w:val="52"/>
          <w:szCs w:val="52"/>
        </w:rPr>
        <w:t xml:space="preserve">BUSINESS PROFIT LEAK AUDIT</w:t>
      </w:r>
    </w:p>
    <w:p>
      <w:pPr>
        <w:spacing w:after="40" w:before="0"/>
        <w:jc w:val="center"/>
      </w:pPr>
      <w:r>
        <w:rPr>
          <w:rFonts w:ascii="Arial" w:cs="Arial" w:eastAsia="Arial" w:hAnsi="Arial"/>
          <w:i/>
          <w:iCs/>
          <w:color w:val="6A0DAD"/>
          <w:sz w:val="26"/>
          <w:szCs w:val="26"/>
        </w:rPr>
        <w:t xml:space="preserve">A Structured Self-Assessment for SME Owners</w:t>
      </w:r>
    </w:p>
    <w:p>
      <w:pPr>
        <w:spacing w:after="280" w:before="0"/>
        <w:jc w:val="center"/>
      </w:pPr>
      <w:r>
        <w:rPr>
          <w:rFonts w:ascii="Arial" w:cs="Arial" w:eastAsia="Arial" w:hAnsi="Arial"/>
          <w:color w:val="888888"/>
          <w:sz w:val="22"/>
          <w:szCs w:val="22"/>
        </w:rPr>
        <w:t xml:space="preserve">Sarnia &amp; Greater Ontario Area Edition</w:t>
      </w:r>
    </w:p>
    <w:p>
      <w:pPr>
        <w:pBdr>
          <w:bottom w:val="single" w:color="00BFFF" w:sz="12" w:space="2"/>
        </w:pBdr>
        <w:spacing w:after="280" w:before="0"/>
      </w:pPr>
      <w:r>
        <w:t xml:space="preserve"/>
      </w:r>
    </w:p>
    <w:p>
      <w:pPr>
        <w:spacing w:after="60" w:before="60"/>
      </w:pPr>
      <w:r>
        <w:rPr>
          <w:rFonts w:ascii="Arial" w:cs="Arial" w:eastAsia="Arial" w:hAnsi="Arial"/>
          <w:i w:val="false"/>
          <w:iCs w:val="false"/>
          <w:color w:val="222222"/>
          <w:sz w:val="23"/>
          <w:szCs w:val="23"/>
        </w:rPr>
        <w:t xml:space="preserve">Most businesses do not lose money in one dramatic event. They lose it slowly — through pricing gaps that nobody reviews, operational delays that become normalized, and cost structures that quietly expand while attention is focused elsewhere. This audit exists to surface those losses before they compound.</w:t>
      </w:r>
    </w:p>
    <w:p>
      <w:pPr>
        <w:spacing w:after="80" w:before="80"/>
      </w:pPr>
      <w:r>
        <w:t xml:space="preserve"/>
      </w:r>
    </w:p>
    <w:p>
      <w:pPr>
        <w:spacing w:after="60" w:before="60"/>
      </w:pPr>
      <w:r>
        <w:rPr>
          <w:rFonts w:ascii="Arial" w:cs="Arial" w:eastAsia="Arial" w:hAnsi="Arial"/>
          <w:color w:val="222222"/>
          <w:sz w:val="23"/>
          <w:szCs w:val="23"/>
        </w:rPr>
        <w:t xml:space="preserve">Working through each section will give you a clear picture of where your business is most exposed, and what to address first — before you engage any consultant or advisor.</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6"/>
              <w:left w:val="single" w:color="1565C0" w:sz="6"/>
              <w:bottom w:val="single" w:color="1565C0" w:sz="6"/>
              <w:right w:val="single" w:color="1565C0" w:sz="6"/>
            </w:tcBorders>
            <w:shd w:fill="F0F6FF" w:val="clear"/>
            <w:tcMar>
              <w:top w:type="dxa" w:w="200"/>
              <w:left w:type="dxa" w:w="280"/>
              <w:bottom w:type="dxa" w:w="200"/>
              <w:right w:type="dxa" w:w="280"/>
            </w:tcMar>
          </w:tcPr>
          <w:p>
            <w:pPr>
              <w:spacing w:after="120"/>
            </w:pPr>
            <w:r>
              <w:rPr>
                <w:rFonts w:ascii="Arial" w:cs="Arial" w:eastAsia="Arial" w:hAnsi="Arial"/>
                <w:b/>
                <w:bCs/>
                <w:color w:val="1565C0"/>
                <w:sz w:val="24"/>
                <w:szCs w:val="24"/>
              </w:rPr>
              <w:t xml:space="preserve">WHAT'S INSIDE THIS AUDIT</w:t>
            </w:r>
          </w:p>
          <w:p>
            <w:pPr>
              <w:pStyle w:val="ListParagraph"/>
              <w:numPr>
                <w:ilvl w:val="0"/>
                <w:numId w:val="2"/>
              </w:numPr>
              <w:spacing w:after="40" w:before="40"/>
            </w:pPr>
            <w:r>
              <w:rPr>
                <w:rFonts w:ascii="Arial" w:cs="Arial" w:eastAsia="Arial" w:hAnsi="Arial"/>
                <w:b/>
                <w:bCs/>
                <w:color w:val="222222"/>
                <w:sz w:val="22"/>
                <w:szCs w:val="22"/>
              </w:rPr>
              <w:t xml:space="preserve">Section 1: Revenue Leakage</w:t>
            </w:r>
          </w:p>
          <w:p>
            <w:pPr>
              <w:pStyle w:val="ListParagraph"/>
              <w:numPr>
                <w:ilvl w:val="0"/>
                <w:numId w:val="2"/>
              </w:numPr>
              <w:spacing w:after="40" w:before="40"/>
            </w:pPr>
            <w:r>
              <w:rPr>
                <w:rFonts w:ascii="Arial" w:cs="Arial" w:eastAsia="Arial" w:hAnsi="Arial"/>
                <w:b/>
                <w:bCs/>
                <w:color w:val="222222"/>
                <w:sz w:val="22"/>
                <w:szCs w:val="22"/>
              </w:rPr>
              <w:t xml:space="preserve">Section 2: Cost &amp; Margin Erosion</w:t>
            </w:r>
          </w:p>
          <w:p>
            <w:pPr>
              <w:pStyle w:val="ListParagraph"/>
              <w:numPr>
                <w:ilvl w:val="0"/>
                <w:numId w:val="2"/>
              </w:numPr>
              <w:spacing w:after="40" w:before="40"/>
            </w:pPr>
            <w:r>
              <w:rPr>
                <w:rFonts w:ascii="Arial" w:cs="Arial" w:eastAsia="Arial" w:hAnsi="Arial"/>
                <w:b/>
                <w:bCs/>
                <w:color w:val="222222"/>
                <w:sz w:val="22"/>
                <w:szCs w:val="22"/>
              </w:rPr>
              <w:t xml:space="preserve">Section 3: Operational Inefficiency</w:t>
            </w:r>
          </w:p>
          <w:p>
            <w:pPr>
              <w:pStyle w:val="ListParagraph"/>
              <w:numPr>
                <w:ilvl w:val="0"/>
                <w:numId w:val="2"/>
              </w:numPr>
              <w:spacing w:after="40" w:before="40"/>
            </w:pPr>
            <w:r>
              <w:rPr>
                <w:rFonts w:ascii="Arial" w:cs="Arial" w:eastAsia="Arial" w:hAnsi="Arial"/>
                <w:b/>
                <w:bCs/>
                <w:color w:val="222222"/>
                <w:sz w:val="22"/>
                <w:szCs w:val="22"/>
              </w:rPr>
              <w:t xml:space="preserve">Section 4: Cash Flow &amp; Working Capital</w:t>
            </w:r>
          </w:p>
          <w:p>
            <w:pPr>
              <w:pStyle w:val="ListParagraph"/>
              <w:numPr>
                <w:ilvl w:val="0"/>
                <w:numId w:val="2"/>
              </w:numPr>
              <w:spacing w:after="40" w:before="40"/>
            </w:pPr>
            <w:r>
              <w:rPr>
                <w:rFonts w:ascii="Arial" w:cs="Arial" w:eastAsia="Arial" w:hAnsi="Arial"/>
                <w:b/>
                <w:bCs/>
                <w:color w:val="222222"/>
                <w:sz w:val="22"/>
                <w:szCs w:val="22"/>
              </w:rPr>
              <w:t xml:space="preserve">Section 5: People, Process &amp; Systems</w:t>
            </w:r>
          </w:p>
          <w:p>
            <w:pPr>
              <w:pStyle w:val="ListParagraph"/>
              <w:numPr>
                <w:ilvl w:val="0"/>
                <w:numId w:val="2"/>
              </w:numPr>
              <w:spacing w:after="0" w:before="40"/>
            </w:pPr>
            <w:r>
              <w:rPr>
                <w:rFonts w:ascii="Arial" w:cs="Arial" w:eastAsia="Arial" w:hAnsi="Arial"/>
                <w:color w:val="222222"/>
                <w:sz w:val="22"/>
                <w:szCs w:val="22"/>
              </w:rPr>
              <w:t xml:space="preserve">Scoring Guide &amp; Priority Matrix</w:t>
            </w:r>
          </w:p>
        </w:tc>
      </w:tr>
    </w:tbl>
    <w:p>
      <w:pPr>
        <w:spacing w:after="80" w:before="160"/>
      </w:pPr>
      <w:r>
        <w:t xml:space="preserve"/>
      </w:r>
    </w:p>
    <w:p>
      <w:pPr>
        <w:spacing w:after="60" w:before="60"/>
      </w:pPr>
      <w:r>
        <w:rPr>
          <w:rFonts w:ascii="Arial" w:cs="Arial" w:eastAsia="Arial" w:hAnsi="Arial"/>
          <w:i/>
          <w:iCs/>
          <w:color w:val="666666"/>
          <w:sz w:val="20"/>
          <w:szCs w:val="20"/>
        </w:rPr>
        <w:t xml:space="preserve">Designed for business owners in manufacturing, retail, logistics, and professional services. This tool is provided free of charge to the Sarnia and Greater Ontario business community.</w:t>
      </w:r>
    </w:p>
    <w:p>
      <w:r>
        <w:br w:type="page"/>
      </w:r>
    </w:p>
    <w:p>
      <w:pPr>
        <w:pBdr>
          <w:bottom w:val="single" w:color="0099DD" w:sz="6" w:space="4"/>
        </w:pBdr>
        <w:spacing w:after="120" w:before="320"/>
      </w:pPr>
      <w:r>
        <w:rPr>
          <w:rFonts w:ascii="Arial" w:cs="Arial" w:eastAsia="Arial" w:hAnsi="Arial"/>
          <w:b/>
          <w:bCs/>
          <w:color w:val="1565C0"/>
          <w:sz w:val="32"/>
          <w:szCs w:val="32"/>
        </w:rPr>
        <w:t xml:space="preserve">How to Use This Audit</w:t>
      </w:r>
    </w:p>
    <w:p>
      <w:pPr>
        <w:spacing w:after="40" w:before="60"/>
      </w:pPr>
      <w:r>
        <w:t xml:space="preserve"/>
      </w:r>
    </w:p>
    <w:p>
      <w:pPr>
        <w:spacing w:after="60" w:before="60"/>
      </w:pPr>
      <w:r>
        <w:rPr>
          <w:rFonts w:ascii="Arial" w:cs="Arial" w:eastAsia="Arial" w:hAnsi="Arial"/>
          <w:color w:val="222222"/>
          <w:sz w:val="22"/>
          <w:szCs w:val="22"/>
        </w:rPr>
        <w:t xml:space="preserve">This assessment is most effective when completed honestly and without reference to what you believe your business should look like. What matters is what it actually looks like today. The questions are binary — answer Yes or No. Partial credit does not apply.</w:t>
      </w:r>
    </w:p>
    <w:p>
      <w:pPr>
        <w:spacing w:after="6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Step 1 — Read each question carefully. </w:t>
      </w:r>
      <w:r>
        <w:rPr>
          <w:rFonts w:ascii="Arial" w:cs="Arial" w:eastAsia="Arial" w:hAnsi="Arial"/>
          <w:color w:val="222222"/>
          <w:sz w:val="22"/>
          <w:szCs w:val="22"/>
        </w:rPr>
        <w:t xml:space="preserve">Resist the urge to answer based on intention. Answer based on current, documented reality.</w:t>
      </w:r>
    </w:p>
    <w:p>
      <w:pPr>
        <w:pStyle w:val="ListParagraph"/>
        <w:numPr>
          <w:ilvl w:val="0"/>
          <w:numId w:val="2"/>
        </w:numPr>
        <w:spacing w:after="40" w:before="40"/>
      </w:pPr>
      <w:r>
        <w:rPr>
          <w:rFonts w:ascii="Arial" w:cs="Arial" w:eastAsia="Arial" w:hAnsi="Arial"/>
          <w:b/>
          <w:bCs/>
          <w:color w:val="222222"/>
          <w:sz w:val="22"/>
          <w:szCs w:val="22"/>
        </w:rPr>
        <w:t xml:space="preserve">Step 2 — Mark Yes or No in the corresponding column. </w:t>
      </w:r>
      <w:r>
        <w:rPr>
          <w:rFonts w:ascii="Arial" w:cs="Arial" w:eastAsia="Arial" w:hAnsi="Arial"/>
          <w:color w:val="222222"/>
          <w:sz w:val="22"/>
          <w:szCs w:val="22"/>
        </w:rPr>
        <w:t xml:space="preserve">If you are genuinely uncertain, treat it as No. Ambiguity in a diagnostic context is a signal, not a safe middle ground.</w:t>
      </w:r>
    </w:p>
    <w:p>
      <w:pPr>
        <w:pStyle w:val="ListParagraph"/>
        <w:numPr>
          <w:ilvl w:val="0"/>
          <w:numId w:val="2"/>
        </w:numPr>
        <w:spacing w:after="40" w:before="40"/>
      </w:pPr>
      <w:r>
        <w:rPr>
          <w:rFonts w:ascii="Arial" w:cs="Arial" w:eastAsia="Arial" w:hAnsi="Arial"/>
          <w:b/>
          <w:bCs/>
          <w:color w:val="222222"/>
          <w:sz w:val="22"/>
          <w:szCs w:val="22"/>
        </w:rPr>
        <w:t xml:space="preserve">Step 3 — Tally your Yes answers per section. </w:t>
      </w:r>
      <w:r>
        <w:rPr>
          <w:rFonts w:ascii="Arial" w:cs="Arial" w:eastAsia="Arial" w:hAnsi="Arial"/>
          <w:color w:val="222222"/>
          <w:sz w:val="22"/>
          <w:szCs w:val="22"/>
        </w:rPr>
        <w:t xml:space="preserve">Record your score in the Summary Scorecard at the end of the document.</w:t>
      </w:r>
    </w:p>
    <w:p>
      <w:pPr>
        <w:pStyle w:val="ListParagraph"/>
        <w:numPr>
          <w:ilvl w:val="0"/>
          <w:numId w:val="2"/>
        </w:numPr>
        <w:spacing w:after="40" w:before="40"/>
      </w:pPr>
      <w:r>
        <w:rPr>
          <w:rFonts w:ascii="Arial" w:cs="Arial" w:eastAsia="Arial" w:hAnsi="Arial"/>
          <w:b/>
          <w:bCs/>
          <w:color w:val="222222"/>
          <w:sz w:val="22"/>
          <w:szCs w:val="22"/>
        </w:rPr>
        <w:t xml:space="preserve">Step 4 — Consult the Priority Matrix. </w:t>
      </w:r>
      <w:r>
        <w:rPr>
          <w:rFonts w:ascii="Arial" w:cs="Arial" w:eastAsia="Arial" w:hAnsi="Arial"/>
          <w:color w:val="222222"/>
          <w:sz w:val="22"/>
          <w:szCs w:val="22"/>
        </w:rPr>
        <w:t xml:space="preserve">Use your section scores to determine where to focus your attention first.</w:t>
      </w:r>
    </w:p>
    <w:p>
      <w:pPr>
        <w:spacing w:after="60" w:before="80"/>
      </w:pPr>
      <w:r>
        <w:t xml:space="preserve"/>
      </w:r>
    </w:p>
    <w:p>
      <w:pPr>
        <w:spacing w:after="60" w:before="60"/>
      </w:pPr>
      <w:r>
        <w:rPr>
          <w:rFonts w:ascii="Arial" w:cs="Arial" w:eastAsia="Arial" w:hAnsi="Arial"/>
          <w:color w:val="222222"/>
          <w:sz w:val="22"/>
          <w:szCs w:val="22"/>
        </w:rPr>
        <w:t xml:space="preserve">Each section contains 10 questions. The higher your Yes count within a section, the stronger your current position in that area. A low Yes count in any section indicates a zone of active profit leakage that warrants structured intervention.</w:t>
      </w:r>
    </w:p>
    <w:p>
      <w:r>
        <w:br w:type="page"/>
      </w:r>
    </w:p>
    <w:p>
      <w:pPr>
        <w:pBdr>
          <w:bottom w:val="single" w:color="0099DD" w:sz="6" w:space="4"/>
        </w:pBdr>
        <w:spacing w:after="120" w:before="320"/>
      </w:pPr>
      <w:r>
        <w:rPr>
          <w:rFonts w:ascii="Arial" w:cs="Arial" w:eastAsia="Arial" w:hAnsi="Arial"/>
          <w:b/>
          <w:bCs/>
          <w:color w:val="1565C0"/>
          <w:sz w:val="32"/>
          <w:szCs w:val="32"/>
        </w:rPr>
        <w:t xml:space="preserve">Section 1 — Revenue Leakage</w:t>
      </w:r>
    </w:p>
    <w:p>
      <w:pPr>
        <w:spacing w:after="40" w:before="60"/>
      </w:pPr>
      <w:r>
        <w:t xml:space="preserve"/>
      </w:r>
    </w:p>
    <w:p>
      <w:pPr>
        <w:spacing w:after="60" w:before="60"/>
      </w:pPr>
      <w:r>
        <w:rPr>
          <w:rFonts w:ascii="Arial" w:cs="Arial" w:eastAsia="Arial" w:hAnsi="Arial"/>
          <w:color w:val="222222"/>
          <w:sz w:val="22"/>
          <w:szCs w:val="22"/>
        </w:rPr>
        <w:t xml:space="preserve">Revenue leakage is the gap between what your business could earn and what it actually collects. It is one of the most underdiagnosed profit killers in SMEs because it rarely appears as a single line item — it is distributed across pricing, invoicing, sales follow-through, and customer retention. Answer the following questions as they relate to your current operating reality.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c>
          <w:tcPr>
            <w:tcW w:type="dxa" w:w="61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Diagnostic Question</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Yes</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a documented, reviewed pricing strategy — not just a legacy price list?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your prices reviewed and adjusted at least annually against cost changes and market rates?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track the percentage of quotes or proposals that convert to closed business?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there a formal process to follow up on unconverted quotes within a defined timeframe?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know your average revenue per client, and has it increased year-over-year?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all completed jobs, deliverables, or services consistently invoiced with no omissions?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documented terms and conditions governing late payment, scope changes, and cancellations?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customer churn rate tracked and reviewed on a scheduled basis?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an active process for upselling or cross-selling to your existing client base?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there revenue streams from your core capabilities that you have identified but not yet activated?</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bl>
    <w:p>
      <w:pPr>
        <w:spacing w:after="60" w:before="100"/>
      </w:pPr>
      <w:r>
        <w:t xml:space="preserve"/>
      </w:r>
    </w:p>
    <w:p>
      <w:pPr>
        <w:spacing w:after="60" w:before="60"/>
      </w:pPr>
      <w:r>
        <w:rPr>
          <w:rFonts w:ascii="Arial" w:cs="Arial" w:eastAsia="Arial" w:hAnsi="Arial"/>
          <w:b/>
          <w:bCs/>
          <w:color w:val="222222"/>
          <w:sz w:val="22"/>
          <w:szCs w:val="22"/>
        </w:rPr>
        <w:t xml:space="preserve">Section 1 Score (Yes answers): </w:t>
      </w:r>
      <w:r>
        <w:rPr>
          <w:rFonts w:ascii="Arial" w:cs="Arial" w:eastAsia="Arial" w:hAnsi="Arial"/>
          <w:color w:val="6A0DAD"/>
          <w:sz w:val="22"/>
          <w:szCs w:val="22"/>
        </w:rPr>
        <w:t xml:space="preserve">_______ / 10</w:t>
      </w:r>
    </w:p>
    <w:p>
      <w:r>
        <w:br w:type="page"/>
      </w:r>
    </w:p>
    <w:p>
      <w:pPr>
        <w:pBdr>
          <w:bottom w:val="single" w:color="0099DD" w:sz="6" w:space="4"/>
        </w:pBdr>
        <w:spacing w:after="120" w:before="320"/>
      </w:pPr>
      <w:r>
        <w:rPr>
          <w:rFonts w:ascii="Arial" w:cs="Arial" w:eastAsia="Arial" w:hAnsi="Arial"/>
          <w:b/>
          <w:bCs/>
          <w:color w:val="1565C0"/>
          <w:sz w:val="32"/>
          <w:szCs w:val="32"/>
        </w:rPr>
        <w:t xml:space="preserve">Section 2 — Cost &amp; Margin Erosion</w:t>
      </w:r>
    </w:p>
    <w:p>
      <w:pPr>
        <w:spacing w:after="40" w:before="60"/>
      </w:pPr>
      <w:r>
        <w:t xml:space="preserve"/>
      </w:r>
    </w:p>
    <w:p>
      <w:pPr>
        <w:spacing w:after="60" w:before="60"/>
      </w:pPr>
      <w:r>
        <w:rPr>
          <w:rFonts w:ascii="Arial" w:cs="Arial" w:eastAsia="Arial" w:hAnsi="Arial"/>
          <w:color w:val="222222"/>
          <w:sz w:val="22"/>
          <w:szCs w:val="22"/>
        </w:rPr>
        <w:t xml:space="preserve">Margin erosion is the process by which costs expand faster than revenue — often invisible until it materializes as a cash shortfall or a profitable-looking business that never seems to generate cash. The questions in this section probe whether you have active visibility and control over the cost side of your business model.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c>
          <w:tcPr>
            <w:tcW w:type="dxa" w:w="61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Diagnostic Question</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Yes</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know your gross profit margin by product line, service type, or customer segment?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Have you identified your top three cost drivers and do you actively track them month-over-month?</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supplier contracts reviewed periodically for pricing competitiveness and renegotiation opportunities?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track and manage inventory shrinkage, wastage, or obsolescence (where applicable)?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overhead costs reviewed quarterly and benchmarked against revenue proportions?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cost-of-goods or cost-of-service calculated accurately and allocated to each job or product?</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a process to approve and review discretionary spending before it is committed?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subscription services, software licenses, and recurring vendor fees audited at least annually?</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know which products, services, or clients are operating at below-margin levels?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there a mechanism in place to pass through legitimate cost increases to customers in a timely manner?</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bl>
    <w:p>
      <w:pPr>
        <w:spacing w:after="60" w:before="100"/>
      </w:pPr>
      <w:r>
        <w:t xml:space="preserve"/>
      </w:r>
    </w:p>
    <w:p>
      <w:pPr>
        <w:spacing w:after="60" w:before="60"/>
      </w:pPr>
      <w:r>
        <w:rPr>
          <w:rFonts w:ascii="Arial" w:cs="Arial" w:eastAsia="Arial" w:hAnsi="Arial"/>
          <w:b/>
          <w:bCs/>
          <w:color w:val="222222"/>
          <w:sz w:val="22"/>
          <w:szCs w:val="22"/>
        </w:rPr>
        <w:t xml:space="preserve">Section 2 Score (Yes answers): </w:t>
      </w:r>
      <w:r>
        <w:rPr>
          <w:rFonts w:ascii="Arial" w:cs="Arial" w:eastAsia="Arial" w:hAnsi="Arial"/>
          <w:color w:val="6A0DAD"/>
          <w:sz w:val="22"/>
          <w:szCs w:val="22"/>
        </w:rPr>
        <w:t xml:space="preserve">_______ / 10</w:t>
      </w:r>
    </w:p>
    <w:p>
      <w:r>
        <w:br w:type="page"/>
      </w:r>
    </w:p>
    <w:p>
      <w:pPr>
        <w:pBdr>
          <w:bottom w:val="single" w:color="0099DD" w:sz="6" w:space="4"/>
        </w:pBdr>
        <w:spacing w:after="120" w:before="320"/>
      </w:pPr>
      <w:r>
        <w:rPr>
          <w:rFonts w:ascii="Arial" w:cs="Arial" w:eastAsia="Arial" w:hAnsi="Arial"/>
          <w:b/>
          <w:bCs/>
          <w:color w:val="1565C0"/>
          <w:sz w:val="32"/>
          <w:szCs w:val="32"/>
        </w:rPr>
        <w:t xml:space="preserve">Section 3 — Operational Inefficiency</w:t>
      </w:r>
    </w:p>
    <w:p>
      <w:pPr>
        <w:spacing w:after="40" w:before="60"/>
      </w:pPr>
      <w:r>
        <w:t xml:space="preserve"/>
      </w:r>
    </w:p>
    <w:p>
      <w:pPr>
        <w:spacing w:after="60" w:before="60"/>
      </w:pPr>
      <w:r>
        <w:rPr>
          <w:rFonts w:ascii="Arial" w:cs="Arial" w:eastAsia="Arial" w:hAnsi="Arial"/>
          <w:color w:val="222222"/>
          <w:sz w:val="22"/>
          <w:szCs w:val="22"/>
        </w:rPr>
        <w:t xml:space="preserve">Operational inefficiency is the silent tax on your business — paid in wasted time, rework, delays, and the compounding cost of doing things twice. Unlike a vendor invoice, it does not arrive in your inbox. It accumulates quietly across your workflows, your team's habits, and the systems — or absence of systems — that govern how work gets done.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c>
          <w:tcPr>
            <w:tcW w:type="dxa" w:w="61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Diagnostic Question</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Yes</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your core operational processes documented and accessible to the people who execute them?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have defined turnaround times or service-level standards for key internal and external processes?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Is there a structured onboarding process for new clients, projects, or jobs that reduces startup errors?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track rework rates, error rates, or customer complaint volume as operational metrics?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recurring tasks handled through defined workflows rather than individual judgment each time?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hold structured team reviews — not just ad hoc meetings — to identify operational bottlenecks?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Is there a clear owner accountable for each key operational area in your business?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the tools your team uses fit for purpose, regularly reviewed, and not creating manual workarounds?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measure and review employee utilization or productive output in any structured way?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downtime, idle capacity, or under-utilized resources tracked and actively managed?</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bl>
    <w:p>
      <w:pPr>
        <w:spacing w:after="60" w:before="100"/>
      </w:pPr>
      <w:r>
        <w:t xml:space="preserve"/>
      </w:r>
    </w:p>
    <w:p>
      <w:pPr>
        <w:spacing w:after="60" w:before="60"/>
      </w:pPr>
      <w:r>
        <w:rPr>
          <w:rFonts w:ascii="Arial" w:cs="Arial" w:eastAsia="Arial" w:hAnsi="Arial"/>
          <w:b/>
          <w:bCs/>
          <w:color w:val="222222"/>
          <w:sz w:val="22"/>
          <w:szCs w:val="22"/>
        </w:rPr>
        <w:t xml:space="preserve">Section 3 Score (Yes answers): </w:t>
      </w:r>
      <w:r>
        <w:rPr>
          <w:rFonts w:ascii="Arial" w:cs="Arial" w:eastAsia="Arial" w:hAnsi="Arial"/>
          <w:color w:val="6A0DAD"/>
          <w:sz w:val="22"/>
          <w:szCs w:val="22"/>
        </w:rPr>
        <w:t xml:space="preserve">_______ / 10</w:t>
      </w:r>
    </w:p>
    <w:p>
      <w:r>
        <w:br w:type="page"/>
      </w:r>
    </w:p>
    <w:p>
      <w:pPr>
        <w:pBdr>
          <w:bottom w:val="single" w:color="0099DD" w:sz="6" w:space="4"/>
        </w:pBdr>
        <w:spacing w:after="120" w:before="320"/>
      </w:pPr>
      <w:r>
        <w:rPr>
          <w:rFonts w:ascii="Arial" w:cs="Arial" w:eastAsia="Arial" w:hAnsi="Arial"/>
          <w:b/>
          <w:bCs/>
          <w:color w:val="1565C0"/>
          <w:sz w:val="32"/>
          <w:szCs w:val="32"/>
        </w:rPr>
        <w:t xml:space="preserve">Section 4 — Cash Flow &amp; Working Capital</w:t>
      </w:r>
    </w:p>
    <w:p>
      <w:pPr>
        <w:spacing w:after="40" w:before="60"/>
      </w:pPr>
      <w:r>
        <w:t xml:space="preserve"/>
      </w:r>
    </w:p>
    <w:p>
      <w:pPr>
        <w:spacing w:after="60" w:before="60"/>
      </w:pPr>
      <w:r>
        <w:rPr>
          <w:rFonts w:ascii="Arial" w:cs="Arial" w:eastAsia="Arial" w:hAnsi="Arial"/>
          <w:color w:val="222222"/>
          <w:sz w:val="22"/>
          <w:szCs w:val="22"/>
        </w:rPr>
        <w:t xml:space="preserve">A business can be profitable on paper and still fail operationally due to cash flow mismanagement. Working capital — the difference between what you are owed and what you owe — is the lifeblood of daily operations. The questions in this section assess whether your cash position is managed by design or by reaction.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c>
          <w:tcPr>
            <w:tcW w:type="dxa" w:w="61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Diagnostic Question</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Yes</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maintain and review a rolling cash flow forecast — at minimum, 13 weeks forward?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accounts receivable aging report reviewed weekly, with active follow-up on overdue balances?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clearly defined payment terms for clients, and are they consistently enforced?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accounts payable managed strategically — paying within terms without paying early unnecessarily?</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a cash reserve or operating line of credit sufficient to cover 4–6 weeks of fixed costs?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Are your tax obligations — income tax, HST/GST, payroll remittances — provisioned for monthly?</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review your debtor concentration — whether any single client represents over 30% of receivables?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invoicing issued promptly upon delivery, not days or weeks afterward?</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 you have a formal process for managing credit risk before extending terms to new customers?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Is your working capital position reviewed at the end of each accounting period with documented actions?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bl>
    <w:p>
      <w:pPr>
        <w:spacing w:after="60" w:before="100"/>
      </w:pPr>
      <w:r>
        <w:t xml:space="preserve"/>
      </w:r>
    </w:p>
    <w:p>
      <w:pPr>
        <w:spacing w:after="60" w:before="60"/>
      </w:pPr>
      <w:r>
        <w:rPr>
          <w:rFonts w:ascii="Arial" w:cs="Arial" w:eastAsia="Arial" w:hAnsi="Arial"/>
          <w:b/>
          <w:bCs/>
          <w:color w:val="222222"/>
          <w:sz w:val="22"/>
          <w:szCs w:val="22"/>
        </w:rPr>
        <w:t xml:space="preserve">Section 4 Score (Yes answers): </w:t>
      </w:r>
      <w:r>
        <w:rPr>
          <w:rFonts w:ascii="Arial" w:cs="Arial" w:eastAsia="Arial" w:hAnsi="Arial"/>
          <w:color w:val="6A0DAD"/>
          <w:sz w:val="22"/>
          <w:szCs w:val="22"/>
        </w:rPr>
        <w:t xml:space="preserve">_______ / 10</w:t>
      </w:r>
    </w:p>
    <w:p>
      <w:r>
        <w:br w:type="page"/>
      </w:r>
    </w:p>
    <w:p>
      <w:pPr>
        <w:pBdr>
          <w:bottom w:val="single" w:color="0099DD" w:sz="6" w:space="4"/>
        </w:pBdr>
        <w:spacing w:after="120" w:before="320"/>
      </w:pPr>
      <w:r>
        <w:rPr>
          <w:rFonts w:ascii="Arial" w:cs="Arial" w:eastAsia="Arial" w:hAnsi="Arial"/>
          <w:b/>
          <w:bCs/>
          <w:color w:val="1565C0"/>
          <w:sz w:val="32"/>
          <w:szCs w:val="32"/>
        </w:rPr>
        <w:t xml:space="preserve">Section 5 — People, Process &amp; Systems</w:t>
      </w:r>
    </w:p>
    <w:p>
      <w:pPr>
        <w:spacing w:after="40" w:before="60"/>
      </w:pPr>
      <w:r>
        <w:t xml:space="preserve"/>
      </w:r>
    </w:p>
    <w:p>
      <w:pPr>
        <w:spacing w:after="60" w:before="60"/>
      </w:pPr>
      <w:r>
        <w:rPr>
          <w:rFonts w:ascii="Arial" w:cs="Arial" w:eastAsia="Arial" w:hAnsi="Arial"/>
          <w:color w:val="222222"/>
          <w:sz w:val="22"/>
          <w:szCs w:val="22"/>
        </w:rPr>
        <w:t xml:space="preserve">The final section addresses the structural foundations that determine whether your business operates dependently on specific individuals or systematically as an organization. Profit leaks in this category manifest as key-person risk, high turnover cost, poor data quality, and decisions made without reliable information — all of which erode value over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c>
          <w:tcPr>
            <w:tcW w:type="dxa" w:w="61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Diagnostic Question</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Yes</w:t>
            </w:r>
          </w:p>
        </w:tc>
        <w:tc>
          <w:tcPr>
            <w:tcW w:type="dxa" w:w="16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No</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performance expectations for each role clearly documented and communicated to the people in them?</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conduct structured performance reviews on a defined schedule — not only when problems arise?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Is there a succession or backup plan for roles that are critical to daily operations?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track employee retention and the cost associated with turnover?</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your financial reports — profit &amp; loss, balance sheet, cash flow — reviewed monthly by leadership?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use dashboards, KPIs, or scorecards to make operational decisions — rather than gut feel alone?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Is your business data centralized, clean, and trusted by the people who use it to make decisions?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 you have a documented technology or systems roadmap — even an informal one — for the next 12 months?</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Are compliance obligations — employment standards, health &amp; safety, licensing — actively monitored?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r>
        <w:tc>
          <w:tcPr>
            <w:tcW w:type="dxa" w:w="61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r>
              <w:rPr>
                <w:rFonts w:ascii="Arial" w:cs="Arial" w:eastAsia="Arial" w:hAnsi="Arial"/>
                <w:color w:val="222222"/>
                <w:sz w:val="20"/>
                <w:szCs w:val="20"/>
              </w:rPr>
              <w:t xml:space="preserve">Does your business have at least one documented strategic goal with associated metrics and a review cadence?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c>
          <w:tcPr>
            <w:tcW w:type="dxa" w:w="1620"/>
            <w:tcBorders>
              <w:top w:val="single" w:color="CCCCCC" w:sz="1"/>
              <w:left w:val="single" w:color="CCCCCC" w:sz="1"/>
              <w:bottom w:val="single" w:color="CCCCCC" w:sz="1"/>
              <w:right w:val="single" w:color="CCCCCC" w:sz="1"/>
            </w:tcBorders>
            <w:shd w:fill="F0F6FF" w:val="clear"/>
            <w:tcMar>
              <w:top w:type="dxa" w:w="80"/>
              <w:left w:type="dxa" w:w="140"/>
              <w:bottom w:type="dxa" w:w="80"/>
              <w:right w:type="dxa" w:w="140"/>
            </w:tcMar>
          </w:tcPr>
          <w:p>
            <w:pPr>
              <w:jc w:val="center"/>
            </w:pPr>
            <w:r>
              <w:rPr>
                <w:rFonts w:ascii="Arial" w:cs="Arial" w:eastAsia="Arial" w:hAnsi="Arial"/>
                <w:color w:val="222222"/>
                <w:sz w:val="20"/>
                <w:szCs w:val="20"/>
              </w:rPr>
              <w:t xml:space="preserve">☐</w:t>
            </w:r>
          </w:p>
        </w:tc>
      </w:tr>
    </w:tbl>
    <w:p>
      <w:pPr>
        <w:spacing w:after="60" w:before="100"/>
      </w:pPr>
      <w:r>
        <w:t xml:space="preserve"/>
      </w:r>
    </w:p>
    <w:p>
      <w:pPr>
        <w:spacing w:after="60" w:before="60"/>
      </w:pPr>
      <w:r>
        <w:rPr>
          <w:rFonts w:ascii="Arial" w:cs="Arial" w:eastAsia="Arial" w:hAnsi="Arial"/>
          <w:b/>
          <w:bCs/>
          <w:color w:val="222222"/>
          <w:sz w:val="22"/>
          <w:szCs w:val="22"/>
        </w:rPr>
        <w:t xml:space="preserve">Section 5 Score (Yes answers): </w:t>
      </w:r>
      <w:r>
        <w:rPr>
          <w:rFonts w:ascii="Arial" w:cs="Arial" w:eastAsia="Arial" w:hAnsi="Arial"/>
          <w:color w:val="6A0DAD"/>
          <w:sz w:val="22"/>
          <w:szCs w:val="22"/>
        </w:rPr>
        <w:t xml:space="preserve">_______ / 10</w:t>
      </w:r>
    </w:p>
    <w:p>
      <w:r>
        <w:br w:type="page"/>
      </w:r>
    </w:p>
    <w:p>
      <w:pPr>
        <w:pBdr>
          <w:bottom w:val="single" w:color="0099DD" w:sz="6" w:space="4"/>
        </w:pBdr>
        <w:spacing w:after="120" w:before="320"/>
      </w:pPr>
      <w:r>
        <w:rPr>
          <w:rFonts w:ascii="Arial" w:cs="Arial" w:eastAsia="Arial" w:hAnsi="Arial"/>
          <w:b/>
          <w:bCs/>
          <w:color w:val="1565C0"/>
          <w:sz w:val="32"/>
          <w:szCs w:val="32"/>
        </w:rPr>
        <w:t xml:space="preserve">Summary Scorecard</w:t>
      </w:r>
    </w:p>
    <w:p>
      <w:pPr>
        <w:spacing w:after="40" w:before="60"/>
      </w:pPr>
      <w:r>
        <w:t xml:space="preserve"/>
      </w:r>
    </w:p>
    <w:p>
      <w:pPr>
        <w:spacing w:after="60" w:before="60"/>
      </w:pPr>
      <w:r>
        <w:rPr>
          <w:rFonts w:ascii="Arial" w:cs="Arial" w:eastAsia="Arial" w:hAnsi="Arial"/>
          <w:color w:val="222222"/>
          <w:sz w:val="22"/>
          <w:szCs w:val="22"/>
        </w:rPr>
        <w:t xml:space="preserve">Transfer your section scores below. Use the Priority Matrix on the following page to determine which areas require immediate structured attention versus longer-term monitoring.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Section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Priority Level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defaul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 Revenue Leakage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2. Cost &amp; Margin Erosion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3. Operational Inefficiency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4. Cash Flow &amp; Working Capital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5. People, Process &amp; Systems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TOTAL</w:t>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t xml:space="preserve"/>
            </w:r>
          </w:p>
        </w:tc>
        <w:tc>
          <w:tcPr>
            <w:tcW w:type="dxa" w:w="2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0"/>
                <w:szCs w:val="20"/>
              </w:rPr>
            </w:r>
          </w:p>
        </w:tc>
      </w:tr>
    </w:tbl>
    <w:p>
      <w:pPr>
        <w:spacing w:after="80" w:before="120"/>
      </w:pPr>
      <w:r>
        <w:t xml:space="preserve"/>
      </w:r>
    </w:p>
    <w:p>
      <w:pPr>
        <w:spacing w:after="80" w:before="80"/>
      </w:pPr>
      <w:r>
        <w:rPr>
          <w:rFonts w:ascii="Arial" w:cs="Arial" w:eastAsia="Arial" w:hAnsi="Arial"/>
          <w:b/>
          <w:bCs/>
          <w:color w:val="222222"/>
          <w:sz w:val="22"/>
          <w:szCs w:val="22"/>
        </w:rPr>
        <w:t xml:space="preserve">Total Score Interpretation:  </w:t>
      </w:r>
      <w:r>
        <w:rPr>
          <w:rFonts w:ascii="Arial" w:cs="Arial" w:eastAsia="Arial" w:hAnsi="Arial"/>
          <w:color w:val="444444"/>
          <w:sz w:val="22"/>
          <w:szCs w:val="22"/>
        </w:rPr>
        <w:t xml:space="preserve">0–20 = Significant exposure across multiple areas.    21–35 = Moderate risk — targeted intervention recommended.    36–50 = Strong foundations — focus on continuous improvement.</w:t>
      </w:r>
    </w:p>
    <w:p>
      <w:pPr>
        <w:spacing w:after="80" w:before="120"/>
      </w:pPr>
      <w:r>
        <w:t xml:space="preserve"/>
      </w:r>
    </w:p>
    <w:p>
      <w:pPr>
        <w:pBdr>
          <w:bottom w:val="single" w:color="0099DD" w:sz="6" w:space="4"/>
        </w:pBdr>
        <w:spacing w:after="120" w:before="320"/>
      </w:pPr>
      <w:r>
        <w:rPr>
          <w:rFonts w:ascii="Arial" w:cs="Arial" w:eastAsia="Arial" w:hAnsi="Arial"/>
          <w:b/>
          <w:bCs/>
          <w:color w:val="1565C0"/>
          <w:sz w:val="32"/>
          <w:szCs w:val="32"/>
        </w:rPr>
        <w:t xml:space="preserve">Priority Matrix — By Section Score</w:t>
      </w:r>
    </w:p>
    <w:p>
      <w:pPr>
        <w:spacing w:after="40" w:before="60"/>
      </w:pPr>
      <w:r>
        <w:t xml:space="preserve"/>
      </w:r>
    </w:p>
    <w:p>
      <w:pPr>
        <w:spacing w:after="60" w:before="60"/>
      </w:pPr>
      <w:r>
        <w:rPr>
          <w:rFonts w:ascii="Arial" w:cs="Arial" w:eastAsia="Arial" w:hAnsi="Arial"/>
          <w:color w:val="222222"/>
          <w:sz w:val="22"/>
          <w:szCs w:val="22"/>
        </w:rPr>
        <w:t xml:space="preserve">Apply this matrix independently to each section score. A single section at High Risk warrants immediate action regardless of your overall total.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6A0DAD"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Score Range</w:t>
            </w:r>
          </w:p>
        </w:tc>
        <w:tc>
          <w:tcPr>
            <w:tcW w:type="dxa" w:w="2800"/>
            <w:tcBorders>
              <w:top w:val="single" w:color="CCCCCC" w:sz="1"/>
              <w:left w:val="single" w:color="CCCCCC" w:sz="1"/>
              <w:bottom w:val="single" w:color="CCCCCC" w:sz="1"/>
              <w:right w:val="single" w:color="CCCCCC" w:sz="1"/>
            </w:tcBorders>
            <w:shd w:fill="6A0DAD"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 Level</w:t>
            </w:r>
          </w:p>
        </w:tc>
        <w:tc>
          <w:tcPr>
            <w:tcW w:type="dxa" w:w="4560"/>
            <w:tcBorders>
              <w:top w:val="single" w:color="CCCCCC" w:sz="1"/>
              <w:left w:val="single" w:color="CCCCCC" w:sz="1"/>
              <w:bottom w:val="single" w:color="CCCCCC" w:sz="1"/>
              <w:right w:val="single" w:color="CCCCCC" w:sz="1"/>
            </w:tcBorders>
            <w:shd w:fill="6A0DAD"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0–3</w:t>
            </w:r>
          </w:p>
        </w:tc>
        <w:tc>
          <w:tcPr>
            <w:tcW w:type="dxa" w:w="280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Low Urgency</w:t>
            </w:r>
          </w:p>
        </w:tc>
        <w:tc>
          <w:tcPr>
            <w:tcW w:type="dxa" w:w="4560"/>
            <w:tcBorders>
              <w:top w:val="single" w:color="CCCCCC" w:sz="1"/>
              <w:left w:val="single" w:color="CCCCCC" w:sz="1"/>
              <w:bottom w:val="single" w:color="CCCCCC" w:sz="1"/>
              <w:right w:val="single" w:color="CCCCCC" w:sz="1"/>
            </w:tcBorders>
            <w:shd w:fill="D5F5E3" w:val="clear"/>
            <w:tcMar>
              <w:top w:type="dxa" w:w="80"/>
              <w:left w:type="dxa" w:w="140"/>
              <w:bottom w:type="dxa" w:w="80"/>
              <w:right w:type="dxa" w:w="140"/>
            </w:tcMar>
          </w:tcPr>
          <w:p>
            <w:r>
              <w:rPr>
                <w:rFonts w:ascii="Arial" w:cs="Arial" w:eastAsia="Arial" w:hAnsi="Arial"/>
                <w:color w:val="222222"/>
                <w:sz w:val="20"/>
                <w:szCs w:val="20"/>
              </w:rPr>
              <w:t xml:space="preserve">Monitor and build systems for continuous improvement.</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4–6</w:t>
            </w:r>
          </w:p>
        </w:tc>
        <w:tc>
          <w:tcPr>
            <w:tcW w:type="dxa" w:w="2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Moderate Risk</w:t>
            </w:r>
          </w:p>
        </w:tc>
        <w:tc>
          <w:tcPr>
            <w:tcW w:type="dxa" w:w="456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r>
              <w:rPr>
                <w:rFonts w:ascii="Arial" w:cs="Arial" w:eastAsia="Arial" w:hAnsi="Arial"/>
                <w:color w:val="222222"/>
                <w:sz w:val="20"/>
                <w:szCs w:val="20"/>
              </w:rPr>
              <w:t xml:space="preserve">Schedule a structured review within 30 days.</w:t>
            </w:r>
          </w:p>
        </w:tc>
      </w:tr>
      <w:tr>
        <w:tc>
          <w:tcPr>
            <w:tcW w:type="dxa" w:w="20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7–10</w:t>
            </w:r>
          </w:p>
        </w:tc>
        <w:tc>
          <w:tcPr>
            <w:tcW w:type="dxa" w:w="28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pPr>
              <w:jc w:val="center"/>
            </w:pPr>
            <w:r>
              <w:rPr>
                <w:rFonts w:ascii="Arial" w:cs="Arial" w:eastAsia="Arial" w:hAnsi="Arial"/>
                <w:b/>
                <w:bCs/>
                <w:color w:val="222222"/>
                <w:sz w:val="20"/>
                <w:szCs w:val="20"/>
              </w:rPr>
              <w:t xml:space="preserve">High Risk</w:t>
            </w:r>
          </w:p>
        </w:tc>
        <w:tc>
          <w:tcPr>
            <w:tcW w:type="dxa" w:w="456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tcPr>
          <w:p>
            <w:r>
              <w:rPr>
                <w:rFonts w:ascii="Arial" w:cs="Arial" w:eastAsia="Arial" w:hAnsi="Arial"/>
                <w:color w:val="222222"/>
                <w:sz w:val="20"/>
                <w:szCs w:val="20"/>
              </w:rPr>
              <w:t xml:space="preserve">Immediate intervention required. Begin root-cause analysis.</w:t>
            </w:r>
          </w:p>
        </w:tc>
      </w:tr>
    </w:tbl>
    <w:p>
      <w:r>
        <w:br w:type="page"/>
      </w:r>
    </w:p>
    <w:p>
      <w:pPr>
        <w:pBdr>
          <w:bottom w:val="single" w:color="0099DD" w:sz="6" w:space="4"/>
        </w:pBdr>
        <w:spacing w:after="120" w:before="320"/>
      </w:pPr>
      <w:r>
        <w:rPr>
          <w:rFonts w:ascii="Arial" w:cs="Arial" w:eastAsia="Arial" w:hAnsi="Arial"/>
          <w:b/>
          <w:bCs/>
          <w:color w:val="1565C0"/>
          <w:sz w:val="32"/>
          <w:szCs w:val="32"/>
        </w:rPr>
        <w:t xml:space="preserve">What to Do With Your Results</w:t>
      </w:r>
    </w:p>
    <w:p>
      <w:pPr>
        <w:spacing w:after="40" w:before="60"/>
      </w:pPr>
      <w:r>
        <w:t xml:space="preserve"/>
      </w:r>
    </w:p>
    <w:p>
      <w:pPr>
        <w:spacing w:after="60" w:before="60"/>
      </w:pPr>
      <w:r>
        <w:rPr>
          <w:rFonts w:ascii="Arial" w:cs="Arial" w:eastAsia="Arial" w:hAnsi="Arial"/>
          <w:color w:val="222222"/>
          <w:sz w:val="22"/>
          <w:szCs w:val="22"/>
        </w:rPr>
        <w:t xml:space="preserve">Completing this audit is not the outcome — it is the starting point. The value of a diagnostic lies entirely in what follows it. Here is how to use your results effectively:</w:t>
      </w:r>
    </w:p>
    <w:p>
      <w:pPr>
        <w:spacing w:after="60" w:before="8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Prioritize by section score, not by comfort. </w:t>
      </w:r>
      <w:r>
        <w:rPr>
          <w:rFonts w:ascii="Arial" w:cs="Arial" w:eastAsia="Arial" w:hAnsi="Arial"/>
          <w:color w:val="222222"/>
          <w:sz w:val="22"/>
          <w:szCs w:val="22"/>
        </w:rPr>
        <w:t xml:space="preserve">The areas where you scored lowest are most likely where the largest profit recovery opportunity exists. Begin there, not with the areas where you already perform well.</w:t>
      </w:r>
    </w:p>
    <w:p>
      <w:pPr>
        <w:pStyle w:val="ListParagraph"/>
        <w:numPr>
          <w:ilvl w:val="0"/>
          <w:numId w:val="2"/>
        </w:numPr>
        <w:spacing w:after="40" w:before="40"/>
      </w:pPr>
      <w:r>
        <w:rPr>
          <w:rFonts w:ascii="Arial" w:cs="Arial" w:eastAsia="Arial" w:hAnsi="Arial"/>
          <w:b/>
          <w:bCs/>
          <w:color w:val="222222"/>
          <w:sz w:val="22"/>
          <w:szCs w:val="22"/>
        </w:rPr>
        <w:t xml:space="preserve">Do not try to fix everything simultaneously. </w:t>
      </w:r>
      <w:r>
        <w:rPr>
          <w:rFonts w:ascii="Arial" w:cs="Arial" w:eastAsia="Arial" w:hAnsi="Arial"/>
          <w:color w:val="222222"/>
          <w:sz w:val="22"/>
          <w:szCs w:val="22"/>
        </w:rPr>
        <w:t xml:space="preserve">Select the one or two sections with the lowest scores and build a 30-day action plan. Systemic improvement is iterative, not wholesale.</w:t>
      </w:r>
    </w:p>
    <w:p>
      <w:pPr>
        <w:pStyle w:val="ListParagraph"/>
        <w:numPr>
          <w:ilvl w:val="0"/>
          <w:numId w:val="2"/>
        </w:numPr>
        <w:spacing w:after="40" w:before="40"/>
      </w:pPr>
      <w:r>
        <w:rPr>
          <w:rFonts w:ascii="Arial" w:cs="Arial" w:eastAsia="Arial" w:hAnsi="Arial"/>
          <w:b/>
          <w:bCs/>
          <w:color w:val="222222"/>
          <w:sz w:val="22"/>
          <w:szCs w:val="22"/>
        </w:rPr>
        <w:t xml:space="preserve">Assign ownership. </w:t>
      </w:r>
      <w:r>
        <w:rPr>
          <w:rFonts w:ascii="Arial" w:cs="Arial" w:eastAsia="Arial" w:hAnsi="Arial"/>
          <w:color w:val="222222"/>
          <w:sz w:val="22"/>
          <w:szCs w:val="22"/>
        </w:rPr>
        <w:t xml:space="preserve">Every identified gap requires an accountable owner and a defined resolution date. Without both, the finding remains a finding.</w:t>
      </w:r>
    </w:p>
    <w:p>
      <w:pPr>
        <w:pStyle w:val="ListParagraph"/>
        <w:numPr>
          <w:ilvl w:val="0"/>
          <w:numId w:val="2"/>
        </w:numPr>
        <w:spacing w:after="40" w:before="40"/>
      </w:pPr>
      <w:r>
        <w:rPr>
          <w:rFonts w:ascii="Arial" w:cs="Arial" w:eastAsia="Arial" w:hAnsi="Arial"/>
          <w:b/>
          <w:bCs/>
          <w:color w:val="222222"/>
          <w:sz w:val="22"/>
          <w:szCs w:val="22"/>
        </w:rPr>
        <w:t xml:space="preserve">Schedule a review. </w:t>
      </w:r>
      <w:r>
        <w:rPr>
          <w:rFonts w:ascii="Arial" w:cs="Arial" w:eastAsia="Arial" w:hAnsi="Arial"/>
          <w:color w:val="222222"/>
          <w:sz w:val="22"/>
          <w:szCs w:val="22"/>
        </w:rPr>
        <w:t xml:space="preserve">Revisit this audit in 90 days. Measure whether your section scores have moved. A structured re-audit cycle is a foundational management discipline.</w:t>
      </w:r>
    </w:p>
    <w:p>
      <w:pPr>
        <w:pStyle w:val="ListParagraph"/>
        <w:numPr>
          <w:ilvl w:val="0"/>
          <w:numId w:val="2"/>
        </w:numPr>
        <w:spacing w:after="40" w:before="40"/>
      </w:pPr>
      <w:r>
        <w:rPr>
          <w:rFonts w:ascii="Arial" w:cs="Arial" w:eastAsia="Arial" w:hAnsi="Arial"/>
          <w:b/>
          <w:bCs/>
          <w:color w:val="222222"/>
          <w:sz w:val="22"/>
          <w:szCs w:val="22"/>
        </w:rPr>
        <w:t xml:space="preserve">Engage support where the gap exceeds internal capacity. </w:t>
      </w:r>
      <w:r>
        <w:rPr>
          <w:rFonts w:ascii="Arial" w:cs="Arial" w:eastAsia="Arial" w:hAnsi="Arial"/>
          <w:color w:val="222222"/>
          <w:sz w:val="22"/>
          <w:szCs w:val="22"/>
        </w:rPr>
        <w:t xml:space="preserve">Not every problem identified here requires a consultant. But when the complexity or scale of an issue exceeds what your team can resolve internally, external expertise is a cost — not an expense.</w:t>
      </w:r>
    </w:p>
    <w:p>
      <w:pPr>
        <w:spacing w:after="8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8"/>
              <w:left w:val="single" w:color="6A0DAD" w:sz="8"/>
              <w:bottom w:val="single" w:color="6A0DAD" w:sz="8"/>
              <w:right w:val="single" w:color="6A0DAD" w:sz="8"/>
            </w:tcBorders>
            <w:shd w:fill="F5F0FF" w:val="clear"/>
            <w:tcMar>
              <w:top w:type="dxa" w:w="240"/>
              <w:left w:type="dxa" w:w="320"/>
              <w:bottom w:type="dxa" w:w="240"/>
              <w:right w:type="dxa" w:w="320"/>
            </w:tcMar>
          </w:tcPr>
          <w:p>
            <w:pPr>
              <w:spacing w:after="120"/>
              <w:jc w:val="center"/>
            </w:pPr>
            <w:r>
              <w:rPr>
                <w:rFonts w:ascii="Arial" w:cs="Arial" w:eastAsia="Arial" w:hAnsi="Arial"/>
                <w:b/>
                <w:bCs/>
                <w:color w:val="6A0DAD"/>
                <w:sz w:val="26"/>
                <w:szCs w:val="26"/>
              </w:rPr>
              <w:t xml:space="preserve">READY TO TURN YOUR AUDIT INTO ACTION?</w:t>
            </w:r>
          </w:p>
          <w:p>
            <w:pPr>
              <w:spacing w:after="120"/>
              <w:jc w:val="center"/>
            </w:pPr>
            <w:r>
              <w:rPr>
                <w:rFonts w:ascii="Arial" w:cs="Arial" w:eastAsia="Arial" w:hAnsi="Arial"/>
                <w:color w:val="222222"/>
                <w:sz w:val="22"/>
                <w:szCs w:val="22"/>
              </w:rPr>
              <w:t xml:space="preserve">TurboData Analytics works with SME owners in Sarnia and across Ontario to translate business diagnostics into structured improvement plans — backed by data, not guesswork. Our work spans operational analysis, financial performance review, dashboard and reporting builds, and process redesign.</w:t>
            </w:r>
          </w:p>
          <w:p>
            <w:pPr>
              <w:spacing w:after="140"/>
              <w:jc w:val="center"/>
            </w:pPr>
            <w:r>
              <w:rPr>
                <w:rFonts w:ascii="Arial" w:cs="Arial" w:eastAsia="Arial" w:hAnsi="Arial"/>
                <w:b/>
                <w:bCs/>
                <w:color w:val="222222"/>
                <w:sz w:val="22"/>
                <w:szCs w:val="22"/>
              </w:rPr>
              <w:t xml:space="preserve">Reach out for a complimentary 30-minute results debrief based on your audit scores.</w:t>
            </w:r>
          </w:p>
          <w:p>
            <w:pPr>
              <w:jc w:val="center"/>
            </w:pPr>
            <w:r>
              <w:rPr>
                <w:rFonts w:ascii="Arial" w:cs="Arial" w:eastAsia="Arial" w:hAnsi="Arial"/>
                <w:b/>
                <w:bCs/>
                <w:color w:val="1565C0"/>
                <w:sz w:val="22"/>
                <w:szCs w:val="22"/>
              </w:rPr>
              <w:t xml:space="preserve">turbodata.co  |  turbodata.td@gmail.com  |  +1 (548) 504-3720</w:t>
            </w:r>
          </w:p>
        </w:tc>
      </w:tr>
    </w:tbl>
    <w:p>
      <w:pPr>
        <w:spacing w:after="60" w:before="100"/>
      </w:pPr>
      <w:r>
        <w:t xml:space="preserve"/>
      </w:r>
    </w:p>
    <w:p>
      <w:pPr>
        <w:spacing w:after="0" w:before="80"/>
        <w:jc w:val="center"/>
      </w:pPr>
      <w:r>
        <w:rPr>
          <w:rFonts w:ascii="Arial" w:cs="Arial" w:eastAsia="Arial" w:hAnsi="Arial"/>
          <w:i/>
          <w:iCs/>
          <w:color w:val="999999"/>
          <w:sz w:val="16"/>
          <w:szCs w:val="16"/>
        </w:rPr>
        <w:t xml:space="preserve">© 2025 TurboData Analytics. This document is provided free of charge and may be reproduced for non-commercial use with attribution. It does not constitute professional financial, legal, or accounting advice.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9DD" w:sz="4" w:space="4"/>
      </w:pBdr>
      <w:spacing w:after="60" w:before="0"/>
    </w:pPr>
  </w:p>
  <w:p>
    <w:pPr>
      <w:tabs>
        <w:tab w:val="right" w:pos="9360"/>
      </w:tabs>
    </w:pPr>
    <w:r>
      <w:rPr>
        <w:rFonts w:ascii="Arial" w:cs="Arial" w:eastAsia="Arial" w:hAnsi="Arial"/>
        <w:color w:val="888888"/>
        <w:sz w:val="16"/>
        <w:szCs w:val="16"/>
      </w:rPr>
      <w:t xml:space="preserve">TurboData Analytics  |  turbodata.co  |  turbodata.td@gmail.com  |  +1 (548) 504-3720</w:t>
    </w:r>
    <w:r>
      <w:rPr>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1238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81000"/>
                  </a:xfrm>
                  <a:prstGeom prst="rect">
                    <a:avLst/>
                  </a:prstGeom>
                </pic:spPr>
              </pic:pic>
            </a:graphicData>
          </a:graphic>
        </wp:inline>
      </w:drawing>
    </w:r>
  </w:p>
  <w:p>
    <w:pPr>
      <w:pBdr>
        <w:bottom w:val="single" w:color="0099DD" w:sz="4" w:space="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01730b9b761b13ce6b2f8242a3eff089de29c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2026-04-11T17:48:11.172Z</dcterms:created>
  <dcterms:modified xsi:type="dcterms:W3CDTF">2026-04-11T17:48:11.172Z</dcterms:modified>
</cp:coreProperties>
</file>

<file path=docProps/custom.xml><?xml version="1.0" encoding="utf-8"?>
<Properties xmlns="http://schemas.openxmlformats.org/officeDocument/2006/custom-properties" xmlns:vt="http://schemas.openxmlformats.org/officeDocument/2006/docPropsVTypes"/>
</file>