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6"/>
        </w:numPr>
        <w:spacing w:after="0" w:afterAutospacing="0" w:lineRule="auto"/>
        <w:ind w:left="720" w:hanging="360"/>
      </w:pPr>
      <w:r w:rsidDel="00000000" w:rsidR="00000000" w:rsidRPr="00000000">
        <w:rPr>
          <w:rtl w:val="0"/>
        </w:rPr>
        <w:t xml:space="preserve">The </w:t>
      </w:r>
      <w:r w:rsidDel="00000000" w:rsidR="00000000" w:rsidRPr="00000000">
        <w:rPr>
          <w:b w:val="1"/>
          <w:rtl w:val="0"/>
        </w:rPr>
        <w:t xml:space="preserve">compliance regulations and standards </w:t>
      </w:r>
      <w:r w:rsidDel="00000000" w:rsidR="00000000" w:rsidRPr="00000000">
        <w:rPr>
          <w:rtl w:val="0"/>
        </w:rPr>
        <w:t xml:space="preserve">that Botium Toys needs to adhere to are selected (i.e., related to conducting business in the E.U., accepting online payments, user permission policies)</w:t>
      </w:r>
    </w:p>
    <w:p w:rsidR="00000000" w:rsidDel="00000000" w:rsidP="00000000" w:rsidRDefault="00000000" w:rsidRPr="00000000" w14:paraId="00000004">
      <w:pPr>
        <w:numPr>
          <w:ilvl w:val="0"/>
          <w:numId w:val="6"/>
        </w:numPr>
        <w:spacing w:after="240" w:lineRule="auto"/>
        <w:ind w:left="720" w:hanging="360"/>
      </w:pPr>
      <w:r w:rsidDel="00000000" w:rsidR="00000000" w:rsidRPr="00000000">
        <w:rPr>
          <w:rtl w:val="0"/>
        </w:rPr>
        <w:t xml:space="preserve">The need for each regulation and standard selected is </w:t>
      </w:r>
      <w:r w:rsidDel="00000000" w:rsidR="00000000" w:rsidRPr="00000000">
        <w:rPr>
          <w:b w:val="1"/>
          <w:rtl w:val="0"/>
        </w:rPr>
        <w:t xml:space="preserve">explained</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9">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B">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ensure the protection of personal data collected from customers, employees, and suppliers. Compliance with GDPR safeguards individuals' privacy rights, promotes transparency in data processing, and mitigates the risk of data breaches, thus maintaining customer trust, avoiding legal penalties, and upholding responsible data management practices.</w:t>
      </w:r>
    </w:p>
    <w:p w:rsidR="00000000" w:rsidDel="00000000" w:rsidP="00000000" w:rsidRDefault="00000000" w:rsidRPr="00000000" w14:paraId="0000000D">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F">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10">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ensure the secure handling and protection of customer payment card information. Compliance with PCI DSS helps prevent data breaches, protects customer trust, avoids financial penalties, and safeguards the factory's reputation, ultimately ensuring the confidentiality and integrity of sensitive payment card data.</w:t>
      </w:r>
    </w:p>
    <w:p w:rsidR="00000000" w:rsidDel="00000000" w:rsidP="00000000" w:rsidRDefault="00000000" w:rsidRPr="00000000" w14:paraId="00000011">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1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4">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6">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1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ensure the security, integrity, and confidentiality of customer data, financial information, and production processes. Compliance with SOC standards helps establish trust with customers, mitigates cybersecurity risks, demonstrates a commitment to data protection, and enhances overall operational efficiency and reliability within the toy manufacturing industry.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