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E90901">
      <w:pPr>
        <w:rPr>
          <w:rFonts w:hint="default" w:ascii="Times New Roman" w:hAnsi="Times New Roman" w:cs="Times New Roman"/>
          <w:color w:val="000000" w:themeColor="text1"/>
          <w:sz w:val="32"/>
          <w:szCs w:val="36"/>
          <w14:textFill>
            <w14:solidFill>
              <w14:schemeClr w14:val="tx1"/>
            </w14:solidFill>
          </w14:textFill>
        </w:rPr>
      </w:pPr>
    </w:p>
    <w:p w14:paraId="48A99892">
      <w:pPr>
        <w:jc w:val="center"/>
        <w:rPr>
          <w:rFonts w:hint="default" w:ascii="Times New Roman" w:hAnsi="Times New Roman" w:cs="Times New Roman"/>
          <w:sz w:val="24"/>
          <w:szCs w:val="28"/>
        </w:rPr>
      </w:pPr>
      <w:r>
        <w:rPr>
          <w:rFonts w:hint="default" w:ascii="Times New Roman" w:hAnsi="Times New Roman" w:cs="Times New Roman"/>
          <w:b/>
          <w:sz w:val="40"/>
          <w:szCs w:val="28"/>
        </w:rPr>
        <w:t>SECTION 1: DELIBERATELY VULNERABLE WEB APPLICATION</w:t>
      </w:r>
    </w:p>
    <w:p w14:paraId="5C729A52">
      <w:pPr>
        <w:jc w:val="center"/>
        <w:rPr>
          <w:rFonts w:hint="default" w:ascii="Times New Roman" w:hAnsi="Times New Roman" w:cs="Times New Roman"/>
          <w:sz w:val="24"/>
          <w:szCs w:val="28"/>
        </w:rPr>
      </w:pPr>
      <w:r>
        <w:rPr>
          <w:rFonts w:hint="default" w:ascii="Times New Roman" w:hAnsi="Times New Roman" w:cs="Times New Roman"/>
          <w:b/>
          <w:sz w:val="36"/>
          <w:szCs w:val="28"/>
        </w:rPr>
        <w:t>(SQL INJECTION)</w:t>
      </w:r>
    </w:p>
    <w:p w14:paraId="4E668C3F">
      <w:pPr>
        <w:spacing w:before="160"/>
        <w:rPr>
          <w:rFonts w:hint="default" w:ascii="Times New Roman" w:hAnsi="Times New Roman" w:cs="Times New Roman"/>
          <w:sz w:val="24"/>
          <w:szCs w:val="28"/>
        </w:rPr>
      </w:pPr>
      <w:r>
        <w:rPr>
          <w:rFonts w:hint="default" w:ascii="Times New Roman" w:hAnsi="Times New Roman" w:cs="Times New Roman"/>
          <w:b/>
          <w:sz w:val="32"/>
          <w:szCs w:val="28"/>
        </w:rPr>
        <w:t>1.1 Vulnerability Identification</w:t>
      </w:r>
    </w:p>
    <w:p w14:paraId="466DE744">
      <w:pPr>
        <w:spacing w:after="80"/>
        <w:rPr>
          <w:rFonts w:hint="default" w:ascii="Times New Roman" w:hAnsi="Times New Roman" w:cs="Times New Roman"/>
          <w:sz w:val="24"/>
          <w:szCs w:val="28"/>
        </w:rPr>
      </w:pPr>
      <w:r>
        <w:rPr>
          <w:rFonts w:hint="default" w:ascii="Times New Roman" w:hAnsi="Times New Roman" w:cs="Times New Roman"/>
          <w:b/>
          <w:sz w:val="24"/>
          <w:szCs w:val="28"/>
        </w:rPr>
        <w:t xml:space="preserve">Vulnerability Type: </w:t>
      </w:r>
      <w:r>
        <w:rPr>
          <w:rFonts w:hint="default" w:ascii="Times New Roman" w:hAnsi="Times New Roman" w:cs="Times New Roman"/>
          <w:sz w:val="24"/>
          <w:szCs w:val="28"/>
        </w:rPr>
        <w:t>SQL Injection (SQLi) — Insecure Data Concatenation</w:t>
      </w:r>
    </w:p>
    <w:p w14:paraId="4E452E3C">
      <w:pPr>
        <w:spacing w:after="80"/>
        <w:rPr>
          <w:rFonts w:hint="default" w:ascii="Times New Roman" w:hAnsi="Times New Roman" w:cs="Times New Roman"/>
          <w:sz w:val="24"/>
          <w:szCs w:val="28"/>
        </w:rPr>
      </w:pPr>
      <w:r>
        <w:rPr>
          <w:rFonts w:hint="default" w:ascii="Times New Roman" w:hAnsi="Times New Roman" w:cs="Times New Roman"/>
          <w:b/>
          <w:sz w:val="24"/>
          <w:szCs w:val="28"/>
        </w:rPr>
        <w:t xml:space="preserve">Application Environment: </w:t>
      </w:r>
      <w:r>
        <w:rPr>
          <w:rFonts w:hint="default" w:ascii="Times New Roman" w:hAnsi="Times New Roman" w:cs="Times New Roman"/>
          <w:sz w:val="24"/>
          <w:szCs w:val="28"/>
        </w:rPr>
        <w:t>Damn Vulnerable Web Application (DVWA) hosted on Metasploitable 2</w:t>
      </w:r>
    </w:p>
    <w:p w14:paraId="299A2088">
      <w:pPr>
        <w:spacing w:after="80"/>
        <w:rPr>
          <w:rFonts w:hint="default" w:ascii="Times New Roman" w:hAnsi="Times New Roman" w:cs="Times New Roman"/>
          <w:sz w:val="24"/>
          <w:szCs w:val="28"/>
        </w:rPr>
      </w:pPr>
      <w:r>
        <w:rPr>
          <w:rFonts w:hint="default" w:ascii="Times New Roman" w:hAnsi="Times New Roman" w:cs="Times New Roman"/>
          <w:b/>
          <w:sz w:val="24"/>
          <w:szCs w:val="28"/>
        </w:rPr>
        <w:t xml:space="preserve">Target URL Parameter: </w:t>
      </w:r>
      <w:r>
        <w:rPr>
          <w:rFonts w:hint="default" w:ascii="Times New Roman" w:hAnsi="Times New Roman" w:cs="Times New Roman"/>
          <w:sz w:val="24"/>
          <w:szCs w:val="28"/>
        </w:rPr>
        <w:t>http://192.168.56</w:t>
      </w:r>
    </w:p>
    <w:p w14:paraId="5B3876CB">
      <w:pPr>
        <w:spacing w:before="160"/>
        <w:ind w:left="120" w:hanging="160" w:hangingChars="50"/>
        <w:rPr>
          <w:rFonts w:hint="default" w:ascii="Times New Roman" w:hAnsi="Times New Roman" w:cs="Times New Roman"/>
          <w:b/>
          <w:sz w:val="32"/>
          <w:szCs w:val="28"/>
          <w:lang w:val="en-US"/>
        </w:rPr>
      </w:pPr>
      <w:r>
        <w:rPr>
          <w:rFonts w:hint="default" w:ascii="Times New Roman" w:hAnsi="Times New Roman" w:cs="Times New Roman"/>
          <w:b/>
          <w:sz w:val="32"/>
          <w:szCs w:val="28"/>
        </w:rPr>
        <w:drawing>
          <wp:inline distT="0" distB="0" distL="114300" distR="114300">
            <wp:extent cx="6235700" cy="3620135"/>
            <wp:effectExtent l="0" t="0" r="0" b="12065"/>
            <wp:docPr id="11" name="Picture 11" descr="Vunerablity ide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Vunerablity identification"/>
                    <pic:cNvPicPr>
                      <a:picLocks noChangeAspect="1"/>
                    </pic:cNvPicPr>
                  </pic:nvPicPr>
                  <pic:blipFill>
                    <a:blip r:embed="rId7"/>
                    <a:stretch>
                      <a:fillRect/>
                    </a:stretch>
                  </pic:blipFill>
                  <pic:spPr>
                    <a:xfrm>
                      <a:off x="0" y="0"/>
                      <a:ext cx="6235700" cy="3620135"/>
                    </a:xfrm>
                    <a:prstGeom prst="rect">
                      <a:avLst/>
                    </a:prstGeom>
                  </pic:spPr>
                </pic:pic>
              </a:graphicData>
            </a:graphic>
          </wp:inline>
        </w:drawing>
      </w:r>
      <w:r>
        <w:rPr>
          <w:rFonts w:hint="default" w:ascii="Times New Roman" w:hAnsi="Times New Roman" w:cs="Times New Roman"/>
          <w:b/>
          <w:sz w:val="32"/>
          <w:szCs w:val="28"/>
          <w:lang w:val="en-US"/>
        </w:rPr>
        <w:t xml:space="preserve"> </w:t>
      </w:r>
    </w:p>
    <w:p w14:paraId="47BE67E0">
      <w:pPr>
        <w:spacing w:before="160"/>
        <w:ind w:left="120" w:hanging="160" w:hangingChars="50"/>
        <w:rPr>
          <w:rFonts w:hint="default" w:ascii="Times New Roman" w:hAnsi="Times New Roman" w:cs="Times New Roman"/>
          <w:b/>
          <w:sz w:val="32"/>
          <w:szCs w:val="28"/>
          <w:lang w:val="en-US"/>
        </w:rPr>
      </w:pPr>
    </w:p>
    <w:p w14:paraId="41AF8231">
      <w:pPr>
        <w:spacing w:before="160"/>
        <w:ind w:left="120" w:hanging="160" w:hangingChars="50"/>
        <w:rPr>
          <w:rFonts w:hint="default" w:ascii="Times New Roman" w:hAnsi="Times New Roman" w:cs="Times New Roman"/>
          <w:b/>
          <w:sz w:val="32"/>
          <w:szCs w:val="28"/>
        </w:rPr>
      </w:pPr>
    </w:p>
    <w:p w14:paraId="53E40591">
      <w:pPr>
        <w:spacing w:before="160"/>
        <w:ind w:left="120" w:hanging="160" w:hangingChars="50"/>
        <w:rPr>
          <w:rFonts w:hint="default" w:ascii="Times New Roman" w:hAnsi="Times New Roman" w:cs="Times New Roman"/>
          <w:b/>
          <w:sz w:val="32"/>
          <w:szCs w:val="28"/>
        </w:rPr>
      </w:pPr>
    </w:p>
    <w:p w14:paraId="20796C76">
      <w:pPr>
        <w:spacing w:before="160"/>
        <w:ind w:left="120" w:hanging="160" w:hangingChars="50"/>
        <w:rPr>
          <w:rFonts w:hint="default" w:ascii="Times New Roman" w:hAnsi="Times New Roman" w:cs="Times New Roman"/>
          <w:sz w:val="24"/>
          <w:szCs w:val="28"/>
        </w:rPr>
      </w:pPr>
      <w:r>
        <w:rPr>
          <w:rFonts w:hint="default" w:ascii="Times New Roman" w:hAnsi="Times New Roman" w:cs="Times New Roman"/>
          <w:b/>
          <w:sz w:val="32"/>
          <w:szCs w:val="28"/>
        </w:rPr>
        <w:t>1.2 Exploitation Mechanics &amp; Demonstration</w:t>
      </w:r>
    </w:p>
    <w:p w14:paraId="69CE43A9">
      <w:pPr>
        <w:spacing w:after="80"/>
        <w:rPr>
          <w:rFonts w:hint="default" w:ascii="Times New Roman" w:hAnsi="Times New Roman" w:cs="Times New Roman"/>
          <w:sz w:val="24"/>
          <w:szCs w:val="28"/>
        </w:rPr>
      </w:pPr>
      <w:r>
        <w:rPr>
          <w:rFonts w:hint="default" w:ascii="Times New Roman" w:hAnsi="Times New Roman" w:cs="Times New Roman"/>
          <w:b/>
          <w:sz w:val="24"/>
          <w:szCs w:val="28"/>
        </w:rPr>
        <w:t xml:space="preserve">Technical Description: </w:t>
      </w:r>
      <w:r>
        <w:rPr>
          <w:rFonts w:hint="default" w:ascii="Times New Roman" w:hAnsi="Times New Roman" w:cs="Times New Roman"/>
          <w:sz w:val="24"/>
          <w:szCs w:val="28"/>
        </w:rPr>
        <w:t>This vulnerability occurs because the application fails to validate or sanitize user input provided in the User ID text box before appending it directly into a backend database query. The source code builds the dynamic SQL query by wrapping the raw input string in single quote marks. By submitting a specialized input payload containing a structural delimiter ('), an attacker can force the SQL compiler to exit the safe data context and evaluate raw logical database strings instead.</w:t>
      </w:r>
    </w:p>
    <w:p w14:paraId="78317243">
      <w:pPr>
        <w:spacing w:after="80"/>
        <w:rPr>
          <w:rFonts w:hint="default" w:ascii="Times New Roman" w:hAnsi="Times New Roman" w:cs="Times New Roman"/>
          <w:sz w:val="24"/>
          <w:szCs w:val="28"/>
        </w:rPr>
      </w:pPr>
      <w:r>
        <w:rPr>
          <w:rFonts w:hint="default" w:ascii="Times New Roman" w:hAnsi="Times New Roman" w:cs="Times New Roman"/>
          <w:b/>
          <w:sz w:val="24"/>
          <w:szCs w:val="28"/>
        </w:rPr>
        <w:t xml:space="preserve">Technique Used: </w:t>
      </w:r>
      <w:r>
        <w:rPr>
          <w:rFonts w:hint="default" w:ascii="Times New Roman" w:hAnsi="Times New Roman" w:cs="Times New Roman"/>
          <w:sz w:val="24"/>
          <w:szCs w:val="28"/>
        </w:rPr>
        <w:t>Logical Authentication/Filter Bypass via Boolean Logic (' OR '1'='1)</w:t>
      </w:r>
    </w:p>
    <w:p w14:paraId="51E02F68">
      <w:pPr>
        <w:rPr>
          <w:rFonts w:hint="default" w:ascii="Times New Roman" w:hAnsi="Times New Roman" w:cs="Times New Roman"/>
          <w:sz w:val="24"/>
          <w:szCs w:val="28"/>
        </w:rPr>
      </w:pPr>
      <w:r>
        <w:rPr>
          <w:rFonts w:hint="default" w:ascii="Times New Roman" w:hAnsi="Times New Roman" w:cs="Times New Roman"/>
          <w:b/>
          <w:sz w:val="24"/>
          <w:szCs w:val="28"/>
        </w:rPr>
        <w:t>Execution Steps:</w:t>
      </w:r>
    </w:p>
    <w:p w14:paraId="56A94B43">
      <w:pPr>
        <w:pStyle w:val="29"/>
        <w:spacing w:after="80"/>
        <w:rPr>
          <w:rFonts w:hint="default" w:ascii="Times New Roman" w:hAnsi="Times New Roman" w:cs="Times New Roman"/>
          <w:sz w:val="24"/>
          <w:szCs w:val="28"/>
        </w:rPr>
      </w:pPr>
      <w:r>
        <w:rPr>
          <w:rFonts w:hint="default" w:ascii="Times New Roman" w:hAnsi="Times New Roman" w:cs="Times New Roman"/>
          <w:sz w:val="24"/>
          <w:szCs w:val="28"/>
        </w:rPr>
        <w:t>Navigated to the SQL Injection interface and established an input validation baseline by querying a valid numerical index (1).</w:t>
      </w:r>
    </w:p>
    <w:p w14:paraId="03E95570">
      <w:pPr>
        <w:pStyle w:val="29"/>
        <w:spacing w:after="80"/>
        <w:rPr>
          <w:rFonts w:hint="default" w:ascii="Times New Roman" w:hAnsi="Times New Roman" w:cs="Times New Roman"/>
          <w:sz w:val="24"/>
          <w:szCs w:val="28"/>
        </w:rPr>
      </w:pPr>
      <w:r>
        <w:rPr>
          <w:rFonts w:hint="default" w:ascii="Times New Roman" w:hAnsi="Times New Roman" w:cs="Times New Roman"/>
          <w:sz w:val="24"/>
          <w:szCs w:val="28"/>
        </w:rPr>
        <w:t>Injected the tailored payload: %' OR '1'='1.</w:t>
      </w:r>
    </w:p>
    <w:p w14:paraId="251E0FAA">
      <w:pPr>
        <w:pStyle w:val="29"/>
        <w:spacing w:after="80"/>
        <w:rPr>
          <w:rFonts w:hint="default" w:ascii="Times New Roman" w:hAnsi="Times New Roman" w:cs="Times New Roman"/>
          <w:sz w:val="24"/>
          <w:szCs w:val="28"/>
        </w:rPr>
      </w:pPr>
      <w:r>
        <w:rPr>
          <w:rFonts w:hint="default" w:ascii="Times New Roman" w:hAnsi="Times New Roman" w:cs="Times New Roman"/>
          <w:sz w:val="24"/>
          <w:szCs w:val="28"/>
        </w:rPr>
        <w:t>The backend server parsed the input into the tracking string, making the final execution block look like: SELECT first_name, last_name FROM users WHERE user_id = '%' OR '1'='1';</w:t>
      </w:r>
    </w:p>
    <w:p w14:paraId="25B76A89">
      <w:pPr>
        <w:pStyle w:val="29"/>
        <w:spacing w:after="80"/>
        <w:rPr>
          <w:rFonts w:hint="default" w:ascii="Times New Roman" w:hAnsi="Times New Roman" w:cs="Times New Roman"/>
          <w:sz w:val="24"/>
          <w:szCs w:val="28"/>
        </w:rPr>
      </w:pPr>
      <w:r>
        <w:rPr>
          <w:rFonts w:hint="default" w:ascii="Times New Roman" w:hAnsi="Times New Roman" w:cs="Times New Roman"/>
          <w:sz w:val="24"/>
          <w:szCs w:val="28"/>
        </w:rPr>
        <w:t>Because the sub-clause statement '1'='1' evaluates mathematically to TRUE for every single entry in the system, the database bypassed the conditional filters entirely and dumped the entire hidden user directory data block on the screen.</w:t>
      </w:r>
    </w:p>
    <w:p w14:paraId="0ECF6BCB">
      <w:pPr>
        <w:jc w:val="center"/>
        <w:rPr>
          <w:rFonts w:hint="default" w:ascii="Times New Roman" w:hAnsi="Times New Roman" w:cs="Times New Roman"/>
          <w:sz w:val="24"/>
          <w:szCs w:val="28"/>
          <w:lang w:val="en-US"/>
        </w:rPr>
      </w:pPr>
      <w:r>
        <w:rPr>
          <w:rFonts w:hint="default" w:ascii="Times New Roman" w:hAnsi="Times New Roman" w:cs="Times New Roman"/>
          <w:sz w:val="24"/>
          <w:szCs w:val="28"/>
          <w:lang w:val="en-US"/>
        </w:rPr>
        <w:drawing>
          <wp:anchor distT="0" distB="0" distL="114300" distR="114300" simplePos="0" relativeHeight="251659264" behindDoc="1" locked="0" layoutInCell="1" allowOverlap="1">
            <wp:simplePos x="0" y="0"/>
            <wp:positionH relativeFrom="column">
              <wp:posOffset>59055</wp:posOffset>
            </wp:positionH>
            <wp:positionV relativeFrom="paragraph">
              <wp:posOffset>3326130</wp:posOffset>
            </wp:positionV>
            <wp:extent cx="6160135" cy="2719705"/>
            <wp:effectExtent l="0" t="0" r="12065" b="23495"/>
            <wp:wrapTight wrapText="bothSides">
              <wp:wrapPolygon>
                <wp:start x="0" y="0"/>
                <wp:lineTo x="0" y="21484"/>
                <wp:lineTo x="21553" y="21484"/>
                <wp:lineTo x="21553" y="0"/>
                <wp:lineTo x="0" y="0"/>
              </wp:wrapPolygon>
            </wp:wrapTight>
            <wp:docPr id="13" name="Picture 13" descr="Exploitation Mechanic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xploitation Mechanics 2"/>
                    <pic:cNvPicPr>
                      <a:picLocks noChangeAspect="1"/>
                    </pic:cNvPicPr>
                  </pic:nvPicPr>
                  <pic:blipFill>
                    <a:blip r:embed="rId8"/>
                    <a:stretch>
                      <a:fillRect/>
                    </a:stretch>
                  </pic:blipFill>
                  <pic:spPr>
                    <a:xfrm>
                      <a:off x="0" y="0"/>
                      <a:ext cx="6160135" cy="2719705"/>
                    </a:xfrm>
                    <a:prstGeom prst="rect">
                      <a:avLst/>
                    </a:prstGeom>
                  </pic:spPr>
                </pic:pic>
              </a:graphicData>
            </a:graphic>
          </wp:anchor>
        </w:drawing>
      </w:r>
      <w:r>
        <w:rPr>
          <w:rFonts w:hint="default" w:ascii="Times New Roman" w:hAnsi="Times New Roman" w:cs="Times New Roman"/>
          <w:i/>
          <w:sz w:val="24"/>
          <w:szCs w:val="28"/>
        </w:rPr>
        <w:drawing>
          <wp:inline distT="0" distB="0" distL="114300" distR="114300">
            <wp:extent cx="5778500" cy="2594610"/>
            <wp:effectExtent l="0" t="0" r="0" b="8890"/>
            <wp:docPr id="12" name="Picture 12" descr="Exploitation Mecha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Exploitation Mechanics"/>
                    <pic:cNvPicPr>
                      <a:picLocks noChangeAspect="1"/>
                    </pic:cNvPicPr>
                  </pic:nvPicPr>
                  <pic:blipFill>
                    <a:blip r:embed="rId9"/>
                    <a:stretch>
                      <a:fillRect/>
                    </a:stretch>
                  </pic:blipFill>
                  <pic:spPr>
                    <a:xfrm>
                      <a:off x="0" y="0"/>
                      <a:ext cx="5778500" cy="2594610"/>
                    </a:xfrm>
                    <a:prstGeom prst="rect">
                      <a:avLst/>
                    </a:prstGeom>
                  </pic:spPr>
                </pic:pic>
              </a:graphicData>
            </a:graphic>
          </wp:inline>
        </w:drawing>
      </w:r>
      <w:r>
        <w:rPr>
          <w:rFonts w:hint="default" w:ascii="Times New Roman" w:hAnsi="Times New Roman" w:cs="Times New Roman"/>
          <w:i/>
          <w:sz w:val="24"/>
          <w:szCs w:val="28"/>
        </w:rPr>
        <w:t xml:space="preserve">[INSERT </w:t>
      </w:r>
    </w:p>
    <w:p w14:paraId="468AC3D2">
      <w:pPr>
        <w:spacing w:before="160"/>
        <w:rPr>
          <w:rFonts w:hint="default" w:ascii="Times New Roman" w:hAnsi="Times New Roman" w:cs="Times New Roman"/>
          <w:b/>
          <w:sz w:val="32"/>
          <w:szCs w:val="28"/>
        </w:rPr>
      </w:pPr>
    </w:p>
    <w:p w14:paraId="7E74383A">
      <w:pPr>
        <w:spacing w:before="160"/>
        <w:rPr>
          <w:rFonts w:hint="default" w:ascii="Times New Roman" w:hAnsi="Times New Roman" w:cs="Times New Roman"/>
          <w:sz w:val="24"/>
          <w:szCs w:val="28"/>
        </w:rPr>
      </w:pPr>
      <w:r>
        <w:rPr>
          <w:rFonts w:hint="default" w:ascii="Times New Roman" w:hAnsi="Times New Roman" w:cs="Times New Roman"/>
          <w:b/>
          <w:sz w:val="32"/>
          <w:szCs w:val="28"/>
        </w:rPr>
        <w:t>1.3 Impact Analysis</w:t>
      </w:r>
    </w:p>
    <w:p w14:paraId="7C36372C">
      <w:pPr>
        <w:spacing w:after="80"/>
        <w:rPr>
          <w:rFonts w:hint="default" w:ascii="Times New Roman" w:hAnsi="Times New Roman" w:cs="Times New Roman"/>
          <w:sz w:val="24"/>
          <w:szCs w:val="28"/>
        </w:rPr>
      </w:pPr>
      <w:r>
        <w:rPr>
          <w:rFonts w:hint="default" w:ascii="Times New Roman" w:hAnsi="Times New Roman" w:cs="Times New Roman"/>
          <w:b/>
          <w:sz w:val="24"/>
          <w:szCs w:val="28"/>
        </w:rPr>
        <w:t xml:space="preserve">Impact Level: </w:t>
      </w:r>
      <w:r>
        <w:rPr>
          <w:rFonts w:hint="default" w:ascii="Times New Roman" w:hAnsi="Times New Roman" w:cs="Times New Roman"/>
          <w:sz w:val="24"/>
          <w:szCs w:val="28"/>
        </w:rPr>
        <w:t>High / Critical</w:t>
      </w:r>
    </w:p>
    <w:p w14:paraId="41A8648B">
      <w:pPr>
        <w:spacing w:after="80"/>
        <w:rPr>
          <w:rFonts w:hint="default" w:ascii="Times New Roman" w:hAnsi="Times New Roman" w:cs="Times New Roman"/>
          <w:sz w:val="24"/>
          <w:szCs w:val="28"/>
        </w:rPr>
      </w:pPr>
      <w:r>
        <w:rPr>
          <w:rFonts w:hint="default" w:ascii="Times New Roman" w:hAnsi="Times New Roman" w:cs="Times New Roman"/>
          <w:b/>
          <w:sz w:val="24"/>
          <w:szCs w:val="28"/>
        </w:rPr>
        <w:t xml:space="preserve">Technical Consequences: </w:t>
      </w:r>
      <w:r>
        <w:rPr>
          <w:rFonts w:hint="default" w:ascii="Times New Roman" w:hAnsi="Times New Roman" w:cs="Times New Roman"/>
          <w:sz w:val="24"/>
          <w:szCs w:val="28"/>
        </w:rPr>
        <w:t>Successful exploitation of this flaw represents a total compromise of database confidentiality. External actors can manipulate logical queries to enumerate system databases, leak sensitive personnel identities, expose internal authentication credentials/password hashes, or bypass standard authorization walls completely to extract unauthorized records.</w:t>
      </w:r>
    </w:p>
    <w:p w14:paraId="123D5B4C">
      <w:pPr>
        <w:spacing w:before="160"/>
        <w:rPr>
          <w:rFonts w:hint="default" w:ascii="Times New Roman" w:hAnsi="Times New Roman" w:cs="Times New Roman"/>
          <w:sz w:val="24"/>
          <w:szCs w:val="28"/>
        </w:rPr>
      </w:pPr>
      <w:r>
        <w:rPr>
          <w:rFonts w:hint="default" w:ascii="Times New Roman" w:hAnsi="Times New Roman" w:cs="Times New Roman"/>
          <w:b/>
          <w:sz w:val="32"/>
          <w:szCs w:val="28"/>
        </w:rPr>
        <w:t>1.4 Recommended Remediation</w:t>
      </w:r>
    </w:p>
    <w:p w14:paraId="1D79C0ED">
      <w:pPr>
        <w:spacing w:after="80"/>
        <w:rPr>
          <w:rFonts w:hint="default" w:ascii="Times New Roman" w:hAnsi="Times New Roman" w:cs="Times New Roman"/>
          <w:sz w:val="24"/>
          <w:szCs w:val="28"/>
        </w:rPr>
      </w:pPr>
      <w:r>
        <w:rPr>
          <w:rFonts w:hint="default" w:ascii="Times New Roman" w:hAnsi="Times New Roman" w:cs="Times New Roman"/>
          <w:b/>
          <w:sz w:val="24"/>
          <w:szCs w:val="28"/>
        </w:rPr>
        <w:t xml:space="preserve">Adopt Parameterized Queries (Prepared Statements): </w:t>
      </w:r>
      <w:r>
        <w:rPr>
          <w:rFonts w:hint="default" w:ascii="Times New Roman" w:hAnsi="Times New Roman" w:cs="Times New Roman"/>
          <w:sz w:val="24"/>
          <w:szCs w:val="28"/>
        </w:rPr>
        <w:t>Ensure all applications use native database API prepared statements. This separates input parameters completely from executable application queries, rendering logical string manipulation payloads completely harmless.</w:t>
      </w:r>
    </w:p>
    <w:p w14:paraId="263F1EA8">
      <w:pPr>
        <w:spacing w:after="80"/>
        <w:rPr>
          <w:rFonts w:hint="default" w:ascii="Times New Roman" w:hAnsi="Times New Roman" w:cs="Times New Roman"/>
          <w:sz w:val="24"/>
          <w:szCs w:val="28"/>
        </w:rPr>
      </w:pPr>
      <w:r>
        <w:rPr>
          <w:rFonts w:hint="default" w:ascii="Times New Roman" w:hAnsi="Times New Roman" w:cs="Times New Roman"/>
          <w:b/>
          <w:sz w:val="24"/>
          <w:szCs w:val="28"/>
        </w:rPr>
        <w:t xml:space="preserve">Input Filtering and Sanitization: </w:t>
      </w:r>
      <w:r>
        <w:rPr>
          <w:rFonts w:hint="default" w:ascii="Times New Roman" w:hAnsi="Times New Roman" w:cs="Times New Roman"/>
          <w:sz w:val="24"/>
          <w:szCs w:val="28"/>
        </w:rPr>
        <w:t>Implement rigorous data character filtering validation to systematically remove or encode command symbols (such as single quotes or hyphens) before routing incoming data pipelines into analytical processes.</w:t>
      </w:r>
    </w:p>
    <w:p w14:paraId="011E2AB1">
      <w:pPr>
        <w:spacing w:after="80"/>
        <w:rPr>
          <w:rFonts w:hint="default" w:ascii="Times New Roman" w:hAnsi="Times New Roman" w:cs="Times New Roman"/>
          <w:sz w:val="24"/>
          <w:szCs w:val="28"/>
        </w:rPr>
      </w:pPr>
      <w:r>
        <w:rPr>
          <w:rFonts w:hint="default" w:ascii="Times New Roman" w:hAnsi="Times New Roman" w:cs="Times New Roman"/>
          <w:b/>
          <w:sz w:val="24"/>
          <w:szCs w:val="28"/>
        </w:rPr>
        <w:t xml:space="preserve">Implement Least Privilege Database Access: </w:t>
      </w:r>
      <w:r>
        <w:rPr>
          <w:rFonts w:hint="default" w:ascii="Times New Roman" w:hAnsi="Times New Roman" w:cs="Times New Roman"/>
          <w:sz w:val="24"/>
          <w:szCs w:val="28"/>
        </w:rPr>
        <w:t>Bound the internal system permissions assigned to the web application server's tracking database account. Restrict processing parameters to ensure it can only communicate with necessary table sectors and cannot call higher administration workflows.</w:t>
      </w:r>
    </w:p>
    <w:p w14:paraId="113BF9FC">
      <w:pPr>
        <w:spacing w:after="80"/>
        <w:rPr>
          <w:rFonts w:hint="default" w:ascii="Times New Roman" w:hAnsi="Times New Roman" w:cs="Times New Roman"/>
          <w:sz w:val="24"/>
          <w:szCs w:val="28"/>
        </w:rPr>
      </w:pPr>
    </w:p>
    <w:p w14:paraId="02FFA630">
      <w:pPr>
        <w:pStyle w:val="2"/>
        <w:spacing w:before="160" w:after="80"/>
        <w:rPr>
          <w:rFonts w:hint="default" w:ascii="Times New Roman" w:hAnsi="Times New Roman" w:cs="Times New Roman"/>
          <w:color w:val="000000" w:themeColor="text1"/>
          <w:sz w:val="44"/>
          <w:szCs w:val="44"/>
          <w14:textFill>
            <w14:solidFill>
              <w14:schemeClr w14:val="tx1"/>
            </w14:solidFill>
          </w14:textFill>
        </w:rPr>
      </w:pPr>
    </w:p>
    <w:p w14:paraId="6D84E1DA">
      <w:pPr>
        <w:pStyle w:val="2"/>
        <w:spacing w:before="160" w:after="80"/>
        <w:rPr>
          <w:rFonts w:hint="default" w:ascii="Times New Roman" w:hAnsi="Times New Roman" w:cs="Times New Roman"/>
          <w:color w:val="000000" w:themeColor="text1"/>
          <w:sz w:val="44"/>
          <w:szCs w:val="44"/>
          <w14:textFill>
            <w14:solidFill>
              <w14:schemeClr w14:val="tx1"/>
            </w14:solidFill>
          </w14:textFill>
        </w:rPr>
      </w:pPr>
    </w:p>
    <w:p w14:paraId="37810016">
      <w:pPr>
        <w:pStyle w:val="2"/>
        <w:spacing w:before="160" w:after="80"/>
        <w:rPr>
          <w:rFonts w:hint="default" w:ascii="Times New Roman" w:hAnsi="Times New Roman" w:cs="Times New Roman"/>
          <w:color w:val="000000" w:themeColor="text1"/>
          <w:sz w:val="44"/>
          <w:szCs w:val="44"/>
          <w14:textFill>
            <w14:solidFill>
              <w14:schemeClr w14:val="tx1"/>
            </w14:solidFill>
          </w14:textFill>
        </w:rPr>
      </w:pPr>
    </w:p>
    <w:p w14:paraId="0B0F4E93">
      <w:pPr>
        <w:pStyle w:val="2"/>
        <w:spacing w:before="160" w:after="80"/>
        <w:rPr>
          <w:rFonts w:hint="default" w:ascii="Times New Roman" w:hAnsi="Times New Roman" w:cs="Times New Roman"/>
          <w:color w:val="000000" w:themeColor="text1"/>
          <w:sz w:val="44"/>
          <w:szCs w:val="44"/>
          <w:lang w:val="en-US"/>
          <w14:textFill>
            <w14:solidFill>
              <w14:schemeClr w14:val="tx1"/>
            </w14:solidFill>
          </w14:textFill>
        </w:rPr>
      </w:pPr>
    </w:p>
    <w:p w14:paraId="6A725956">
      <w:pPr>
        <w:pStyle w:val="2"/>
        <w:spacing w:before="160" w:after="80"/>
        <w:rPr>
          <w:rFonts w:hint="default" w:ascii="Times New Roman" w:hAnsi="Times New Roman" w:cs="Times New Roman"/>
          <w:color w:val="000000" w:themeColor="text1"/>
          <w:sz w:val="44"/>
          <w:szCs w:val="44"/>
          <w14:textFill>
            <w14:solidFill>
              <w14:schemeClr w14:val="tx1"/>
            </w14:solidFill>
          </w14:textFill>
        </w:rPr>
      </w:pPr>
    </w:p>
    <w:p w14:paraId="12D715F1">
      <w:pPr>
        <w:rPr>
          <w:rFonts w:hint="default" w:ascii="Times New Roman" w:hAnsi="Times New Roman" w:cs="Times New Roman"/>
          <w:sz w:val="24"/>
          <w:szCs w:val="28"/>
        </w:rPr>
      </w:pPr>
    </w:p>
    <w:p w14:paraId="7E1C43D6">
      <w:pPr>
        <w:spacing w:after="60"/>
        <w:rPr>
          <w:rFonts w:hint="default" w:ascii="Times New Roman" w:hAnsi="Times New Roman" w:cs="Times New Roman"/>
          <w:color w:val="000000" w:themeColor="text1"/>
          <w:sz w:val="32"/>
          <w:szCs w:val="36"/>
          <w14:textFill>
            <w14:solidFill>
              <w14:schemeClr w14:val="tx1"/>
            </w14:solidFill>
          </w14:textFill>
        </w:rPr>
      </w:pPr>
      <w:bookmarkStart w:id="0" w:name="_GoBack"/>
      <w:bookmarkEnd w:id="0"/>
    </w:p>
    <w:sectPr>
      <w:footerReference r:id="rId5" w:type="default"/>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Bahnschrift Condensed">
    <w:panose1 w:val="020B0502040204020203"/>
    <w:charset w:val="00"/>
    <w:family w:val="auto"/>
    <w:pitch w:val="default"/>
    <w:sig w:usb0="A00002C7" w:usb1="00000002" w:usb2="00000000" w:usb3="00000000" w:csb0="2000019F" w:csb1="00000000"/>
  </w:font>
  <w:font w:name="Bahnschrift SemiBold SemiCondensed">
    <w:panose1 w:val="020B0502040204020203"/>
    <w:charset w:val="00"/>
    <w:family w:val="auto"/>
    <w:pitch w:val="default"/>
    <w:sig w:usb0="A00002C7" w:usb1="00000002"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8B565">
    <w:pPr>
      <w:pStyle w:val="18"/>
      <w:jc w:val="center"/>
    </w:pPr>
    <w:r>
      <w:rPr>
        <w:sz w:val="16"/>
      </w:rPr>
      <w:t>Penetration Testing Report | Authorized Laboratory Environment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C07254"/>
    <w:rsid w:val="0FC72972"/>
    <w:rsid w:val="154D0B52"/>
    <w:rsid w:val="35867D5E"/>
    <w:rsid w:val="47C410E3"/>
    <w:rsid w:val="56AA4167"/>
    <w:rsid w:val="61F401C1"/>
    <w:rsid w:val="6DDA1556"/>
    <w:rsid w:val="76B0598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824</Words>
  <Characters>5586</Characters>
  <Lines>0</Lines>
  <Paragraphs>0</Paragraphs>
  <TotalTime>26</TotalTime>
  <ScaleCrop>false</ScaleCrop>
  <LinksUpToDate>false</LinksUpToDate>
  <CharactersWithSpaces>6324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2026-09-04T14:15:29Z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eyJoZGlkIjoiYjhiNjNjNDc2ZWM5ZjlkYTQyNzM0ZGRmYzczM2EwMmIifQ==</vt:lpwstr>
  </property>
  <property fmtid="{D5CDD505-2E9C-101B-9397-08002B2CF9AE}" pid="3" name="KSOProductBuildVer">
    <vt:lpwstr>1033-12.1.0.28032</vt:lpwstr>
  </property>
  <property fmtid="{D5CDD505-2E9C-101B-9397-08002B2CF9AE}" pid="4" name="ICV">
    <vt:lpwstr>8BAE9A3612ED45548DAB47D8BAAADBBC_13</vt:lpwstr>
  </property>
</Properties>
</file>