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79F" w:rsidRPr="0017179F" w:rsidRDefault="0017179F" w:rsidP="0017179F">
      <w:pPr>
        <w:rPr>
          <w:rFonts w:cstheme="minorHAnsi"/>
          <w:sz w:val="24"/>
          <w:szCs w:val="24"/>
        </w:rPr>
      </w:pPr>
    </w:p>
    <w:p w:rsidR="0017179F" w:rsidRPr="0017179F" w:rsidRDefault="0017179F" w:rsidP="0017179F">
      <w:pPr>
        <w:jc w:val="center"/>
        <w:rPr>
          <w:rFonts w:cstheme="minorHAnsi"/>
          <w:b/>
          <w:bCs/>
          <w:sz w:val="24"/>
          <w:szCs w:val="24"/>
        </w:rPr>
      </w:pPr>
      <w:r w:rsidRPr="0017179F">
        <w:rPr>
          <w:rFonts w:cstheme="minorHAnsi"/>
          <w:b/>
          <w:bCs/>
          <w:noProof/>
          <w:sz w:val="24"/>
          <w:szCs w:val="24"/>
        </w:rPr>
        <mc:AlternateContent>
          <mc:Choice Requires="wps">
            <w:drawing>
              <wp:anchor distT="0" distB="0" distL="114300" distR="114300" simplePos="0" relativeHeight="251659264" behindDoc="0" locked="0" layoutInCell="1" allowOverlap="1" wp14:anchorId="390C71FC" wp14:editId="2D7DAE35">
                <wp:simplePos x="0" y="0"/>
                <wp:positionH relativeFrom="column">
                  <wp:posOffset>-252095</wp:posOffset>
                </wp:positionH>
                <wp:positionV relativeFrom="paragraph">
                  <wp:posOffset>300355</wp:posOffset>
                </wp:positionV>
                <wp:extent cx="6134100" cy="15240"/>
                <wp:effectExtent l="0" t="0" r="19050" b="22860"/>
                <wp:wrapNone/>
                <wp:docPr id="1" name="Düz Bağlayıcı 1"/>
                <wp:cNvGraphicFramePr/>
                <a:graphic xmlns:a="http://schemas.openxmlformats.org/drawingml/2006/main">
                  <a:graphicData uri="http://schemas.microsoft.com/office/word/2010/wordprocessingShape">
                    <wps:wsp>
                      <wps:cNvCnPr/>
                      <wps:spPr>
                        <a:xfrm>
                          <a:off x="0" y="0"/>
                          <a:ext cx="61341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BB1F35" id="Düz Bağlayıcı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85pt,23.65pt" to="463.1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" strokecolor="black [3200]" strokeweight=".5pt">
                <v:stroke joinstyle="miter"/>
              </v:line>
            </w:pict>
          </mc:Fallback>
        </mc:AlternateContent>
      </w:r>
      <w:r w:rsidRPr="0017179F">
        <w:rPr>
          <w:rFonts w:cstheme="minorHAnsi"/>
          <w:b/>
          <w:bCs/>
          <w:sz w:val="24"/>
          <w:szCs w:val="24"/>
        </w:rPr>
        <w:t>UNIVERSITY OF SAARLAND</w:t>
      </w:r>
    </w:p>
    <w:p w:rsidR="0017179F" w:rsidRPr="0017179F" w:rsidRDefault="0017179F" w:rsidP="0017179F">
      <w:pPr>
        <w:jc w:val="center"/>
        <w:rPr>
          <w:rFonts w:cstheme="minorHAnsi"/>
          <w:b/>
          <w:bCs/>
          <w:sz w:val="24"/>
          <w:szCs w:val="24"/>
        </w:rPr>
      </w:pPr>
    </w:p>
    <w:p w:rsidR="0017179F" w:rsidRPr="0017179F" w:rsidRDefault="0017179F" w:rsidP="0017179F">
      <w:pPr>
        <w:jc w:val="center"/>
        <w:rPr>
          <w:rFonts w:cstheme="minorHAnsi"/>
          <w:b/>
          <w:bCs/>
          <w:sz w:val="24"/>
          <w:szCs w:val="24"/>
        </w:rPr>
      </w:pPr>
      <w:r w:rsidRPr="0017179F">
        <w:rPr>
          <w:rFonts w:cstheme="minorHAnsi"/>
          <w:b/>
          <w:bCs/>
          <w:sz w:val="24"/>
          <w:szCs w:val="24"/>
        </w:rPr>
        <w:t xml:space="preserve">Structural Bioinformatics Assignment </w:t>
      </w:r>
      <w:r w:rsidR="009C6262">
        <w:rPr>
          <w:rFonts w:cstheme="minorHAnsi"/>
          <w:b/>
          <w:bCs/>
          <w:sz w:val="24"/>
          <w:szCs w:val="24"/>
        </w:rPr>
        <w:t>5</w:t>
      </w:r>
    </w:p>
    <w:p w:rsidR="0017179F" w:rsidRPr="0017179F" w:rsidRDefault="0017179F" w:rsidP="0017179F">
      <w:pPr>
        <w:jc w:val="center"/>
        <w:rPr>
          <w:rFonts w:cstheme="minorHAnsi"/>
          <w:sz w:val="24"/>
          <w:szCs w:val="24"/>
        </w:rPr>
      </w:pPr>
      <w:r w:rsidRPr="0017179F">
        <w:rPr>
          <w:rFonts w:cstheme="minorHAnsi"/>
          <w:sz w:val="24"/>
          <w:szCs w:val="24"/>
        </w:rPr>
        <w:t xml:space="preserve">Prof. Dr. Olga </w:t>
      </w:r>
      <w:proofErr w:type="spellStart"/>
      <w:r w:rsidRPr="0017179F">
        <w:rPr>
          <w:rFonts w:cstheme="minorHAnsi"/>
          <w:sz w:val="24"/>
          <w:szCs w:val="24"/>
        </w:rPr>
        <w:t>Kalinina</w:t>
      </w:r>
      <w:proofErr w:type="spellEnd"/>
    </w:p>
    <w:p w:rsidR="0017179F" w:rsidRPr="0017179F" w:rsidRDefault="0017179F">
      <w:pPr>
        <w:rPr>
          <w:rFonts w:cstheme="minorHAnsi"/>
          <w:b/>
          <w:sz w:val="24"/>
          <w:szCs w:val="24"/>
        </w:rPr>
      </w:pPr>
    </w:p>
    <w:p w:rsidR="002C7905" w:rsidRPr="0017179F" w:rsidRDefault="00443074" w:rsidP="0017179F">
      <w:pPr>
        <w:spacing w:line="360" w:lineRule="auto"/>
        <w:rPr>
          <w:rFonts w:cstheme="minorHAnsi"/>
          <w:b/>
          <w:sz w:val="24"/>
          <w:szCs w:val="24"/>
        </w:rPr>
      </w:pPr>
      <w:r w:rsidRPr="0017179F">
        <w:rPr>
          <w:rFonts w:cstheme="minorHAnsi"/>
          <w:b/>
          <w:sz w:val="24"/>
          <w:szCs w:val="24"/>
        </w:rPr>
        <w:t>1</w:t>
      </w:r>
      <w:r w:rsidR="00FC3959" w:rsidRPr="0017179F">
        <w:rPr>
          <w:rFonts w:cstheme="minorHAnsi"/>
          <w:b/>
          <w:sz w:val="24"/>
          <w:szCs w:val="24"/>
        </w:rPr>
        <w:t>.</w:t>
      </w:r>
    </w:p>
    <w:p w:rsidR="00235597" w:rsidRPr="0017179F" w:rsidRDefault="00443074" w:rsidP="0017179F">
      <w:pPr>
        <w:spacing w:line="360" w:lineRule="auto"/>
        <w:rPr>
          <w:rFonts w:cstheme="minorHAnsi"/>
          <w:sz w:val="24"/>
          <w:szCs w:val="24"/>
        </w:rPr>
      </w:pPr>
      <w:r w:rsidRPr="0017179F">
        <w:rPr>
          <w:rFonts w:cstheme="minorHAnsi"/>
          <w:sz w:val="24"/>
          <w:szCs w:val="24"/>
        </w:rPr>
        <w:t xml:space="preserve">There are methods like X-ray crystallography, NMR and </w:t>
      </w:r>
      <w:r w:rsidR="008855AF" w:rsidRPr="0017179F">
        <w:rPr>
          <w:rFonts w:cstheme="minorHAnsi"/>
          <w:sz w:val="24"/>
          <w:szCs w:val="24"/>
        </w:rPr>
        <w:t>cryo-EM</w:t>
      </w:r>
      <w:r w:rsidRPr="0017179F">
        <w:rPr>
          <w:rFonts w:cstheme="minorHAnsi"/>
          <w:sz w:val="24"/>
          <w:szCs w:val="24"/>
        </w:rPr>
        <w:t>.</w:t>
      </w:r>
    </w:p>
    <w:p w:rsidR="00443074" w:rsidRPr="0017179F" w:rsidRDefault="00443074" w:rsidP="0017179F">
      <w:pPr>
        <w:spacing w:line="360" w:lineRule="auto"/>
        <w:rPr>
          <w:rFonts w:cstheme="minorHAnsi"/>
          <w:sz w:val="24"/>
          <w:szCs w:val="24"/>
        </w:rPr>
      </w:pPr>
      <w:r w:rsidRPr="0017179F">
        <w:rPr>
          <w:rFonts w:cstheme="minorHAnsi"/>
          <w:sz w:val="24"/>
          <w:szCs w:val="24"/>
        </w:rPr>
        <w:t>X-ray crystallography sends X-ray beams to crystallized molecules. By doing so it makes it possible to observe the beams’ situation towards crystallized molecules like their angle and intensities</w:t>
      </w:r>
      <w:r w:rsidR="00235597" w:rsidRPr="0017179F">
        <w:rPr>
          <w:rFonts w:cstheme="minorHAnsi"/>
          <w:sz w:val="24"/>
          <w:szCs w:val="24"/>
        </w:rPr>
        <w:t>. Measuring these will give the whereabouts of the density of the electrons within the crystallized molecule, creating and essential fundamental for the prediction of the whole molecule. Position of the atoms, chemical bonds, etc. can be predicted with the knowledge of electron densities</w:t>
      </w:r>
      <w:r w:rsidR="00440D70">
        <w:rPr>
          <w:rFonts w:cstheme="minorHAnsi"/>
          <w:sz w:val="24"/>
          <w:szCs w:val="24"/>
        </w:rPr>
        <w:t xml:space="preserve"> </w:t>
      </w:r>
      <w:r w:rsidR="00440D70">
        <w:rPr>
          <w:rFonts w:cstheme="minorHAnsi"/>
          <w:sz w:val="24"/>
          <w:szCs w:val="24"/>
        </w:rPr>
        <w:fldChar w:fldCharType="begin"/>
      </w:r>
      <w:r w:rsidR="00440D70">
        <w:rPr>
          <w:rFonts w:cstheme="minorHAnsi"/>
          <w:sz w:val="24"/>
          <w:szCs w:val="24"/>
        </w:rPr>
        <w:instrText xml:space="preserve"> ADDIN EN.CITE &lt;EndNote&gt;&lt;Cite&gt;&lt;Author&gt;Eckert&lt;/Author&gt;&lt;Year&gt;2012&lt;/Year&gt;&lt;RecNum&gt;2430&lt;/RecNum&gt;&lt;DisplayText&gt;(Eckert, 2012)&lt;/DisplayText&gt;&lt;record&gt;&lt;rec-number&gt;2430&lt;/rec-number&gt;&lt;foreign-keys&gt;&lt;key app="EN" db-id="50wxdpzd9vd5r7e9t5b595djrfpttrxw9avp" timestamp="1641516486"&gt;2430&lt;/key&gt;&lt;/foreign-keys&gt;&lt;ref-type name="Journal Article"&gt;17&lt;/ref-type&gt;&lt;contributors&gt;&lt;authors&gt;&lt;author&gt;Eckert, M.&lt;/author&gt;&lt;/authors&gt;&lt;/contributors&gt;&lt;auth-address&gt;Deutsches Museum, Forschungsinstitut, Museumsinsel 1, D-80538 Munich, Germany. m.eckert@deutsches-museum.de&lt;/auth-address&gt;&lt;titles&gt;&lt;title&gt;Disputed discovery: the beginnings of X-ray diffraction in crystals in 1912 and its repercussions&lt;/title&gt;&lt;secondary-title&gt;Acta Crystallogr A&lt;/secondary-title&gt;&lt;/titles&gt;&lt;periodical&gt;&lt;full-title&gt;Acta Crystallogr A&lt;/full-title&gt;&lt;/periodical&gt;&lt;pages&gt;30-9&lt;/pages&gt;&lt;volume&gt;68&lt;/volume&gt;&lt;number&gt;Pt 1&lt;/number&gt;&lt;edition&gt;2011/12/22&lt;/edition&gt;&lt;dates&gt;&lt;year&gt;2012&lt;/year&gt;&lt;pub-dates&gt;&lt;date&gt;Jan&lt;/date&gt;&lt;/pub-dates&gt;&lt;/dates&gt;&lt;isbn&gt;0108-7673&lt;/isbn&gt;&lt;accession-num&gt;22186281&lt;/accession-num&gt;&lt;urls&gt;&lt;/urls&gt;&lt;electronic-resource-num&gt;10.1107/s0108767311039985&lt;/electronic-resource-num&gt;&lt;remote-database-provider&gt;NLM&lt;/remote-database-provider&gt;&lt;language&gt;eng&lt;/language&gt;&lt;/record&gt;&lt;/Cite&gt;&lt;/EndNote&gt;</w:instrText>
      </w:r>
      <w:r w:rsidR="00440D70">
        <w:rPr>
          <w:rFonts w:cstheme="minorHAnsi"/>
          <w:sz w:val="24"/>
          <w:szCs w:val="24"/>
        </w:rPr>
        <w:fldChar w:fldCharType="separate"/>
      </w:r>
      <w:r w:rsidR="00440D70">
        <w:rPr>
          <w:rFonts w:cstheme="minorHAnsi"/>
          <w:noProof/>
          <w:sz w:val="24"/>
          <w:szCs w:val="24"/>
        </w:rPr>
        <w:t>(Eckert, 2012)</w:t>
      </w:r>
      <w:r w:rsidR="00440D70">
        <w:rPr>
          <w:rFonts w:cstheme="minorHAnsi"/>
          <w:sz w:val="24"/>
          <w:szCs w:val="24"/>
        </w:rPr>
        <w:fldChar w:fldCharType="end"/>
      </w:r>
      <w:r w:rsidR="00235597" w:rsidRPr="0017179F">
        <w:rPr>
          <w:rFonts w:cstheme="minorHAnsi"/>
          <w:sz w:val="24"/>
          <w:szCs w:val="24"/>
        </w:rPr>
        <w:t>.</w:t>
      </w:r>
    </w:p>
    <w:p w:rsidR="00235597" w:rsidRPr="0017179F" w:rsidRDefault="00235597" w:rsidP="0017179F">
      <w:pPr>
        <w:spacing w:line="360" w:lineRule="auto"/>
        <w:rPr>
          <w:rFonts w:cstheme="minorHAnsi"/>
          <w:sz w:val="24"/>
          <w:szCs w:val="24"/>
        </w:rPr>
      </w:pPr>
      <w:r w:rsidRPr="0017179F">
        <w:rPr>
          <w:rFonts w:cstheme="minorHAnsi"/>
          <w:sz w:val="24"/>
          <w:szCs w:val="24"/>
        </w:rPr>
        <w:t xml:space="preserve">Knowing that all of the nuclei are electrically charged and most of </w:t>
      </w:r>
      <w:r w:rsidR="00F45882" w:rsidRPr="0017179F">
        <w:rPr>
          <w:rFonts w:cstheme="minorHAnsi"/>
          <w:sz w:val="24"/>
          <w:szCs w:val="24"/>
        </w:rPr>
        <w:t>them</w:t>
      </w:r>
      <w:r w:rsidRPr="0017179F">
        <w:rPr>
          <w:rFonts w:cstheme="minorHAnsi"/>
          <w:sz w:val="24"/>
          <w:szCs w:val="24"/>
        </w:rPr>
        <w:t xml:space="preserve"> have spins, NMR applies an external magnetic field to </w:t>
      </w:r>
      <w:r w:rsidR="00F45882" w:rsidRPr="0017179F">
        <w:rPr>
          <w:rFonts w:cstheme="minorHAnsi"/>
          <w:sz w:val="24"/>
          <w:szCs w:val="24"/>
        </w:rPr>
        <w:t>them</w:t>
      </w:r>
      <w:r w:rsidRPr="0017179F">
        <w:rPr>
          <w:rFonts w:cstheme="minorHAnsi"/>
          <w:sz w:val="24"/>
          <w:szCs w:val="24"/>
        </w:rPr>
        <w:t xml:space="preserve">, making it possible for an energy exchange from base to higher energy levels.  </w:t>
      </w:r>
      <w:r w:rsidR="00F62FFA" w:rsidRPr="0017179F">
        <w:rPr>
          <w:rFonts w:cstheme="minorHAnsi"/>
          <w:sz w:val="24"/>
          <w:szCs w:val="24"/>
        </w:rPr>
        <w:t>NMR basically measures this exchange</w:t>
      </w:r>
      <w:r w:rsidR="00136B36" w:rsidRPr="0017179F">
        <w:rPr>
          <w:rFonts w:cstheme="minorHAnsi"/>
          <w:sz w:val="24"/>
          <w:szCs w:val="24"/>
        </w:rPr>
        <w:t xml:space="preserve"> transfer</w:t>
      </w:r>
      <w:r w:rsidR="00F62FFA" w:rsidRPr="0017179F">
        <w:rPr>
          <w:rFonts w:cstheme="minorHAnsi"/>
          <w:sz w:val="24"/>
          <w:szCs w:val="24"/>
        </w:rPr>
        <w:t xml:space="preserve"> in terms of </w:t>
      </w:r>
      <w:r w:rsidR="00136B36" w:rsidRPr="0017179F">
        <w:rPr>
          <w:rFonts w:cstheme="minorHAnsi"/>
          <w:sz w:val="24"/>
          <w:szCs w:val="24"/>
        </w:rPr>
        <w:t xml:space="preserve">signals such as wavelength and frequencies. </w:t>
      </w:r>
      <w:r w:rsidR="00694C91" w:rsidRPr="0017179F">
        <w:rPr>
          <w:rFonts w:cstheme="minorHAnsi"/>
          <w:sz w:val="24"/>
          <w:szCs w:val="24"/>
        </w:rPr>
        <w:t>So that, three-dimensional structure can be measured in solution</w:t>
      </w:r>
      <w:r w:rsidR="00440D70">
        <w:rPr>
          <w:rFonts w:cstheme="minorHAnsi"/>
          <w:sz w:val="24"/>
          <w:szCs w:val="24"/>
        </w:rPr>
        <w:fldChar w:fldCharType="begin"/>
      </w:r>
      <w:r w:rsidR="00440D70">
        <w:rPr>
          <w:rFonts w:cstheme="minorHAnsi"/>
          <w:sz w:val="24"/>
          <w:szCs w:val="24"/>
        </w:rPr>
        <w:instrText xml:space="preserve"> ADDIN EN.CITE &lt;EndNote&gt;&lt;Cite&gt;&lt;Author&gt;Fürtig&lt;/Author&gt;&lt;Year&gt;2003&lt;/Year&gt;&lt;RecNum&gt;2431&lt;/RecNum&gt;&lt;DisplayText&gt;(Fürtig et al., 2003)&lt;/DisplayText&gt;&lt;record&gt;&lt;rec-number&gt;2431&lt;/rec-number&gt;&lt;foreign-keys&gt;&lt;key app="EN" db-id="50wxdpzd9vd5r7e9t5b595djrfpttrxw9avp" timestamp="1641516903"&gt;2431&lt;/key&gt;&lt;/foreign-keys&gt;&lt;ref-type name="Journal Article"&gt;17&lt;/ref-type&gt;&lt;contributors&gt;&lt;authors&gt;&lt;author&gt;Fürtig, Boris&lt;/author&gt;&lt;author&gt;Richter, Christian&lt;/author&gt;&lt;author&gt;Wöhnert, Jens&lt;/author&gt;&lt;author&gt;Schwalbe, Harald&lt;/author&gt;&lt;/authors&gt;&lt;/contributors&gt;&lt;titles&gt;&lt;title&gt;NMR Spectroscopy of RNA&lt;/title&gt;&lt;secondary-title&gt;ChemBioChem&lt;/secondary-title&gt;&lt;/titles&gt;&lt;periodical&gt;&lt;full-title&gt;ChemBioChem&lt;/full-title&gt;&lt;/periodical&gt;&lt;pages&gt;936-962&lt;/pages&gt;&lt;volume&gt;4&lt;/volume&gt;&lt;number&gt;10&lt;/number&gt;&lt;dates&gt;&lt;year&gt;2003&lt;/year&gt;&lt;/dates&gt;&lt;isbn&gt;1439-4227&lt;/isbn&gt;&lt;urls&gt;&lt;related-urls&gt;&lt;url&gt;https://chemistry-europe.onlinelibrary.wiley.com/doi/abs/10.1002/cbic.200300700&lt;/url&gt;&lt;/related-urls&gt;&lt;/urls&gt;&lt;electronic-resource-num&gt;https://doi.org/10.1002/cbic.200300700&lt;/electronic-resource-num&gt;&lt;/record&gt;&lt;/Cite&gt;&lt;/EndNote&gt;</w:instrText>
      </w:r>
      <w:r w:rsidR="00440D70">
        <w:rPr>
          <w:rFonts w:cstheme="minorHAnsi"/>
          <w:sz w:val="24"/>
          <w:szCs w:val="24"/>
        </w:rPr>
        <w:fldChar w:fldCharType="separate"/>
      </w:r>
      <w:r w:rsidR="00440D70">
        <w:rPr>
          <w:rFonts w:cstheme="minorHAnsi"/>
          <w:noProof/>
          <w:sz w:val="24"/>
          <w:szCs w:val="24"/>
        </w:rPr>
        <w:t>(</w:t>
      </w:r>
      <w:proofErr w:type="spellStart"/>
      <w:r w:rsidR="00440D70">
        <w:rPr>
          <w:rFonts w:cstheme="minorHAnsi"/>
          <w:noProof/>
          <w:sz w:val="24"/>
          <w:szCs w:val="24"/>
        </w:rPr>
        <w:t>Fürtig</w:t>
      </w:r>
      <w:proofErr w:type="spellEnd"/>
      <w:r w:rsidR="00440D70">
        <w:rPr>
          <w:rFonts w:cstheme="minorHAnsi"/>
          <w:noProof/>
          <w:sz w:val="24"/>
          <w:szCs w:val="24"/>
        </w:rPr>
        <w:t xml:space="preserve"> et al., 2003)</w:t>
      </w:r>
      <w:r w:rsidR="00440D70">
        <w:rPr>
          <w:rFonts w:cstheme="minorHAnsi"/>
          <w:sz w:val="24"/>
          <w:szCs w:val="24"/>
        </w:rPr>
        <w:fldChar w:fldCharType="end"/>
      </w:r>
      <w:r w:rsidR="00694C91" w:rsidRPr="0017179F">
        <w:rPr>
          <w:rFonts w:cstheme="minorHAnsi"/>
          <w:sz w:val="24"/>
          <w:szCs w:val="24"/>
        </w:rPr>
        <w:t>.</w:t>
      </w:r>
    </w:p>
    <w:p w:rsidR="00E9065C" w:rsidRPr="0017179F" w:rsidRDefault="008855AF" w:rsidP="00261C6D">
      <w:pPr>
        <w:spacing w:line="360" w:lineRule="auto"/>
        <w:rPr>
          <w:rFonts w:cstheme="minorHAnsi"/>
          <w:sz w:val="24"/>
          <w:szCs w:val="24"/>
        </w:rPr>
      </w:pPr>
      <w:r w:rsidRPr="0017179F">
        <w:rPr>
          <w:rFonts w:cstheme="minorHAnsi"/>
          <w:sz w:val="24"/>
          <w:szCs w:val="24"/>
        </w:rPr>
        <w:t xml:space="preserve">Cryo-EM </w:t>
      </w:r>
      <w:r w:rsidR="00E9065C" w:rsidRPr="0017179F">
        <w:rPr>
          <w:rFonts w:cstheme="minorHAnsi"/>
          <w:sz w:val="24"/>
          <w:szCs w:val="24"/>
        </w:rPr>
        <w:t>uses electron cannon and the lenses</w:t>
      </w:r>
      <w:r w:rsidR="00694C91" w:rsidRPr="0017179F">
        <w:rPr>
          <w:rFonts w:cstheme="minorHAnsi"/>
          <w:sz w:val="24"/>
          <w:szCs w:val="24"/>
        </w:rPr>
        <w:t>,</w:t>
      </w:r>
      <w:r w:rsidR="00E9065C" w:rsidRPr="0017179F">
        <w:rPr>
          <w:rFonts w:cstheme="minorHAnsi"/>
          <w:sz w:val="24"/>
          <w:szCs w:val="24"/>
        </w:rPr>
        <w:t xml:space="preserve"> which are electric coils through which the current flows</w:t>
      </w:r>
      <w:r w:rsidR="00694C91" w:rsidRPr="0017179F">
        <w:rPr>
          <w:rFonts w:cstheme="minorHAnsi"/>
          <w:sz w:val="24"/>
          <w:szCs w:val="24"/>
        </w:rPr>
        <w:t>,</w:t>
      </w:r>
      <w:r w:rsidR="00E9065C" w:rsidRPr="0017179F">
        <w:rPr>
          <w:rFonts w:cstheme="minorHAnsi"/>
          <w:sz w:val="24"/>
          <w:szCs w:val="24"/>
        </w:rPr>
        <w:t xml:space="preserve"> create a magnetic field, thereby focusing an electron beam that will eventually form the image. It allows direct observation (without staining or fixation) of native conformational states at atomic resolution</w:t>
      </w:r>
      <w:r w:rsidR="00261C6D">
        <w:rPr>
          <w:rFonts w:cstheme="minorHAnsi"/>
          <w:sz w:val="24"/>
          <w:szCs w:val="24"/>
        </w:rPr>
        <w:t xml:space="preserve"> </w:t>
      </w:r>
      <w:r w:rsidR="00261C6D">
        <w:rPr>
          <w:rFonts w:cstheme="minorHAnsi"/>
          <w:sz w:val="24"/>
          <w:szCs w:val="24"/>
        </w:rPr>
        <w:fldChar w:fldCharType="begin"/>
      </w:r>
      <w:r w:rsidR="00440D70">
        <w:rPr>
          <w:rFonts w:cstheme="minorHAnsi"/>
          <w:sz w:val="24"/>
          <w:szCs w:val="24"/>
        </w:rPr>
        <w:instrText xml:space="preserve"> ADDIN EN.CITE &lt;EndNote&gt;&lt;Cite&gt;&lt;Author&gt;Ohi&lt;/Author&gt;&lt;Year&gt;2004&lt;/Year&gt;&lt;RecNum&gt;2429&lt;/RecNum&gt;&lt;DisplayText&gt;(Ohi et al., 2004)&lt;/DisplayText&gt;&lt;record&gt;&lt;rec-number&gt;2429&lt;/rec-number&gt;&lt;foreign-keys&gt;&lt;key app="EN" db-id="50wxdpzd9vd5r7e9t5b595djrfpttrxw9avp" timestamp="1641516089"&gt;2429&lt;/key&gt;&lt;/foreign-keys&gt;&lt;ref-type name="Journal Article"&gt;17&lt;/ref-type&gt;&lt;contributors&gt;&lt;authors&gt;&lt;author&gt;Ohi, Melanie&lt;/author&gt;&lt;author&gt;Li, Ying&lt;/author&gt;&lt;author&gt;Cheng, Yifan&lt;/author&gt;&lt;author&gt;Walz, Thomas&lt;/author&gt;&lt;/authors&gt;&lt;/contributors&gt;&lt;titles&gt;&lt;title&gt;Negative staining and image classification — powerful tools in modern electron microscopy&lt;/title&gt;&lt;secondary-title&gt;Biological Procedures Online&lt;/secondary-title&gt;&lt;/titles&gt;&lt;periodical&gt;&lt;full-title&gt;Biological Procedures Online&lt;/full-title&gt;&lt;/periodical&gt;&lt;pages&gt;23-34&lt;/pages&gt;&lt;volume&gt;6&lt;/volume&gt;&lt;number&gt;1&lt;/number&gt;&lt;dates&gt;&lt;year&gt;2004&lt;/year&gt;&lt;pub-dates&gt;&lt;date&gt;2004/01/01&lt;/date&gt;&lt;/pub-dates&gt;&lt;/dates&gt;&lt;isbn&gt;1480-9222&lt;/isbn&gt;&lt;urls&gt;&lt;related-urls&gt;&lt;url&gt;https://doi.org/10.1251/bpo70&lt;/url&gt;&lt;/related-urls&gt;&lt;/urls&gt;&lt;electronic-resource-num&gt;10.1251/bpo70&lt;/electronic-resource-num&gt;&lt;/record&gt;&lt;/Cite&gt;&lt;/EndNote&gt;</w:instrText>
      </w:r>
      <w:r w:rsidR="00261C6D">
        <w:rPr>
          <w:rFonts w:cstheme="minorHAnsi"/>
          <w:sz w:val="24"/>
          <w:szCs w:val="24"/>
        </w:rPr>
        <w:fldChar w:fldCharType="separate"/>
      </w:r>
      <w:r w:rsidR="00440D70">
        <w:rPr>
          <w:rFonts w:cstheme="minorHAnsi"/>
          <w:noProof/>
          <w:sz w:val="24"/>
          <w:szCs w:val="24"/>
        </w:rPr>
        <w:t>(Ohi et al., 2004)</w:t>
      </w:r>
      <w:r w:rsidR="00261C6D">
        <w:rPr>
          <w:rFonts w:cstheme="minorHAnsi"/>
          <w:sz w:val="24"/>
          <w:szCs w:val="24"/>
        </w:rPr>
        <w:fldChar w:fldCharType="end"/>
      </w:r>
      <w:r w:rsidR="00E9065C" w:rsidRPr="0017179F">
        <w:rPr>
          <w:rFonts w:cstheme="minorHAnsi"/>
          <w:sz w:val="24"/>
          <w:szCs w:val="24"/>
        </w:rPr>
        <w:t>.</w:t>
      </w:r>
    </w:p>
    <w:p w:rsidR="00241ABC" w:rsidRPr="0017179F" w:rsidRDefault="00694C91" w:rsidP="0017179F">
      <w:pPr>
        <w:spacing w:line="360" w:lineRule="auto"/>
        <w:rPr>
          <w:rFonts w:cstheme="minorHAnsi"/>
          <w:sz w:val="24"/>
          <w:szCs w:val="24"/>
        </w:rPr>
      </w:pPr>
      <w:r w:rsidRPr="0017179F">
        <w:rPr>
          <w:rFonts w:cstheme="minorHAnsi"/>
          <w:sz w:val="24"/>
          <w:szCs w:val="24"/>
        </w:rPr>
        <w:t>If we</w:t>
      </w:r>
      <w:r w:rsidR="00224E13" w:rsidRPr="0017179F">
        <w:rPr>
          <w:rFonts w:cstheme="minorHAnsi"/>
          <w:sz w:val="24"/>
          <w:szCs w:val="24"/>
        </w:rPr>
        <w:t xml:space="preserve"> want to have high resolution and </w:t>
      </w:r>
      <w:r w:rsidR="00241ABC" w:rsidRPr="0017179F">
        <w:rPr>
          <w:rFonts w:cstheme="minorHAnsi"/>
          <w:sz w:val="24"/>
          <w:szCs w:val="24"/>
        </w:rPr>
        <w:t>are</w:t>
      </w:r>
      <w:r w:rsidRPr="0017179F">
        <w:rPr>
          <w:rFonts w:cstheme="minorHAnsi"/>
          <w:sz w:val="24"/>
          <w:szCs w:val="24"/>
        </w:rPr>
        <w:t xml:space="preserve"> dealing with water soluble proteins such as membrane proteins or macromolecules, we can use X-ray crystallization since the resolution is not limited by the molecular weight. But, it might be a bit challenging to crystallize water soluble proteins.</w:t>
      </w:r>
      <w:r w:rsidR="008D1E6D" w:rsidRPr="0017179F">
        <w:rPr>
          <w:rFonts w:cstheme="minorHAnsi"/>
          <w:sz w:val="24"/>
          <w:szCs w:val="24"/>
        </w:rPr>
        <w:t xml:space="preserve"> </w:t>
      </w:r>
    </w:p>
    <w:p w:rsidR="00694C91" w:rsidRPr="0017179F" w:rsidRDefault="008D1E6D" w:rsidP="0017179F">
      <w:pPr>
        <w:spacing w:line="360" w:lineRule="auto"/>
        <w:rPr>
          <w:rFonts w:cstheme="minorHAnsi"/>
          <w:sz w:val="24"/>
          <w:szCs w:val="24"/>
        </w:rPr>
      </w:pPr>
      <w:r w:rsidRPr="0017179F">
        <w:rPr>
          <w:rFonts w:cstheme="minorHAnsi"/>
          <w:sz w:val="24"/>
          <w:szCs w:val="24"/>
        </w:rPr>
        <w:lastRenderedPageBreak/>
        <w:t xml:space="preserve">If </w:t>
      </w:r>
      <w:r w:rsidR="00854EC5" w:rsidRPr="0017179F">
        <w:rPr>
          <w:rFonts w:cstheme="minorHAnsi"/>
          <w:sz w:val="24"/>
          <w:szCs w:val="24"/>
        </w:rPr>
        <w:t xml:space="preserve">we want to study molecular dynamics after measuring the structure and if we </w:t>
      </w:r>
      <w:r w:rsidRPr="0017179F">
        <w:rPr>
          <w:rFonts w:cstheme="minorHAnsi"/>
          <w:sz w:val="24"/>
          <w:szCs w:val="24"/>
        </w:rPr>
        <w:t xml:space="preserve">have large amounts of pure samples and our sample doesn’t have large molecular wright, then we can use NMR to measure three-dimensional structure.  </w:t>
      </w:r>
    </w:p>
    <w:p w:rsidR="008855AF" w:rsidRDefault="00224E13" w:rsidP="0017179F">
      <w:pPr>
        <w:spacing w:line="360" w:lineRule="auto"/>
        <w:rPr>
          <w:rFonts w:cstheme="minorHAnsi"/>
          <w:sz w:val="24"/>
          <w:szCs w:val="24"/>
        </w:rPr>
      </w:pPr>
      <w:r w:rsidRPr="0017179F">
        <w:rPr>
          <w:rFonts w:cstheme="minorHAnsi"/>
          <w:sz w:val="24"/>
          <w:szCs w:val="24"/>
        </w:rPr>
        <w:t>If we</w:t>
      </w:r>
      <w:r w:rsidR="00A57164" w:rsidRPr="0017179F">
        <w:rPr>
          <w:rFonts w:cstheme="minorHAnsi"/>
          <w:sz w:val="24"/>
          <w:szCs w:val="24"/>
        </w:rPr>
        <w:t xml:space="preserve"> only have large molecules in terms of molecular weight and looking for a method that is rather easy than the previous ones (crystallization, sample preparation) then we can use cryo-EM. It is also good if we are </w:t>
      </w:r>
      <w:r w:rsidRPr="0017179F">
        <w:rPr>
          <w:rFonts w:cstheme="minorHAnsi"/>
          <w:sz w:val="24"/>
          <w:szCs w:val="24"/>
        </w:rPr>
        <w:t>looking for moving, heterogonous molecules</w:t>
      </w:r>
      <w:r w:rsidR="00B66985" w:rsidRPr="0017179F">
        <w:rPr>
          <w:rFonts w:cstheme="minorHAnsi"/>
          <w:sz w:val="24"/>
          <w:szCs w:val="24"/>
        </w:rPr>
        <w:t>. But</w:t>
      </w:r>
      <w:r w:rsidR="00FE46CC" w:rsidRPr="0017179F">
        <w:rPr>
          <w:rFonts w:cstheme="minorHAnsi"/>
          <w:sz w:val="24"/>
          <w:szCs w:val="24"/>
        </w:rPr>
        <w:t>,</w:t>
      </w:r>
      <w:r w:rsidR="00B66985" w:rsidRPr="0017179F">
        <w:rPr>
          <w:rFonts w:cstheme="minorHAnsi"/>
          <w:sz w:val="24"/>
          <w:szCs w:val="24"/>
        </w:rPr>
        <w:t xml:space="preserve"> it comes with rather low resolution.</w:t>
      </w:r>
    </w:p>
    <w:p w:rsidR="00A57164" w:rsidRPr="0017179F" w:rsidRDefault="0001207D" w:rsidP="0017179F">
      <w:pPr>
        <w:spacing w:line="360" w:lineRule="auto"/>
        <w:rPr>
          <w:rFonts w:cstheme="minorHAnsi"/>
          <w:b/>
          <w:sz w:val="24"/>
          <w:szCs w:val="24"/>
        </w:rPr>
      </w:pPr>
      <w:r w:rsidRPr="0017179F">
        <w:rPr>
          <w:rFonts w:cstheme="minorHAnsi"/>
          <w:b/>
          <w:sz w:val="24"/>
          <w:szCs w:val="24"/>
        </w:rPr>
        <w:t>2</w:t>
      </w:r>
      <w:r w:rsidR="00FC3959" w:rsidRPr="0017179F">
        <w:rPr>
          <w:rFonts w:cstheme="minorHAnsi"/>
          <w:b/>
          <w:sz w:val="24"/>
          <w:szCs w:val="24"/>
        </w:rPr>
        <w:t>.</w:t>
      </w:r>
    </w:p>
    <w:p w:rsidR="0001207D" w:rsidRPr="0017179F" w:rsidRDefault="0001207D" w:rsidP="0017179F">
      <w:pPr>
        <w:spacing w:line="360" w:lineRule="auto"/>
        <w:rPr>
          <w:rFonts w:cstheme="minorHAnsi"/>
          <w:sz w:val="24"/>
          <w:szCs w:val="24"/>
        </w:rPr>
      </w:pPr>
      <w:r w:rsidRPr="0017179F">
        <w:rPr>
          <w:rFonts w:cstheme="minorHAnsi"/>
          <w:sz w:val="24"/>
          <w:szCs w:val="24"/>
        </w:rPr>
        <w:t xml:space="preserve">In model optimization short runs of molecular dynamics are performed. It has advantage on energy minimization processes with its self-parameterizing force field. However, in terms of model evaluation, molecular dynamics </w:t>
      </w:r>
      <w:r w:rsidR="00AF0E30" w:rsidRPr="0017179F">
        <w:rPr>
          <w:rFonts w:cstheme="minorHAnsi"/>
          <w:sz w:val="24"/>
          <w:szCs w:val="24"/>
        </w:rPr>
        <w:t xml:space="preserve">doesn’t work well </w:t>
      </w:r>
      <w:r w:rsidR="00E53C0F" w:rsidRPr="0017179F">
        <w:rPr>
          <w:rFonts w:cstheme="minorHAnsi"/>
          <w:sz w:val="24"/>
          <w:szCs w:val="24"/>
        </w:rPr>
        <w:t>because of</w:t>
      </w:r>
      <w:r w:rsidR="00AF0E30" w:rsidRPr="0017179F">
        <w:rPr>
          <w:rFonts w:cstheme="minorHAnsi"/>
          <w:sz w:val="24"/>
          <w:szCs w:val="24"/>
        </w:rPr>
        <w:t xml:space="preserve"> </w:t>
      </w:r>
      <w:r w:rsidR="00A6022A" w:rsidRPr="0017179F">
        <w:rPr>
          <w:rFonts w:cstheme="minorHAnsi"/>
          <w:sz w:val="24"/>
          <w:szCs w:val="24"/>
        </w:rPr>
        <w:t>its</w:t>
      </w:r>
      <w:r w:rsidR="00AF0E30" w:rsidRPr="0017179F">
        <w:rPr>
          <w:rFonts w:cstheme="minorHAnsi"/>
          <w:sz w:val="24"/>
          <w:szCs w:val="24"/>
        </w:rPr>
        <w:t xml:space="preserve"> force field being not that accurate and </w:t>
      </w:r>
      <w:r w:rsidR="00885B22" w:rsidRPr="0017179F">
        <w:rPr>
          <w:rFonts w:cstheme="minorHAnsi"/>
          <w:sz w:val="24"/>
          <w:szCs w:val="24"/>
        </w:rPr>
        <w:t xml:space="preserve">having </w:t>
      </w:r>
      <w:r w:rsidR="00AF0E30" w:rsidRPr="0017179F">
        <w:rPr>
          <w:rFonts w:cstheme="minorHAnsi"/>
          <w:sz w:val="24"/>
          <w:szCs w:val="24"/>
        </w:rPr>
        <w:t xml:space="preserve">an energy landscape with a </w:t>
      </w:r>
      <w:r w:rsidR="00A6022A" w:rsidRPr="0017179F">
        <w:rPr>
          <w:rFonts w:cstheme="minorHAnsi"/>
          <w:sz w:val="24"/>
          <w:szCs w:val="24"/>
        </w:rPr>
        <w:t>lot of local minima</w:t>
      </w:r>
      <w:r w:rsidR="00AF0E30" w:rsidRPr="0017179F">
        <w:rPr>
          <w:rFonts w:cstheme="minorHAnsi"/>
          <w:sz w:val="24"/>
          <w:szCs w:val="24"/>
        </w:rPr>
        <w:t>.</w:t>
      </w:r>
    </w:p>
    <w:p w:rsidR="00A6022A" w:rsidRDefault="00A6022A" w:rsidP="0017179F">
      <w:pPr>
        <w:spacing w:line="360" w:lineRule="auto"/>
        <w:rPr>
          <w:rFonts w:cstheme="minorHAnsi"/>
          <w:b/>
          <w:sz w:val="24"/>
          <w:szCs w:val="24"/>
        </w:rPr>
      </w:pPr>
      <w:r w:rsidRPr="0017179F">
        <w:rPr>
          <w:rFonts w:cstheme="minorHAnsi"/>
          <w:b/>
          <w:sz w:val="24"/>
          <w:szCs w:val="24"/>
        </w:rPr>
        <w:t>3.</w:t>
      </w:r>
    </w:p>
    <w:p w:rsidR="00A6022A" w:rsidRDefault="00A6022A" w:rsidP="0017179F">
      <w:pPr>
        <w:spacing w:line="360" w:lineRule="auto"/>
        <w:rPr>
          <w:rFonts w:cstheme="minorHAnsi"/>
          <w:sz w:val="24"/>
          <w:szCs w:val="24"/>
        </w:rPr>
      </w:pPr>
      <w:r w:rsidRPr="0017179F">
        <w:rPr>
          <w:rFonts w:cstheme="minorHAnsi"/>
          <w:sz w:val="24"/>
          <w:szCs w:val="24"/>
        </w:rPr>
        <w:t>It is better to have more sequence identity and sequence length when it comes to choosing a template. If we have more than 75% sequence identity it would be a good start. Having less than this percentage might require alignment correction.</w:t>
      </w:r>
    </w:p>
    <w:p w:rsidR="00706F0C" w:rsidRPr="0017179F" w:rsidRDefault="00706F0C" w:rsidP="0017179F">
      <w:pPr>
        <w:spacing w:line="360" w:lineRule="auto"/>
        <w:rPr>
          <w:rFonts w:cstheme="minorHAnsi"/>
          <w:b/>
          <w:sz w:val="24"/>
          <w:szCs w:val="24"/>
        </w:rPr>
      </w:pPr>
      <w:r w:rsidRPr="0017179F">
        <w:rPr>
          <w:rFonts w:cstheme="minorHAnsi"/>
          <w:b/>
          <w:sz w:val="24"/>
          <w:szCs w:val="24"/>
        </w:rPr>
        <w:t>4</w:t>
      </w:r>
      <w:r w:rsidR="002343DC" w:rsidRPr="0017179F">
        <w:rPr>
          <w:rFonts w:cstheme="minorHAnsi"/>
          <w:b/>
          <w:sz w:val="24"/>
          <w:szCs w:val="24"/>
        </w:rPr>
        <w:t>.</w:t>
      </w:r>
    </w:p>
    <w:p w:rsidR="00706F0C" w:rsidRPr="0017179F" w:rsidRDefault="00706F0C" w:rsidP="0017179F">
      <w:pPr>
        <w:spacing w:line="360" w:lineRule="auto"/>
        <w:rPr>
          <w:rFonts w:cstheme="minorHAnsi"/>
          <w:sz w:val="24"/>
          <w:szCs w:val="24"/>
        </w:rPr>
      </w:pPr>
      <w:r w:rsidRPr="0017179F">
        <w:rPr>
          <w:rFonts w:cstheme="minorHAnsi"/>
          <w:sz w:val="24"/>
          <w:szCs w:val="24"/>
        </w:rPr>
        <w:t xml:space="preserve">BLAST is </w:t>
      </w:r>
      <w:r w:rsidR="00574E61" w:rsidRPr="0017179F">
        <w:rPr>
          <w:rFonts w:cstheme="minorHAnsi"/>
          <w:sz w:val="24"/>
          <w:szCs w:val="24"/>
        </w:rPr>
        <w:t>using</w:t>
      </w:r>
      <w:r w:rsidRPr="0017179F">
        <w:rPr>
          <w:rFonts w:cstheme="minorHAnsi"/>
          <w:sz w:val="24"/>
          <w:szCs w:val="24"/>
        </w:rPr>
        <w:t xml:space="preserve"> a word to word searches in queries and looks for words that are similar. It creates a word sequence and extends from there. It is called a word alignment and by setting a cut-off value, </w:t>
      </w:r>
      <w:r w:rsidR="00574E61" w:rsidRPr="0017179F">
        <w:rPr>
          <w:rFonts w:cstheme="minorHAnsi"/>
          <w:sz w:val="24"/>
          <w:szCs w:val="24"/>
        </w:rPr>
        <w:t>we can decide when for the alignment process to stop</w:t>
      </w:r>
      <w:r w:rsidRPr="0017179F">
        <w:rPr>
          <w:rFonts w:cstheme="minorHAnsi"/>
          <w:sz w:val="24"/>
          <w:szCs w:val="24"/>
        </w:rPr>
        <w:t xml:space="preserve">. </w:t>
      </w:r>
    </w:p>
    <w:p w:rsidR="00574E61" w:rsidRPr="0017179F" w:rsidRDefault="00574E61" w:rsidP="0017179F">
      <w:pPr>
        <w:spacing w:line="360" w:lineRule="auto"/>
        <w:rPr>
          <w:rFonts w:cstheme="minorHAnsi"/>
          <w:sz w:val="24"/>
          <w:szCs w:val="24"/>
        </w:rPr>
      </w:pPr>
      <w:r w:rsidRPr="0017179F">
        <w:rPr>
          <w:rFonts w:cstheme="minorHAnsi"/>
          <w:sz w:val="24"/>
          <w:szCs w:val="24"/>
        </w:rPr>
        <w:t>PSI-BLAST uses BLAST but it also uses position-specific scoring matrix to set an alignment profile.</w:t>
      </w:r>
    </w:p>
    <w:p w:rsidR="00574E61" w:rsidRPr="0017179F" w:rsidRDefault="00574E61" w:rsidP="0017179F">
      <w:pPr>
        <w:spacing w:line="360" w:lineRule="auto"/>
        <w:rPr>
          <w:rFonts w:cstheme="minorHAnsi"/>
          <w:sz w:val="24"/>
          <w:szCs w:val="24"/>
        </w:rPr>
      </w:pPr>
      <w:proofErr w:type="spellStart"/>
      <w:r w:rsidRPr="0017179F">
        <w:rPr>
          <w:rFonts w:cstheme="minorHAnsi"/>
          <w:sz w:val="24"/>
          <w:szCs w:val="24"/>
        </w:rPr>
        <w:t>HMMer</w:t>
      </w:r>
      <w:proofErr w:type="spellEnd"/>
      <w:r w:rsidRPr="0017179F">
        <w:rPr>
          <w:rFonts w:cstheme="minorHAnsi"/>
          <w:sz w:val="24"/>
          <w:szCs w:val="24"/>
        </w:rPr>
        <w:t xml:space="preserve"> makes a similarity search with given database of sequences in the database of set of HMMs. It is considered slow since it has to be tested for each HMM.</w:t>
      </w:r>
    </w:p>
    <w:p w:rsidR="00574E61" w:rsidRPr="0017179F" w:rsidRDefault="002C7905" w:rsidP="0017179F">
      <w:pPr>
        <w:spacing w:line="360" w:lineRule="auto"/>
        <w:rPr>
          <w:rFonts w:cstheme="minorHAnsi"/>
          <w:sz w:val="24"/>
          <w:szCs w:val="24"/>
        </w:rPr>
      </w:pPr>
      <w:proofErr w:type="spellStart"/>
      <w:r w:rsidRPr="0017179F">
        <w:rPr>
          <w:rFonts w:cstheme="minorHAnsi"/>
          <w:sz w:val="24"/>
          <w:szCs w:val="24"/>
        </w:rPr>
        <w:t>HHblits</w:t>
      </w:r>
      <w:proofErr w:type="spellEnd"/>
      <w:r w:rsidRPr="0017179F">
        <w:rPr>
          <w:rFonts w:cstheme="minorHAnsi"/>
          <w:sz w:val="24"/>
          <w:szCs w:val="24"/>
        </w:rPr>
        <w:t xml:space="preserve"> </w:t>
      </w:r>
      <w:r w:rsidR="00AE7A3C" w:rsidRPr="0017179F">
        <w:rPr>
          <w:rFonts w:cstheme="minorHAnsi"/>
          <w:sz w:val="24"/>
          <w:szCs w:val="24"/>
        </w:rPr>
        <w:t xml:space="preserve">uses queries as HMM also. Usually those HMM queries are the result of PSI-BLAST. It also uses the same comparison as </w:t>
      </w:r>
      <w:proofErr w:type="spellStart"/>
      <w:r w:rsidR="00AE7A3C" w:rsidRPr="0017179F">
        <w:rPr>
          <w:rFonts w:cstheme="minorHAnsi"/>
          <w:sz w:val="24"/>
          <w:szCs w:val="24"/>
        </w:rPr>
        <w:t>HMMer</w:t>
      </w:r>
      <w:proofErr w:type="spellEnd"/>
      <w:r w:rsidR="00AE7A3C" w:rsidRPr="0017179F">
        <w:rPr>
          <w:rFonts w:cstheme="minorHAnsi"/>
          <w:sz w:val="24"/>
          <w:szCs w:val="24"/>
        </w:rPr>
        <w:t xml:space="preserve"> does. And, it is also slow.</w:t>
      </w:r>
    </w:p>
    <w:p w:rsidR="00AE7A3C" w:rsidRPr="0017179F" w:rsidRDefault="00DB0D4E" w:rsidP="0017179F">
      <w:pPr>
        <w:spacing w:line="360" w:lineRule="auto"/>
        <w:rPr>
          <w:rFonts w:cstheme="minorHAnsi"/>
          <w:sz w:val="24"/>
          <w:szCs w:val="24"/>
        </w:rPr>
      </w:pPr>
      <w:proofErr w:type="spellStart"/>
      <w:r w:rsidRPr="0017179F">
        <w:rPr>
          <w:rFonts w:cstheme="minorHAnsi"/>
          <w:sz w:val="24"/>
          <w:szCs w:val="24"/>
        </w:rPr>
        <w:lastRenderedPageBreak/>
        <w:t>Hhsenser</w:t>
      </w:r>
      <w:proofErr w:type="spellEnd"/>
      <w:r w:rsidRPr="0017179F">
        <w:rPr>
          <w:rFonts w:cstheme="minorHAnsi"/>
          <w:sz w:val="24"/>
          <w:szCs w:val="24"/>
        </w:rPr>
        <w:t xml:space="preserve"> uses relatively the same method as </w:t>
      </w:r>
      <w:proofErr w:type="spellStart"/>
      <w:r w:rsidRPr="0017179F">
        <w:rPr>
          <w:rFonts w:cstheme="minorHAnsi"/>
          <w:sz w:val="24"/>
          <w:szCs w:val="24"/>
        </w:rPr>
        <w:t>HMMer</w:t>
      </w:r>
      <w:proofErr w:type="spellEnd"/>
      <w:r w:rsidRPr="0017179F">
        <w:rPr>
          <w:rFonts w:cstheme="minorHAnsi"/>
          <w:sz w:val="24"/>
          <w:szCs w:val="24"/>
        </w:rPr>
        <w:t xml:space="preserve"> and </w:t>
      </w:r>
      <w:proofErr w:type="spellStart"/>
      <w:r w:rsidRPr="0017179F">
        <w:rPr>
          <w:rFonts w:cstheme="minorHAnsi"/>
          <w:sz w:val="24"/>
          <w:szCs w:val="24"/>
        </w:rPr>
        <w:t>HHblits</w:t>
      </w:r>
      <w:proofErr w:type="spellEnd"/>
      <w:r w:rsidRPr="0017179F">
        <w:rPr>
          <w:rFonts w:cstheme="minorHAnsi"/>
          <w:sz w:val="24"/>
          <w:szCs w:val="24"/>
        </w:rPr>
        <w:t xml:space="preserve"> but its cutoffs are </w:t>
      </w:r>
      <w:r w:rsidR="001F0F57" w:rsidRPr="0017179F">
        <w:rPr>
          <w:rFonts w:cstheme="minorHAnsi"/>
          <w:sz w:val="24"/>
          <w:szCs w:val="24"/>
        </w:rPr>
        <w:t>stricter</w:t>
      </w:r>
      <w:r w:rsidRPr="0017179F">
        <w:rPr>
          <w:rFonts w:cstheme="minorHAnsi"/>
          <w:sz w:val="24"/>
          <w:szCs w:val="24"/>
        </w:rPr>
        <w:t xml:space="preserve"> than the other two, making it more sensitive in the cost of being slower than the two.</w:t>
      </w:r>
    </w:p>
    <w:p w:rsidR="00CB740C" w:rsidRPr="0017179F" w:rsidRDefault="00CB740C" w:rsidP="0017179F">
      <w:pPr>
        <w:spacing w:line="360" w:lineRule="auto"/>
        <w:rPr>
          <w:rFonts w:cstheme="minorHAnsi"/>
          <w:sz w:val="24"/>
          <w:szCs w:val="24"/>
        </w:rPr>
      </w:pPr>
      <w:proofErr w:type="spellStart"/>
      <w:r w:rsidRPr="0017179F">
        <w:rPr>
          <w:rFonts w:cstheme="minorHAnsi"/>
          <w:sz w:val="24"/>
          <w:szCs w:val="24"/>
        </w:rPr>
        <w:t>HHpred</w:t>
      </w:r>
      <w:proofErr w:type="spellEnd"/>
      <w:r w:rsidRPr="0017179F">
        <w:rPr>
          <w:rFonts w:cstheme="minorHAnsi"/>
          <w:sz w:val="24"/>
          <w:szCs w:val="24"/>
        </w:rPr>
        <w:t xml:space="preserve"> is used to search HMM-HMM in Protein Data Bank database. It can be used with single sequences or </w:t>
      </w:r>
      <w:r w:rsidR="002B7895" w:rsidRPr="0017179F">
        <w:rPr>
          <w:rFonts w:cstheme="minorHAnsi"/>
          <w:sz w:val="24"/>
          <w:szCs w:val="24"/>
        </w:rPr>
        <w:t>alignments</w:t>
      </w:r>
      <w:r w:rsidRPr="0017179F">
        <w:rPr>
          <w:rFonts w:cstheme="minorHAnsi"/>
          <w:sz w:val="24"/>
          <w:szCs w:val="24"/>
        </w:rPr>
        <w:t xml:space="preserve">. It also has collection of predictions for 3D structures in the PDB database that has been calculated before. </w:t>
      </w:r>
      <w:r w:rsidR="00F645C6" w:rsidRPr="0017179F">
        <w:rPr>
          <w:rFonts w:cstheme="minorHAnsi"/>
          <w:sz w:val="24"/>
          <w:szCs w:val="24"/>
        </w:rPr>
        <w:t>Firstly, it looks for homologs by using PSI-BLAST, then starts an HMM construction and comparison. Then, it uses MODELLER.</w:t>
      </w:r>
    </w:p>
    <w:p w:rsidR="00261C6D" w:rsidRDefault="00261C6D" w:rsidP="0017179F">
      <w:pPr>
        <w:spacing w:line="360" w:lineRule="auto"/>
        <w:rPr>
          <w:rFonts w:cstheme="minorHAnsi"/>
          <w:sz w:val="24"/>
          <w:szCs w:val="24"/>
        </w:rPr>
      </w:pPr>
      <w:bookmarkStart w:id="0" w:name="_GoBack"/>
      <w:bookmarkEnd w:id="0"/>
    </w:p>
    <w:p w:rsidR="00261C6D" w:rsidRPr="00312AC2" w:rsidRDefault="00312AC2" w:rsidP="0017179F">
      <w:pPr>
        <w:spacing w:line="360" w:lineRule="auto"/>
        <w:rPr>
          <w:rFonts w:cstheme="minorHAnsi"/>
          <w:b/>
          <w:sz w:val="24"/>
          <w:szCs w:val="24"/>
        </w:rPr>
      </w:pPr>
      <w:r>
        <w:rPr>
          <w:rFonts w:cstheme="minorHAnsi"/>
          <w:b/>
          <w:sz w:val="24"/>
          <w:szCs w:val="24"/>
        </w:rPr>
        <w:t>REFERENCES</w:t>
      </w:r>
    </w:p>
    <w:p w:rsidR="00440D70" w:rsidRPr="00440D70" w:rsidRDefault="00261C6D" w:rsidP="00312AC2">
      <w:pPr>
        <w:pStyle w:val="EndNoteBibliography"/>
        <w:spacing w:after="0" w:line="360" w:lineRule="auto"/>
        <w:ind w:left="720" w:hanging="720"/>
      </w:pPr>
      <w:r>
        <w:rPr>
          <w:rFonts w:cstheme="minorHAnsi"/>
          <w:sz w:val="24"/>
          <w:szCs w:val="24"/>
        </w:rPr>
        <w:fldChar w:fldCharType="begin"/>
      </w:r>
      <w:r>
        <w:rPr>
          <w:rFonts w:cstheme="minorHAnsi"/>
          <w:sz w:val="24"/>
          <w:szCs w:val="24"/>
        </w:rPr>
        <w:instrText xml:space="preserve"> ADDIN EN.REFLIST </w:instrText>
      </w:r>
      <w:r>
        <w:rPr>
          <w:rFonts w:cstheme="minorHAnsi"/>
          <w:sz w:val="24"/>
          <w:szCs w:val="24"/>
        </w:rPr>
        <w:fldChar w:fldCharType="separate"/>
      </w:r>
      <w:r w:rsidR="00440D70" w:rsidRPr="00440D70">
        <w:t xml:space="preserve">Eckert, M. (2012). Disputed </w:t>
      </w:r>
      <w:r w:rsidR="00440D70" w:rsidRPr="004645FA">
        <w:rPr>
          <w:sz w:val="24"/>
          <w:szCs w:val="24"/>
        </w:rPr>
        <w:t>discovery</w:t>
      </w:r>
      <w:r w:rsidR="00440D70" w:rsidRPr="00440D70">
        <w:t xml:space="preserve">: the beginnings of X-ray diffraction in crystals in 1912 and its repercussions. </w:t>
      </w:r>
      <w:r w:rsidR="00440D70" w:rsidRPr="00440D70">
        <w:rPr>
          <w:i/>
        </w:rPr>
        <w:t>Acta Crystallogr A</w:t>
      </w:r>
      <w:r w:rsidR="00440D70" w:rsidRPr="00440D70">
        <w:t>,</w:t>
      </w:r>
      <w:r w:rsidR="00440D70" w:rsidRPr="00440D70">
        <w:rPr>
          <w:i/>
        </w:rPr>
        <w:t xml:space="preserve"> 68</w:t>
      </w:r>
      <w:r w:rsidR="00440D70" w:rsidRPr="00440D70">
        <w:t xml:space="preserve">(Pt 1), 30-39. </w:t>
      </w:r>
      <w:hyperlink r:id="rId6" w:history="1">
        <w:r w:rsidR="00440D70" w:rsidRPr="00440D70">
          <w:rPr>
            <w:rStyle w:val="Hyperlink"/>
          </w:rPr>
          <w:t>https://doi.org/10.1107/s0108767311039985</w:t>
        </w:r>
      </w:hyperlink>
      <w:r w:rsidR="00440D70" w:rsidRPr="00440D70">
        <w:t xml:space="preserve"> </w:t>
      </w:r>
    </w:p>
    <w:p w:rsidR="00440D70" w:rsidRPr="00440D70" w:rsidRDefault="00440D70" w:rsidP="00312AC2">
      <w:pPr>
        <w:pStyle w:val="EndNoteBibliography"/>
        <w:spacing w:after="0" w:line="360" w:lineRule="auto"/>
        <w:ind w:left="720" w:hanging="720"/>
      </w:pPr>
      <w:r w:rsidRPr="00440D70">
        <w:t xml:space="preserve">Fürtig, B., Richter, C., Wöhnert, J., &amp; Schwalbe, H. (2003). NMR Spectroscopy of RNA. </w:t>
      </w:r>
      <w:r w:rsidRPr="00440D70">
        <w:rPr>
          <w:i/>
        </w:rPr>
        <w:t>ChemBioChem</w:t>
      </w:r>
      <w:r w:rsidRPr="00440D70">
        <w:t>,</w:t>
      </w:r>
      <w:r w:rsidRPr="00440D70">
        <w:rPr>
          <w:i/>
        </w:rPr>
        <w:t xml:space="preserve"> 4</w:t>
      </w:r>
      <w:r w:rsidRPr="00440D70">
        <w:t xml:space="preserve">(10), 936-962. </w:t>
      </w:r>
      <w:hyperlink r:id="rId7" w:history="1">
        <w:r w:rsidRPr="00440D70">
          <w:rPr>
            <w:rStyle w:val="Hyperlink"/>
          </w:rPr>
          <w:t>https://doi.org/https://doi.org/10.1002/cbic.200300700</w:t>
        </w:r>
      </w:hyperlink>
      <w:r w:rsidRPr="00440D70">
        <w:t xml:space="preserve"> </w:t>
      </w:r>
    </w:p>
    <w:p w:rsidR="00440D70" w:rsidRPr="00440D70" w:rsidRDefault="00440D70" w:rsidP="00312AC2">
      <w:pPr>
        <w:pStyle w:val="EndNoteBibliography"/>
        <w:spacing w:line="360" w:lineRule="auto"/>
        <w:ind w:left="720" w:hanging="720"/>
      </w:pPr>
      <w:r w:rsidRPr="00440D70">
        <w:t xml:space="preserve">Ohi, M., Li, Y., Cheng, Y., &amp; Walz, T. (2004). Negative staining and image classification — powerful tools in modern electron microscopy. </w:t>
      </w:r>
      <w:r w:rsidRPr="00440D70">
        <w:rPr>
          <w:i/>
        </w:rPr>
        <w:t>Biological Procedures Online</w:t>
      </w:r>
      <w:r w:rsidRPr="00440D70">
        <w:t>,</w:t>
      </w:r>
      <w:r w:rsidRPr="00440D70">
        <w:rPr>
          <w:i/>
        </w:rPr>
        <w:t xml:space="preserve"> 6</w:t>
      </w:r>
      <w:r w:rsidRPr="00440D70">
        <w:t xml:space="preserve">(1), 23-34. </w:t>
      </w:r>
      <w:hyperlink r:id="rId8" w:history="1">
        <w:r w:rsidRPr="00440D70">
          <w:rPr>
            <w:rStyle w:val="Hyperlink"/>
          </w:rPr>
          <w:t>https://doi.org/10.1251/bpo70</w:t>
        </w:r>
      </w:hyperlink>
      <w:r w:rsidRPr="00440D70">
        <w:t xml:space="preserve"> </w:t>
      </w:r>
    </w:p>
    <w:p w:rsidR="00A57164" w:rsidRPr="0017179F" w:rsidRDefault="00261C6D" w:rsidP="0017179F">
      <w:pPr>
        <w:spacing w:line="360" w:lineRule="auto"/>
        <w:rPr>
          <w:rFonts w:cstheme="minorHAnsi"/>
          <w:sz w:val="24"/>
          <w:szCs w:val="24"/>
        </w:rPr>
      </w:pPr>
      <w:r>
        <w:rPr>
          <w:rFonts w:cstheme="minorHAnsi"/>
          <w:sz w:val="24"/>
          <w:szCs w:val="24"/>
        </w:rPr>
        <w:fldChar w:fldCharType="end"/>
      </w:r>
    </w:p>
    <w:sectPr w:rsidR="00A57164" w:rsidRPr="0017179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36C0" w:rsidRDefault="000036C0" w:rsidP="00E473BF">
      <w:pPr>
        <w:spacing w:after="0" w:line="240" w:lineRule="auto"/>
      </w:pPr>
      <w:r>
        <w:separator/>
      </w:r>
    </w:p>
  </w:endnote>
  <w:endnote w:type="continuationSeparator" w:id="0">
    <w:p w:rsidR="000036C0" w:rsidRDefault="000036C0" w:rsidP="00E47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4735749"/>
      <w:docPartObj>
        <w:docPartGallery w:val="Page Numbers (Bottom of Page)"/>
        <w:docPartUnique/>
      </w:docPartObj>
    </w:sdtPr>
    <w:sdtEndPr>
      <w:rPr>
        <w:noProof/>
      </w:rPr>
    </w:sdtEndPr>
    <w:sdtContent>
      <w:p w:rsidR="00E473BF" w:rsidRDefault="00E473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473BF" w:rsidRDefault="00E473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36C0" w:rsidRDefault="000036C0" w:rsidP="00E473BF">
      <w:pPr>
        <w:spacing w:after="0" w:line="240" w:lineRule="auto"/>
      </w:pPr>
      <w:r>
        <w:separator/>
      </w:r>
    </w:p>
  </w:footnote>
  <w:footnote w:type="continuationSeparator" w:id="0">
    <w:p w:rsidR="000036C0" w:rsidRDefault="000036C0" w:rsidP="00E473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0wxdpzd9vd5r7e9t5b595djrfpttrxw9avp&quot;&gt;Sample_Library_X9&lt;record-ids&gt;&lt;item&gt;2429&lt;/item&gt;&lt;item&gt;2430&lt;/item&gt;&lt;item&gt;2431&lt;/item&gt;&lt;/record-ids&gt;&lt;/item&gt;&lt;/Libraries&gt;"/>
  </w:docVars>
  <w:rsids>
    <w:rsidRoot w:val="00443074"/>
    <w:rsid w:val="000036C0"/>
    <w:rsid w:val="00003AE2"/>
    <w:rsid w:val="0001207D"/>
    <w:rsid w:val="00136B36"/>
    <w:rsid w:val="0017179F"/>
    <w:rsid w:val="001D79E6"/>
    <w:rsid w:val="001F0F57"/>
    <w:rsid w:val="00223969"/>
    <w:rsid w:val="00224E13"/>
    <w:rsid w:val="002343DC"/>
    <w:rsid w:val="00235597"/>
    <w:rsid w:val="00241ABC"/>
    <w:rsid w:val="00261C6D"/>
    <w:rsid w:val="002811B5"/>
    <w:rsid w:val="002B7895"/>
    <w:rsid w:val="002C7905"/>
    <w:rsid w:val="00312AC2"/>
    <w:rsid w:val="00440D70"/>
    <w:rsid w:val="00443074"/>
    <w:rsid w:val="004645FA"/>
    <w:rsid w:val="00477DA4"/>
    <w:rsid w:val="00574E61"/>
    <w:rsid w:val="005C7E3E"/>
    <w:rsid w:val="00694C91"/>
    <w:rsid w:val="00706F0C"/>
    <w:rsid w:val="007748A1"/>
    <w:rsid w:val="00854EC5"/>
    <w:rsid w:val="008855AF"/>
    <w:rsid w:val="00885B22"/>
    <w:rsid w:val="008D1E6D"/>
    <w:rsid w:val="009118B3"/>
    <w:rsid w:val="009C6262"/>
    <w:rsid w:val="00A403E1"/>
    <w:rsid w:val="00A57164"/>
    <w:rsid w:val="00A6022A"/>
    <w:rsid w:val="00AE7A3C"/>
    <w:rsid w:val="00AF0E30"/>
    <w:rsid w:val="00B06C96"/>
    <w:rsid w:val="00B66985"/>
    <w:rsid w:val="00CB740C"/>
    <w:rsid w:val="00DB0D4E"/>
    <w:rsid w:val="00E069B9"/>
    <w:rsid w:val="00E473BF"/>
    <w:rsid w:val="00E53C0F"/>
    <w:rsid w:val="00E9065C"/>
    <w:rsid w:val="00F45882"/>
    <w:rsid w:val="00F45A93"/>
    <w:rsid w:val="00F62FFA"/>
    <w:rsid w:val="00F645C6"/>
    <w:rsid w:val="00FC3959"/>
    <w:rsid w:val="00FE4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321BC"/>
  <w15:chartTrackingRefBased/>
  <w15:docId w15:val="{46186ABA-A5C0-4BC6-91B5-8679049D0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3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3BF"/>
  </w:style>
  <w:style w:type="paragraph" w:styleId="Footer">
    <w:name w:val="footer"/>
    <w:basedOn w:val="Normal"/>
    <w:link w:val="FooterChar"/>
    <w:uiPriority w:val="99"/>
    <w:unhideWhenUsed/>
    <w:rsid w:val="00E47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3BF"/>
  </w:style>
  <w:style w:type="paragraph" w:customStyle="1" w:styleId="EndNoteBibliographyTitle">
    <w:name w:val="EndNote Bibliography Title"/>
    <w:basedOn w:val="Normal"/>
    <w:link w:val="EndNoteBibliographyTitleChar"/>
    <w:rsid w:val="00261C6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61C6D"/>
    <w:rPr>
      <w:rFonts w:ascii="Calibri" w:hAnsi="Calibri" w:cs="Calibri"/>
      <w:noProof/>
    </w:rPr>
  </w:style>
  <w:style w:type="paragraph" w:customStyle="1" w:styleId="EndNoteBibliography">
    <w:name w:val="EndNote Bibliography"/>
    <w:basedOn w:val="Normal"/>
    <w:link w:val="EndNoteBibliographyChar"/>
    <w:rsid w:val="00261C6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261C6D"/>
    <w:rPr>
      <w:rFonts w:ascii="Calibri" w:hAnsi="Calibri" w:cs="Calibri"/>
      <w:noProof/>
    </w:rPr>
  </w:style>
  <w:style w:type="character" w:styleId="Hyperlink">
    <w:name w:val="Hyperlink"/>
    <w:basedOn w:val="DefaultParagraphFont"/>
    <w:uiPriority w:val="99"/>
    <w:unhideWhenUsed/>
    <w:rsid w:val="00440D70"/>
    <w:rPr>
      <w:color w:val="0563C1" w:themeColor="hyperlink"/>
      <w:u w:val="single"/>
    </w:rPr>
  </w:style>
  <w:style w:type="character" w:styleId="UnresolvedMention">
    <w:name w:val="Unresolved Mention"/>
    <w:basedOn w:val="DefaultParagraphFont"/>
    <w:uiPriority w:val="99"/>
    <w:semiHidden/>
    <w:unhideWhenUsed/>
    <w:rsid w:val="00440D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251/bpo70" TargetMode="External"/><Relationship Id="rId3" Type="http://schemas.openxmlformats.org/officeDocument/2006/relationships/webSettings" Target="webSettings.xml"/><Relationship Id="rId7" Type="http://schemas.openxmlformats.org/officeDocument/2006/relationships/hyperlink" Target="https://doi.org/https://doi.org/10.1002/cbic.20030070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07/s0108767311039985"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1216</Words>
  <Characters>6936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dc:creator>
  <cp:keywords/>
  <dc:description/>
  <cp:lastModifiedBy>Umut</cp:lastModifiedBy>
  <cp:revision>43</cp:revision>
  <dcterms:created xsi:type="dcterms:W3CDTF">2022-01-06T22:52:00Z</dcterms:created>
  <dcterms:modified xsi:type="dcterms:W3CDTF">2022-01-07T00:56:00Z</dcterms:modified>
</cp:coreProperties>
</file>