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"Агентство взыскания Filbert"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198095, Санкт-Петербург, ул. Маршала Говорова, д. 35, корп. 5, лит. Ж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"Агентство взыскания Filbert"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11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323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15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13 июля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