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52F" w:val="clear"/>
            <w:tcMar>
              <w:top w:type="dxa" w:w="360"/>
              <w:left w:type="dxa" w:w="360"/>
              <w:bottom w:type="dxa" w:w="360"/>
              <w:right w:type="dxa" w:w="360"/>
            </w:tcMar>
          </w:tcPr>
          <w:p>
            <w:pPr>
              <w:spacing w:after="120" w:before="0"/>
              <w:jc w:val="center"/>
            </w:pPr>
            <w:r>
              <w:rPr>
                <w:rFonts w:ascii="Calibri" w:cs="Calibri" w:eastAsia="Calibri" w:hAnsi="Calibri"/>
                <w:b/>
                <w:bCs/>
                <w:color w:val="FFD700"/>
                <w:sz w:val="52"/>
                <w:szCs w:val="52"/>
              </w:rPr>
              <w:t xml:space="preserve">EduBoost SA</w:t>
            </w:r>
          </w:p>
          <w:p>
            <w:pPr>
              <w:spacing w:after="120" w:before="0"/>
              <w:jc w:val="center"/>
            </w:pPr>
            <w:r>
              <w:rPr>
                <w:rFonts w:ascii="Calibri" w:cs="Calibri" w:eastAsia="Calibri" w:hAnsi="Calibri"/>
                <w:color w:val="FFFFFF"/>
                <w:sz w:val="28"/>
                <w:szCs w:val="28"/>
              </w:rPr>
              <w:t xml:space="preserve">Implementation Improvement Roadmap</w:t>
            </w:r>
          </w:p>
          <w:p>
            <w:pPr>
              <w:spacing w:after="0" w:before="120"/>
              <w:jc w:val="center"/>
            </w:pPr>
            <w:r>
              <w:rPr>
                <w:rFonts w:ascii="Calibri" w:cs="Calibri" w:eastAsia="Calibri" w:hAnsi="Calibri"/>
                <w:i/>
                <w:iCs/>
                <w:color w:val="8FB3CC"/>
                <w:sz w:val="20"/>
                <w:szCs w:val="20"/>
              </w:rPr>
              <w:t xml:space="preserve">Five-Pillar Constitutional Architecture  ·  Phases 1–4</w:t>
            </w:r>
          </w:p>
        </w:tc>
      </w:tr>
    </w:tbl>
    <w:p>
      <w:pPr>
        <w:spacing w:after="200" w:before="200"/>
      </w:pPr>
      <w:r>
        <w:t xml:space="preserve"/>
      </w:r>
    </w:p>
    <w:p>
      <w:pPr>
        <w:spacing w:after="200" w:before="0"/>
      </w:pPr>
      <w:r>
        <w:rPr>
          <w:rFonts w:ascii="Calibri" w:cs="Calibri" w:eastAsia="Calibri" w:hAnsi="Calibri"/>
          <w:color w:val="2C3E50"/>
          <w:sz w:val="20"/>
          <w:szCs w:val="20"/>
        </w:rPr>
        <w:t xml:space="preserve">This document consolidates the technical improvement backlog for EduBoost SA, combining the original Phase 1–3 roadmap with a detailed review of the current codebase. Items are grouped by severity and strategic impact. Each todo is actionable with a clear scope and rationale. Phases are colour-coded: red for critical bugs and security gaps, orange for incomplete pipeline wiring, yellow for optimisation and developer experience, and green for pedagogical and accessibility hardening.</w:t>
      </w:r>
    </w:p>
    <w:p>
      <w:pPr>
        <w:pBdr>
          <w:bottom w:val="single" w:color="1A5276" w:sz="8" w:space="4"/>
        </w:pBdr>
        <w:spacing w:after="160" w:before="320"/>
      </w:pPr>
      <w:r>
        <w:rPr>
          <w:rFonts w:ascii="Calibri" w:cs="Calibri" w:eastAsia="Calibri" w:hAnsi="Calibri"/>
          <w:b/>
          <w:bCs/>
          <w:color w:val="1A5276"/>
          <w:sz w:val="28"/>
          <w:szCs w:val="28"/>
        </w:rPr>
        <w:t xml:space="preserve">At a Glance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Calibri" w:cs="Calibri" w:eastAsia="Calibri" w:hAnsi="Calibri"/>
                <w:b/>
                <w:bCs/>
                <w:color w:val="FFFFFF"/>
                <w:sz w:val="19"/>
                <w:szCs w:val="19"/>
              </w:rPr>
              <w:t xml:space="preserve">Phase</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Calibri" w:cs="Calibri" w:eastAsia="Calibri" w:hAnsi="Calibri"/>
                <w:b/>
                <w:bCs/>
                <w:color w:val="FFFFFF"/>
                <w:sz w:val="19"/>
                <w:szCs w:val="19"/>
              </w:rPr>
              <w:t xml:space="preserve">Focus</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alibri" w:cs="Calibri" w:eastAsia="Calibri" w:hAnsi="Calibri"/>
                <w:b/>
                <w:bCs/>
                <w:color w:val="1C2833"/>
                <w:sz w:val="19"/>
                <w:szCs w:val="19"/>
              </w:rPr>
              <w:t xml:space="preserve">🔴  Phase 1  (6 items)</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color w:val="1C2833"/>
                <w:sz w:val="19"/>
                <w:szCs w:val="19"/>
              </w:rPr>
              <w:t xml:space="preserve">Critical Bugs &amp; Security — Fix Before Any User Traffic</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alibri" w:cs="Calibri" w:eastAsia="Calibri" w:hAnsi="Calibri"/>
                <w:b/>
                <w:bCs/>
                <w:color w:val="1C2833"/>
                <w:sz w:val="19"/>
                <w:szCs w:val="19"/>
              </w:rPr>
              <w:t xml:space="preserve">🟠  Phase 2  (5 items)</w:t>
            </w:r>
          </w:p>
        </w:tc>
        <w:tc>
          <w:tcPr>
            <w:tcW w:type="dxa" w:w="4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color w:val="1C2833"/>
                <w:sz w:val="19"/>
                <w:szCs w:val="19"/>
              </w:rPr>
              <w:t xml:space="preserve">Pipeline Completion — Wire Up Missing Five-Pillar Paths</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alibri" w:cs="Calibri" w:eastAsia="Calibri" w:hAnsi="Calibri"/>
                <w:b/>
                <w:bCs/>
                <w:color w:val="1C2833"/>
                <w:sz w:val="19"/>
                <w:szCs w:val="19"/>
              </w:rPr>
              <w:t xml:space="preserve">🟡  Phase 3  (5 items)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alibri" w:cs="Calibri" w:eastAsia="Calibri" w:hAnsi="Calibri"/>
                <w:color w:val="1C2833"/>
                <w:sz w:val="19"/>
                <w:szCs w:val="19"/>
              </w:rPr>
              <w:t xml:space="preserve">Optimisation &amp; Developer Experience</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alibri" w:cs="Calibri" w:eastAsia="Calibri" w:hAnsi="Calibri"/>
                <w:b/>
                <w:bCs/>
                <w:color w:val="1C2833"/>
                <w:sz w:val="19"/>
                <w:szCs w:val="19"/>
              </w:rPr>
              <w:t xml:space="preserve">🟢  Phase 4  (5 items)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alibri" w:cs="Calibri" w:eastAsia="Calibri" w:hAnsi="Calibri"/>
                <w:color w:val="1C2833"/>
                <w:sz w:val="19"/>
                <w:szCs w:val="19"/>
              </w:rPr>
              <w:t xml:space="preserve">Pedagogical &amp; Accessibility Hardening</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pPr>
              <w:spacing w:after="60" w:before="0"/>
            </w:pPr>
            <w:r>
              <w:rPr>
                <w:rFonts w:ascii="Calibri" w:cs="Calibri" w:eastAsia="Calibri" w:hAnsi="Calibri"/>
                <w:b/>
                <w:bCs/>
                <w:color w:val="FFFFFF"/>
                <w:sz w:val="36"/>
                <w:szCs w:val="36"/>
              </w:rPr>
              <w:t xml:space="preserve">🔴  Phase 1: Critical Bugs &amp; Security</w:t>
            </w:r>
          </w:p>
          <w:p>
            <w:pPr>
              <w:spacing w:after="0" w:before="0"/>
            </w:pPr>
            <w:r>
              <w:rPr>
                <w:rFonts w:ascii="Calibri" w:cs="Calibri" w:eastAsia="Calibri" w:hAnsi="Calibri"/>
                <w:i/>
                <w:iCs/>
                <w:color w:val="FFFFFF"/>
                <w:sz w:val="20"/>
                <w:szCs w:val="20"/>
              </w:rPr>
              <w:t xml:space="preserve">Must be resolved before any real learner traffic. These items involve broken functionality, POPIA exposure, or authentication bypass.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Delete `app/api/services/lessons_router.py`</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This file is a dead draft that was superseded by `app/api/routers/lessons.py`. It imports `from orchestrator import OperationRequest` — a module path and class name that do not exist — so it will raise an ImportError if anything ever imports it. It also registers a FastAPI router that is never mounted. Remove the file entirely and add a linting rule (or a test that asserts the file does not exist) to prevent similar leftovers accumulating.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2.</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Fix guardian authentication: verify guardian exists before minting JWT</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`POST /api/v1/auth/guardian/login` handler hashes the email and immediately returns a signed JWT without checking whether the `learner_pseudonym_id` exists in the database or whether the hashed email matches the `guardian_email_encrypted` stored against that learner. Any combination of email + UUID currently yields a valid guardian token. Add a database lookup against `learner_identities` that decrypts and compares the stored guardian email before issuing the token. Failure should return HTTP 401.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3.</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Route frontend lesson generation through the FastAPI backend, not the Anthropic API directly</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`callClaude()` function in `EduBoostApp.jsx` posts directly to `https://api.anthropic.com/v1/messages` with no `x-api-key` header. This works inside the Claude.ai sandbox but returns HTTP 401 in any real deployment. More critically, it bypasses the Judiciary, the Fourth Estate audit bus, and the PII scrubber — meaning learner grade and subject data flow to Anthropic with no POPIA review. Replace `callClaude()` with a call to `/api/v1/lessons/generate` (already implemented). Remove any direct Anthropic calls from the frontend entirely.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4.</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Upgrade learner ID hashing to use a salted SHA-256 (HMAC)</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Both `orchestrator.py` and `profiler.py` use plain `hashlib.sha256(learner_id.encode()).hexdigest()[:32]`. Because UUIDs have a known structure and limited entropy, plain hashes are vulnerable to brute-force reversal given the full hash output. Replace with `hmac.new(SALT.encode(), learner_id.encode(), 'sha256').hexdigest()` where `SALT` is loaded from `settings.ENCRYPTION_SALT`. This is a one-line change in each file but is architecturally important for the Zero-PII guarantee.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5.</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Replace the synchronous `Anthropic()` client with `AsyncAnthropic()`</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`_anthropic_client = Anthropic(...)` in `inference_gateway.py` uses the blocking synchronous client. When `_call_anthropic()` is awaited inside the async FastAPI event loop, the blocking HTTP request stalls the entire event loop for the duration of the inference call — typically 2–8 seconds. Under concurrent load this serialises all requests. Replace with `AsyncAnthropic()` and update `_call_anthropic()` to use `await client.messages.create(...)`. The Groq and HuggingFace callers are already async-safe.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6.</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Validate LLM JSON output with Pydantic before it reaches downstream layers</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When `parse_json_response()` succeeds but the JSON does not match the expected schema (e.g. missing `steps`, extra keys, wrong types), the error surfaces as an opaque 500 inside `GeneratedLesson(**data)` or similar constructors. Wrap LLM output parsing with a `TypeAdapter` or explicit `model_validate()` call and catch `ValidationError` separately from `json.JSONDecodeError`. Return HTTP 422 with a structured error (never the raw LLM output) so the client can distinguish a provider failure from a schema drift failure. Apply the same pattern to `generate_study_plan` and `generate_parent_report`.</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35400" w:val="clear"/>
            <w:tcMar>
              <w:top w:type="dxa" w:w="180"/>
              <w:left w:type="dxa" w:w="240"/>
              <w:bottom w:type="dxa" w:w="180"/>
              <w:right w:type="dxa" w:w="240"/>
            </w:tcMar>
          </w:tcPr>
          <w:p>
            <w:pPr>
              <w:spacing w:after="60" w:before="0"/>
            </w:pPr>
            <w:r>
              <w:rPr>
                <w:rFonts w:ascii="Calibri" w:cs="Calibri" w:eastAsia="Calibri" w:hAnsi="Calibri"/>
                <w:b/>
                <w:bCs/>
                <w:color w:val="FFFFFF"/>
                <w:sz w:val="36"/>
                <w:szCs w:val="36"/>
              </w:rPr>
              <w:t xml:space="preserve">🟠  Phase 2: Pipeline Completion</w:t>
            </w:r>
          </w:p>
          <w:p>
            <w:pPr>
              <w:spacing w:after="0" w:before="0"/>
            </w:pPr>
            <w:r>
              <w:rPr>
                <w:rFonts w:ascii="Calibri" w:cs="Calibri" w:eastAsia="Calibri" w:hAnsi="Calibri"/>
                <w:i/>
                <w:iCs/>
                <w:color w:val="FFFFFF"/>
                <w:sz w:val="20"/>
                <w:szCs w:val="20"/>
              </w:rPr>
              <w:t xml:space="preserve">The five-pillar architecture is designed but only partially wired. These items close the gaps between the design and what is actually executed at runtime.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7.</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Wire `FourthEstate` singleton to `settings.REDIS_URL`</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`get_fourth_estate()` factory constructs `FourthEstate()` with no arguments, so `redis_url` defaults to `None`. Even in a production environment with Redis configured, the audit bus writes only to the in-memory `deque` — which is capped at 1000 events and lost on restart. Change the factory to `FourthEstate(redis_url=settings.REDIS_URL, stream_key=settings.FOURTH_ESTATE_STREAM_KEY)`. This is a one-line fix that activates the entire regulatory-grade audit trail the architecture was designed around.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8.</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Implement Redis read/write in the Ether Profiler (Pillar 5)</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`EtherProfiler.get_profile()` method always returns a cold-start TIFERET profile — it never reads from Redis. The `compute_and_cache()` method computes a real archetype but never writes to Redis. As a result, every lesson generation uses the same default tone parameters regardless of what the learner has actually done. Implement `get_profile()` as: hash the learner ID, attempt `redis.get(f'ether:{hash}')`, deserialise `LearnerEtherProfile` if found, otherwise return the TIFERET default. Implement `compute_and_cache()` to serialise the profile and `redis.setex(key, settings.ETHER_PROFILE_TTL, json)` after computation.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9.</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Add `GENERATE_STUDY_PLAN` and `GENERATE_PARENT_REPORT` to `ActionType` and route them through the Orchestrator</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constitutional schema `ActionType` enum currently defines only `GENERATE_LESSON`, `RUN_DIAGNOSTIC`, and `STORE_FEEDBACK`. The study plan and parent report endpoints bypass the Orchestrator entirely, calling `lesson_service` directly with no Judiciary stamp, no Fourth Estate audit event, and no Ether profiling. Add the two new action types to the enum, add corresponding constitutional rules (at minimum POPIA_01 and PII_01) to the corpus, and implement `_generate_study_plan()` and `_generate_report()` methods in the Orchestrator following the same pattern as `_generate_lesson()`.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10.</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Implement lesson caching and return `lesson_id` from the generation endpoint</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After a lesson is generated, the current code returns the lesson JSON but never writes it to Redis. The `GET /api/v1/lessons/{lesson_id}` endpoint always returns 404 because the cache is always empty. Additionally there is no `lesson_id` in the generation response for a client to use. After a successful `generate_lesson_from_prompts()` call, generate a `lesson_id = str(uuid4())`, serialise the lesson to JSON, write it to Redis with `SETEX lesson:{lesson_id} {settings.CACHE_TTL_SECONDS} {json}`, and include the `lesson_id` in the API response. The GET endpoint will then work as designed.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11.</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Add input schema validation to `generate_study_plan` and `generate_parent_report`</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Both functions in `lesson_service.py` accept raw primitives (`knowledge_gaps: list`, `subjects_mastery: dict`) with no key validation. A caller could pass `knowledge_gaps=[{"learner_name": "Sipho", ...}]` and that name would reach the LLM with only the PII scrubber as a guard — not a Judiciary review. Create `StudyPlanParams` and `ParentReportParams` Pydantic models with `model_validator` that rejects unknown keys (mirroring the pattern from `LessonParams`). The `ExecutiveAction` validator in `types.py` already demonstrates the right approach.</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950B" w:val="clear"/>
            <w:tcMar>
              <w:top w:type="dxa" w:w="180"/>
              <w:left w:type="dxa" w:w="240"/>
              <w:bottom w:type="dxa" w:w="180"/>
              <w:right w:type="dxa" w:w="240"/>
            </w:tcMar>
          </w:tcPr>
          <w:p>
            <w:pPr>
              <w:spacing w:after="60" w:before="0"/>
            </w:pPr>
            <w:r>
              <w:rPr>
                <w:rFonts w:ascii="Calibri" w:cs="Calibri" w:eastAsia="Calibri" w:hAnsi="Calibri"/>
                <w:b/>
                <w:bCs/>
                <w:color w:val="1C2833"/>
                <w:sz w:val="36"/>
                <w:szCs w:val="36"/>
              </w:rPr>
              <w:t xml:space="preserve">🟡  Phase 3: Optimisation &amp; Developer Experience</w:t>
            </w:r>
          </w:p>
          <w:p>
            <w:pPr>
              <w:spacing w:after="0" w:before="0"/>
            </w:pPr>
            <w:r>
              <w:rPr>
                <w:rFonts w:ascii="Calibri" w:cs="Calibri" w:eastAsia="Calibri" w:hAnsi="Calibri"/>
                <w:i/>
                <w:iCs/>
                <w:color w:val="1C2833"/>
                <w:sz w:val="20"/>
                <w:szCs w:val="20"/>
              </w:rPr>
              <w:t xml:space="preserve">The system works for the happy path. These items reduce fragility, improve maintainability, and close subtle correctness issues.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12.</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Add a Redis circuit breaker and local-log fallback to the Fourth Estate audit bus</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When Redis is unavailable, `FourthEstate.publish()` silently swallows the exception and continues. For a POPIA-regulated audit trail this is acceptable only if there is a fallback. Implement a simple circuit breaker: after three consecutive Redis failures, flip a flag, write audit events to a structured local log file (`/var/log/eduboost/audit_fallback.jsonl`), and attempt Redis reconnection every 60 seconds. Emit a Prometheus metric (`eduboost_audit_redis_fallback_total`) so the Grafana dashboard can alert when the circuit is open.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13.</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Reconcile PII regex patterns between `inference_gateway.py` and `judiciary.py`</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phone scrubber in `inference_gateway.py` uses `r'\b0[6789]\d{8}\b'` (06/07/08/09 prefixes) while the judiciary scanner in `judiciary.py` uses `r'\b0[67]\d{8}\b'` (only 06/07). South African mobile numbers also include 08x and 09x ranges. Extract all PII patterns into a single shared module (e.g. `app/api/core/pii_patterns.py`) and import from both files. Add a regression test that passes mastery scores like `0.62` through the scrubber to confirm they are not incorrectly tagged as phone numbers.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14.</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Externalise prompt strings into Jinja2 templates in a `/prompts` directory</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system prompt and user prompt for lesson generation, study plans, and parent reports are hardcoded multi-line strings in `lesson_service.py`. Moving them to `.jinja2` template files in a `/prompts` directory achieves two things: curriculum experts can adjust educational tone without touching Python, and prompt versioning becomes trackable in Git. The `PromptTemplate` database table already exists for RLHF tracking — wire it up so the service loads the active template from the DB on startup and caches it in Redis, falling back to the file template if the DB is unavailable.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15.</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Document Ether archetypes and add a seeding fixture for development</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Kabbalistic Sephirot archetype names (`KETER`, `CHOKHMAH`, `TIFERET`, etc.) are meaningful to the original author but opaque to any contributor joining the project. Add a docstring table to `profiler.py` mapping each archetype to its behavioural meaning (e.g. KETER: high accuracy, fast, no hints — advanced self-directed learner; YESOD: low accuracy, high hint usage — needs foundation support). Additionally, create a `tests/fixtures/ether_profiles.py` factory so integration tests can request a specific archetype without relying on the live classifier.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16.</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Separate `--cov` flags into a dedicated `make coverage` target</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`pytest.ini` `addopts` field includes `--cov=app --cov-report=term-missing --cov-report=html:coverage_html` on every pytest invocation, including fast unit-test runs. This adds several seconds of overhead to every TDD loop. Move the coverage flags to a `Makefile` target (`make coverage`) or a separate `pytest` configuration section. The `[coverage]` section in `pyproject.toml` is the idiomatic location. Keep `addopts` for `--strict-markers --tb=short -v` only.</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180"/>
              <w:left w:type="dxa" w:w="240"/>
              <w:bottom w:type="dxa" w:w="180"/>
              <w:right w:type="dxa" w:w="240"/>
            </w:tcMar>
          </w:tcPr>
          <w:p>
            <w:pPr>
              <w:spacing w:after="60" w:before="0"/>
            </w:pPr>
            <w:r>
              <w:rPr>
                <w:rFonts w:ascii="Calibri" w:cs="Calibri" w:eastAsia="Calibri" w:hAnsi="Calibri"/>
                <w:b/>
                <w:bCs/>
                <w:color w:val="FFFFFF"/>
                <w:sz w:val="36"/>
                <w:szCs w:val="36"/>
              </w:rPr>
              <w:t xml:space="preserve">🟢  Phase 4: Pedagogical &amp; Accessibility Hardening</w:t>
            </w:r>
          </w:p>
          <w:p>
            <w:pPr>
              <w:spacing w:after="0" w:before="0"/>
            </w:pPr>
            <w:r>
              <w:rPr>
                <w:rFonts w:ascii="Calibri" w:cs="Calibri" w:eastAsia="Calibri" w:hAnsi="Calibri"/>
                <w:i/>
                <w:iCs/>
                <w:color w:val="FFFFFF"/>
                <w:sz w:val="20"/>
                <w:szCs w:val="20"/>
              </w:rPr>
              <w:t xml:space="preserve">Deepens the educational quality and broadens accessibility for South African learners, including Grade R–1 voice interaction and a stateful real-time diagnostic loop.</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17.</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Implement the STT/TTS gateway for Grade R–1 voice interaction</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`FEATURE_VOICE_INPUT` flag is defined in `settings` and the frontend has a placeholder, but there is no `STTService` implementation. Grade R and Grade 1 learners (ages 5–7) cannot be expected to read questions from a screen. Implement a `VoiceGateway` service that wraps a speech-to-text provider (Whisper via the Groq API has a free tier and handles South African English and code-switching). The gateway should accept an audio blob, return a transcript, pass it through the PII scrubber, and then feed it into the existing question-answering flow. Add a `GENERATE_VOICE_RESPONSE` action type and TTS output path.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18.</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Convert the diagnostic endpoint into a stateful real-time session</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`POST /api/v1/diagnostic/run` endpoint currently simulates learner answers with `random.random() &lt; 0.6` rather than serving questions to the frontend and receiving real responses. Decouple the diagnostic into two endpoints: `POST /diagnostic/session/start` (returns the first question and a `session_id`), and `POST /diagnostic/session/{session_id}/answer` (accepts the learner's answer, updates theta via MLE, returns the next question or a gap report if stopping rules are met). Store session state in Redis with a TTL of 30 minutes. The IRT engine is already correct — only the question-serving loop needs to change.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19.</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Refactor the Judiciary to use a Strategy Pattern for subject-specific rule sets</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current `Judiciary._structural()` method has a single branch for `GENERATE_LESSON` with a fixed allowed-key set. As the item bank grows to include Mathematics, Literacy, Life Skills, and Natural Science at seven grade levels, subject-specific validation rules will diverge significantly (e.g. a Maths lesson may require `concept_code` while a Language lesson requires `text_register`). Implement a `JudiciaryStrategy` protocol with a `validate(action)` method, and a registry mapping `(ActionType, subject_code)` tuples to strategy instances. This makes adding a new subject a two-file change rather than a branching `if/elif` chain.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20.</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Implement Celery tasks for the RLHF feedback loop and weekly study plan regeneration</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`celery_app.py` defines only a `ping` task. The Celery worker and beat scheduler are fully configured in Docker Compose and have been allocated container resources — but there are no actual tasks. Implement at minimum: (1) `tasks.rlhf.process_feedback_batch` — runs nightly, aggregates `lesson_efficacy_score` from `session_events`, updates `avg_les_score` on `prompt_templates`, and promotes the highest-scoring template to `is_active=True`; (2) `tasks.plans.regenerate_weekly_plans` — runs every Sunday night, queries learners active in the past 7 days, and calls `generate_study_plan()` for each, storing the result to `study_plans`.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F2F3F4" w:val="clear"/>
            <w:tcMar>
              <w:top w:type="dxa" w:w="80"/>
              <w:left w:type="dxa" w:w="120"/>
              <w:bottom w:type="dxa" w:w="60"/>
              <w:right w:type="dxa" w:w="80"/>
            </w:tcMar>
            <w:vAlign w:val="top"/>
          </w:tcPr>
          <w:p>
            <w:r>
              <w:rPr>
                <w:rFonts w:ascii="Calibri" w:cs="Calibri" w:eastAsia="Calibri" w:hAnsi="Calibri"/>
                <w:b/>
                <w:bCs/>
                <w:color w:val="5D6D7E"/>
                <w:sz w:val="20"/>
                <w:szCs w:val="20"/>
              </w:rPr>
              <w:t xml:space="preserve">21.</w:t>
            </w:r>
          </w:p>
        </w:tc>
        <w:tc>
          <w:tcPr>
            <w:tcW w:type="dxa" w:w="8160"/>
            <w:tcBorders>
              <w:top w:val="none" w:color="FFFFFF" w:sz="0"/>
              <w:left w:val="none" w:color="FFFFFF" w:sz="0"/>
              <w:bottom w:val="none" w:color="FFFFFF" w:sz="0"/>
              <w:right w:val="none" w:color="FFFFFF" w:sz="0"/>
            </w:tcBorders>
            <w:shd w:fill="F2F3F4" w:val="clear"/>
            <w:tcMar>
              <w:top w:type="dxa" w:w="80"/>
              <w:left w:type="dxa" w:w="80"/>
              <w:bottom w:type="dxa" w:w="60"/>
              <w:right w:type="dxa" w:w="120"/>
            </w:tcMar>
          </w:tcPr>
          <w:p>
            <w:pPr>
              <w:spacing w:after="0" w:before="0"/>
            </w:pPr>
            <w:r>
              <w:rPr>
                <w:rFonts w:ascii="Calibri" w:cs="Calibri" w:eastAsia="Calibri" w:hAnsi="Calibri"/>
                <w:b/>
                <w:bCs/>
                <w:color w:val="1C2833"/>
                <w:sz w:val="22"/>
                <w:szCs w:val="22"/>
              </w:rPr>
              <w:t xml:space="preserve">Add offline-mode service worker and local lesson cache for low-connectivity learners</w:t>
            </w:r>
          </w:p>
        </w:tc>
      </w:tr>
      <w:tr>
        <w:tc>
          <w:tcPr>
            <w:tcW w:type="dxa" w:w="600"/>
            <w:tcBorders>
              <w:top w:val="none" w:color="FFFFFF" w:sz="0"/>
              <w:left w:val="none" w:color="FFFFFF" w:sz="0"/>
              <w:bottom w:val="none" w:color="FFFFFF" w:sz="0"/>
              <w:right w:val="none" w:color="FFFFFF" w:sz="0"/>
            </w:tcBorders>
            <w:shd w:fill="FFFFFF" w:val="clear"/>
            <w:tcMar>
              <w:top w:type="dxa" w:w="0"/>
              <w:left w:type="dxa" w:w="120"/>
              <w:bottom w:type="dxa" w:w="100"/>
              <w:right w:type="dxa" w:w="80"/>
            </w:tcMar>
          </w:tcPr>
          <w:p>
            <w:r>
              <w:t xml:space="preserve"/>
            </w:r>
          </w:p>
        </w:tc>
        <w:tc>
          <w:tcPr>
            <w:tcW w:type="dxa" w:w="8160"/>
            <w:tcBorders>
              <w:top w:val="none" w:color="FFFFFF" w:sz="0"/>
              <w:left w:val="none" w:color="FFFFFF" w:sz="0"/>
              <w:bottom w:val="single" w:color="CCCCCC" w:sz="1"/>
              <w:right w:val="none" w:color="FFFFFF" w:sz="0"/>
            </w:tcBorders>
            <w:shd w:fill="FFFFFF" w:val="clear"/>
            <w:tcMar>
              <w:top w:type="dxa" w:w="60"/>
              <w:left w:type="dxa" w:w="80"/>
              <w:bottom w:type="dxa" w:w="120"/>
              <w:right w:type="dxa" w:w="120"/>
            </w:tcMar>
          </w:tcPr>
          <w:p>
            <w:pPr>
              <w:spacing w:after="0" w:before="0"/>
            </w:pPr>
            <w:r>
              <w:rPr>
                <w:rFonts w:ascii="Calibri" w:cs="Calibri" w:eastAsia="Calibri" w:hAnsi="Calibri"/>
                <w:color w:val="2C3E50"/>
                <w:sz w:val="19"/>
                <w:szCs w:val="19"/>
              </w:rPr>
              <w:t xml:space="preserve">The `FEATURE_OFFLINE_MODE` flag is defined in settings but not implemented. Many South African learners access the internet intermittently via mobile data. Implement a Next.js service worker (using `next-pwa` or a custom Workbox config) that caches the last 5 generated lessons and the current week's study plan in IndexedDB. When the learner is offline, serve from cache and queue any feedback events in a sync queue that flushes when connectivity returns. The diagnostic endpoint's stateful session architecture (todo 18) is a prerequisite, as offline diagnostics require local state management.</w:t>
            </w:r>
          </w:p>
        </w:tc>
      </w:tr>
    </w:tbl>
    <w:p>
      <w:pPr>
        <w:spacing w:after="200" w:before="200"/>
      </w:pPr>
      <w:r>
        <w:t xml:space="preserve"/>
      </w:r>
    </w:p>
    <w:p>
      <w:pPr>
        <w:pBdr>
          <w:bottom w:val="single" w:color="1A5276" w:sz="8" w:space="4"/>
        </w:pBdr>
        <w:spacing w:after="160" w:before="320"/>
      </w:pPr>
      <w:r>
        <w:rPr>
          <w:rFonts w:ascii="Calibri" w:cs="Calibri" w:eastAsia="Calibri" w:hAnsi="Calibri"/>
          <w:b/>
          <w:bCs/>
          <w:color w:val="1A5276"/>
          <w:sz w:val="28"/>
          <w:szCs w:val="28"/>
        </w:rPr>
        <w:t xml:space="preserve">Dependency Map</w:t>
      </w:r>
    </w:p>
    <w:p>
      <w:pPr>
        <w:spacing w:after="80" w:before="80"/>
      </w:pPr>
      <w:r>
        <w:t xml:space="preserve"/>
      </w:r>
    </w:p>
    <w:p>
      <w:pPr>
        <w:spacing w:after="120" w:before="0"/>
      </w:pPr>
      <w:r>
        <w:rPr>
          <w:rFonts w:ascii="Calibri" w:cs="Calibri" w:eastAsia="Calibri" w:hAnsi="Calibri"/>
          <w:color w:val="2C3E50"/>
          <w:sz w:val="19"/>
          <w:szCs w:val="19"/>
        </w:rPr>
        <w:t xml:space="preserve">Some items have ordering dependencies. Complete items in the indicated sequence within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80"/>
            </w:tcMar>
          </w:tcPr>
          <w:p>
            <w:r>
              <w:rPr>
                <w:rFonts w:ascii="Calibri" w:cs="Calibri" w:eastAsia="Calibri" w:hAnsi="Calibri"/>
                <w:b/>
                <w:bCs/>
                <w:color w:val="FFFFFF"/>
                <w:sz w:val="18"/>
                <w:szCs w:val="18"/>
              </w:rPr>
              <w:t xml:space="preserve">#</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80"/>
            </w:tcMar>
          </w:tcPr>
          <w:p>
            <w:r>
              <w:rPr>
                <w:rFonts w:ascii="Calibri" w:cs="Calibri" w:eastAsia="Calibri" w:hAnsi="Calibri"/>
                <w:b/>
                <w:bCs/>
                <w:color w:val="FFFFFF"/>
                <w:sz w:val="18"/>
                <w:szCs w:val="18"/>
              </w:rPr>
              <w:t xml:space="preserve">Item</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80"/>
            </w:tcMar>
          </w:tcPr>
          <w:p>
            <w:r>
              <w:rPr>
                <w:rFonts w:ascii="Calibri" w:cs="Calibri" w:eastAsia="Calibri" w:hAnsi="Calibri"/>
                <w:b/>
                <w:bCs/>
                <w:color w:val="FFFFFF"/>
                <w:sz w:val="18"/>
                <w:szCs w:val="18"/>
              </w:rPr>
              <w:t xml:space="preserve">Must complete first</w:t>
            </w:r>
          </w:p>
        </w:tc>
      </w:tr>
      <w:tr>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b/>
                <w:bCs/>
                <w:color w:val="2E86C1"/>
                <w:sz w:val="18"/>
                <w:szCs w:val="18"/>
              </w:rPr>
              <w:t xml:space="preserve">3</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color w:val="1C2833"/>
                <w:sz w:val="18"/>
                <w:szCs w:val="18"/>
              </w:rPr>
              <w:t xml:space="preserve">Route frontend through backend</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i w:val="false"/>
                <w:iCs w:val="false"/>
                <w:color w:val="D35400"/>
                <w:sz w:val="18"/>
                <w:szCs w:val="18"/>
              </w:rPr>
              <w:t xml:space="preserve">5 (async client)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b/>
                <w:bCs/>
                <w:color w:val="2E86C1"/>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color w:val="1C2833"/>
                <w:sz w:val="18"/>
                <w:szCs w:val="18"/>
              </w:rPr>
              <w:t xml:space="preserve">Async Anthropic client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i/>
                <w:iCs/>
                <w:color w:val="5D6D7E"/>
                <w:sz w:val="18"/>
                <w:szCs w:val="18"/>
              </w:rPr>
              <w:t xml:space="preserve">—</w:t>
            </w:r>
          </w:p>
        </w:tc>
      </w:tr>
      <w:tr>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b/>
                <w:bCs/>
                <w:color w:val="2E86C1"/>
                <w:sz w:val="18"/>
                <w:szCs w:val="18"/>
              </w:rPr>
              <w:t xml:space="preserve">6</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color w:val="1C2833"/>
                <w:sz w:val="18"/>
                <w:szCs w:val="18"/>
              </w:rPr>
              <w:t xml:space="preserve">LLM output validation</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i/>
                <w:iCs/>
                <w:color w:val="5D6D7E"/>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b/>
                <w:bCs/>
                <w:color w:val="2E86C1"/>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color w:val="1C2833"/>
                <w:sz w:val="18"/>
                <w:szCs w:val="18"/>
              </w:rPr>
              <w:t xml:space="preserve">Wire Fourth Estate to Redis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i/>
                <w:iCs/>
                <w:color w:val="5D6D7E"/>
                <w:sz w:val="18"/>
                <w:szCs w:val="18"/>
              </w:rPr>
              <w:t xml:space="preserve">—</w:t>
            </w:r>
          </w:p>
        </w:tc>
      </w:tr>
      <w:tr>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b/>
                <w:bCs/>
                <w:color w:val="2E86C1"/>
                <w:sz w:val="18"/>
                <w:szCs w:val="18"/>
              </w:rPr>
              <w:t xml:space="preserve">8</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color w:val="1C2833"/>
                <w:sz w:val="18"/>
                <w:szCs w:val="18"/>
              </w:rPr>
              <w:t xml:space="preserve">Ether Profiler Redis caching</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i w:val="false"/>
                <w:iCs w:val="false"/>
                <w:color w:val="D35400"/>
                <w:sz w:val="18"/>
                <w:szCs w:val="18"/>
              </w:rPr>
              <w:t xml:space="preserve">7 (Redis confirmed working)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b/>
                <w:bCs/>
                <w:color w:val="2E86C1"/>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color w:val="1C2833"/>
                <w:sz w:val="18"/>
                <w:szCs w:val="18"/>
              </w:rPr>
              <w:t xml:space="preserve">Orchestrator: new operations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i w:val="false"/>
                <w:iCs w:val="false"/>
                <w:color w:val="D35400"/>
                <w:sz w:val="18"/>
                <w:szCs w:val="18"/>
              </w:rPr>
              <w:t xml:space="preserve">6 (output validation), 11 (input schemas)</w:t>
            </w:r>
          </w:p>
        </w:tc>
      </w:tr>
      <w:tr>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b/>
                <w:bCs/>
                <w:color w:val="2E86C1"/>
                <w:sz w:val="18"/>
                <w:szCs w:val="18"/>
              </w:rPr>
              <w:t xml:space="preserve">10</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color w:val="1C2833"/>
                <w:sz w:val="18"/>
                <w:szCs w:val="18"/>
              </w:rPr>
              <w:t xml:space="preserve">Lesson caching</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i w:val="false"/>
                <w:iCs w:val="false"/>
                <w:color w:val="D35400"/>
                <w:sz w:val="18"/>
                <w:szCs w:val="18"/>
              </w:rPr>
              <w:t xml:space="preserve">7 (Redis confirmed working)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b/>
                <w:bCs/>
                <w:color w:val="2E86C1"/>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color w:val="1C2833"/>
                <w:sz w:val="18"/>
                <w:szCs w:val="18"/>
              </w:rPr>
              <w:t xml:space="preserve">Input schemas for plan/report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i/>
                <w:iCs/>
                <w:color w:val="5D6D7E"/>
                <w:sz w:val="18"/>
                <w:szCs w:val="18"/>
              </w:rPr>
              <w:t xml:space="preserve">—</w:t>
            </w:r>
          </w:p>
        </w:tc>
      </w:tr>
      <w:tr>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b/>
                <w:bCs/>
                <w:color w:val="2E86C1"/>
                <w:sz w:val="18"/>
                <w:szCs w:val="18"/>
              </w:rPr>
              <w:t xml:space="preserve">12</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color w:val="1C2833"/>
                <w:sz w:val="18"/>
                <w:szCs w:val="18"/>
              </w:rPr>
              <w:t xml:space="preserve">Fourth Estate circuit breaker</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i w:val="false"/>
                <w:iCs w:val="false"/>
                <w:color w:val="D35400"/>
                <w:sz w:val="18"/>
                <w:szCs w:val="18"/>
              </w:rPr>
              <w:t xml:space="preserve">7</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b/>
                <w:bCs/>
                <w:color w:val="2E86C1"/>
                <w:sz w:val="18"/>
                <w:szCs w:val="18"/>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color w:val="1C2833"/>
                <w:sz w:val="18"/>
                <w:szCs w:val="18"/>
              </w:rPr>
              <w:t xml:space="preserve">Externalise prompts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i w:val="false"/>
                <w:iCs w:val="false"/>
                <w:color w:val="D35400"/>
                <w:sz w:val="18"/>
                <w:szCs w:val="18"/>
              </w:rPr>
              <w:t xml:space="preserve">6 (output validation stable)</w:t>
            </w:r>
          </w:p>
        </w:tc>
      </w:tr>
      <w:tr>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b/>
                <w:bCs/>
                <w:color w:val="2E86C1"/>
                <w:sz w:val="18"/>
                <w:szCs w:val="18"/>
              </w:rPr>
              <w:t xml:space="preserve">18</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color w:val="1C2833"/>
                <w:sz w:val="18"/>
                <w:szCs w:val="18"/>
              </w:rPr>
              <w:t xml:space="preserve">Stateful diagnostic session</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i w:val="false"/>
                <w:iCs w:val="false"/>
                <w:color w:val="D35400"/>
                <w:sz w:val="18"/>
                <w:szCs w:val="18"/>
              </w:rPr>
              <w:t xml:space="preserve">7 (Redis for session state)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b/>
                <w:bCs/>
                <w:color w:val="2E86C1"/>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color w:val="1C2833"/>
                <w:sz w:val="18"/>
                <w:szCs w:val="18"/>
              </w:rPr>
              <w:t xml:space="preserve">Celery RLHF tasks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alibri" w:cs="Calibri" w:eastAsia="Calibri" w:hAnsi="Calibri"/>
                <w:i w:val="false"/>
                <w:iCs w:val="false"/>
                <w:color w:val="D35400"/>
                <w:sz w:val="18"/>
                <w:szCs w:val="18"/>
              </w:rPr>
              <w:t xml:space="preserve">6 (reliable output), 10 (lesson IDs in DB)</w:t>
            </w:r>
          </w:p>
        </w:tc>
      </w:tr>
      <w:tr>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b/>
                <w:bCs/>
                <w:color w:val="2E86C1"/>
                <w:sz w:val="18"/>
                <w:szCs w:val="18"/>
              </w:rPr>
              <w:t xml:space="preserve">21</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color w:val="1C2833"/>
                <w:sz w:val="18"/>
                <w:szCs w:val="18"/>
              </w:rPr>
              <w:t xml:space="preserve">Offline mode</w:t>
            </w:r>
          </w:p>
        </w:tc>
        <w:tc>
          <w:tcPr>
            <w:tcBorders>
              <w:top w:val="single" w:color="CCCCCC" w:sz="1"/>
              <w:left w:val="single" w:color="CCCCCC" w:sz="1"/>
              <w:bottom w:val="single" w:color="CCCCCC" w:sz="1"/>
              <w:right w:val="single" w:color="CCCCCC" w:sz="1"/>
            </w:tcBorders>
            <w:shd w:fill="F8F9FA" w:val="clear"/>
            <w:tcMar>
              <w:top w:type="dxa" w:w="60"/>
              <w:left w:type="dxa" w:w="120"/>
              <w:bottom w:type="dxa" w:w="60"/>
              <w:right w:type="dxa" w:w="80"/>
            </w:tcMar>
          </w:tcPr>
          <w:p>
            <w:r>
              <w:rPr>
                <w:rFonts w:ascii="Calibri" w:cs="Calibri" w:eastAsia="Calibri" w:hAnsi="Calibri"/>
                <w:i w:val="false"/>
                <w:iCs w:val="false"/>
                <w:color w:val="D35400"/>
                <w:sz w:val="18"/>
                <w:szCs w:val="18"/>
              </w:rPr>
              <w:t xml:space="preserve">18 (stateful session architecture)</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200"/>
              <w:left w:type="dxa" w:w="300"/>
              <w:bottom w:type="dxa" w:w="200"/>
              <w:right w:type="dxa" w:w="300"/>
            </w:tcMar>
          </w:tcPr>
          <w:p>
            <w:pPr>
              <w:spacing w:after="80" w:before="0"/>
              <w:jc w:val="center"/>
            </w:pPr>
            <w:r>
              <w:rPr>
                <w:rFonts w:ascii="Calibri" w:cs="Calibri" w:eastAsia="Calibri" w:hAnsi="Calibri"/>
                <w:b/>
                <w:bCs/>
                <w:color w:val="1A5276"/>
                <w:sz w:val="22"/>
                <w:szCs w:val="22"/>
              </w:rPr>
              <w:t xml:space="preserve">Built with Ubuntu — “I am because we are.”</w:t>
            </w:r>
          </w:p>
          <w:p>
            <w:pPr>
              <w:spacing w:after="0" w:before="0"/>
              <w:jc w:val="center"/>
            </w:pPr>
            <w:r>
              <w:rPr>
                <w:rFonts w:ascii="Calibri" w:cs="Calibri" w:eastAsia="Calibri" w:hAnsi="Calibri"/>
                <w:i/>
                <w:iCs/>
                <w:color w:val="5D6D7E"/>
                <w:sz w:val="19"/>
                <w:szCs w:val="19"/>
              </w:rPr>
              <w:t xml:space="preserve">Every South African child deserves quality, personalised education.</w:t>
            </w:r>
          </w:p>
        </w:tc>
      </w:tr>
    </w:tbl>
    <w:p>
      <w:pPr>
        <w:spacing w:after="100" w:before="1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Calibri" w:cs="Calibri" w:eastAsia="Calibri" w:hAnsi="Calibri"/>
        <w:color w:val="5D6D7E"/>
        <w:sz w:val="16"/>
        <w:szCs w:val="16"/>
      </w:rPr>
      <w:t xml:space="preserve">EduBoost SA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Borders>
            <w:top w:val="none" w:color="FFFFFF" w:sz="0"/>
            <w:left w:val="none" w:color="FFFFFF" w:sz="0"/>
            <w:bottom w:val="none" w:color="FFFFFF" w:sz="0"/>
            <w:right w:val="none" w:color="FFFFFF" w:sz="0"/>
          </w:tcBorders>
          <w:shd w:fill="1A252F" w:val="clear"/>
          <w:tcMar>
            <w:top w:type="dxa" w:w="80"/>
            <w:left w:type="dxa" w:w="160"/>
            <w:bottom w:type="dxa" w:w="80"/>
            <w:right w:type="dxa" w:w="160"/>
          </w:tcMar>
        </w:tcPr>
        <w:p>
          <w:r>
            <w:rPr>
              <w:rFonts w:ascii="Calibri" w:cs="Calibri" w:eastAsia="Calibri" w:hAnsi="Calibri"/>
              <w:b/>
              <w:bCs/>
              <w:color w:val="FFFFFF"/>
              <w:sz w:val="22"/>
              <w:szCs w:val="22"/>
            </w:rPr>
            <w:t xml:space="preserve">🦁  EduBoost SA</w:t>
          </w:r>
          <w:r>
            <w:rPr>
              <w:rFonts w:ascii="Calibri" w:cs="Calibri" w:eastAsia="Calibri" w:hAnsi="Calibri"/>
              <w:color w:val="8FB3CC"/>
              <w:sz w:val="18"/>
              <w:szCs w:val="18"/>
            </w:rPr>
            <w:t xml:space="preserve">  —  Implementation Improvement Roadmap</w:t>
          </w:r>
        </w:p>
      </w:tc>
      <w:tc>
        <w:tcPr>
          <w:tcBorders>
            <w:top w:val="none" w:color="FFFFFF" w:sz="0"/>
            <w:left w:val="none" w:color="FFFFFF" w:sz="0"/>
            <w:bottom w:val="none" w:color="FFFFFF" w:sz="0"/>
            <w:right w:val="none" w:color="FFFFFF" w:sz="0"/>
          </w:tcBorders>
          <w:shd w:fill="1A252F" w:val="clear"/>
          <w:tcMar>
            <w:top w:type="dxa" w:w="80"/>
            <w:left w:type="dxa" w:w="160"/>
            <w:bottom w:type="dxa" w:w="80"/>
            <w:right w:type="dxa" w:w="160"/>
          </w:tcMar>
        </w:tcPr>
        <w:p>
          <w:pPr>
            <w:jc w:val="right"/>
          </w:pPr>
          <w:r>
            <w:rPr>
              <w:rFonts w:ascii="Calibri" w:cs="Calibri" w:eastAsia="Calibri" w:hAnsi="Calibri"/>
              <w:color w:val="8FB3CC"/>
              <w:sz w:val="18"/>
              <w:szCs w:val="18"/>
            </w:rPr>
            <w:t xml:space="preserve">v2.0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C2833"/>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2026-04-25T03:12:11.490Z</dcterms:created>
  <dcterms:modified xsi:type="dcterms:W3CDTF">2026-04-25T03:12:11.491Z</dcterms:modified>
</cp:coreProperties>
</file>

<file path=docProps/custom.xml><?xml version="1.0" encoding="utf-8"?>
<Properties xmlns="http://schemas.openxmlformats.org/officeDocument/2006/custom-properties" xmlns:vt="http://schemas.openxmlformats.org/officeDocument/2006/docPropsVTypes"/>
</file>