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497D"/>
          <w:sz w:val="40"/>
        </w:rPr>
        <w:t>BÁO CÁO PHÂN TÍCH &amp; DỰ BÁO PHẠM VI SPRINT 6</w:t>
      </w:r>
    </w:p>
    <w:p>
      <w:pPr>
        <w:spacing w:after="360"/>
      </w:pPr>
      <w:r>
        <w:rPr>
          <w:i/>
          <w:color w:val="595959"/>
          <w:sz w:val="24"/>
        </w:rPr>
        <w:t>Dự án RikkeiGo | Vai trò: Vy (Developer) &amp; Lan (Scrum Master)</w:t>
      </w:r>
    </w:p>
    <w:p>
      <w:pPr>
        <w:pStyle w:val="Heading1"/>
        <w:spacing w:before="280" w:after="120"/>
      </w:pPr>
      <w:r>
        <w:rPr>
          <w:color w:val="1F497D"/>
        </w:rPr>
        <w:t>1. Bối cảnh &amp; Tiền đề Phân tích Dữ liệu</w:t>
      </w:r>
    </w:p>
    <w:p>
      <w:pPr>
        <w:spacing w:after="120"/>
      </w:pPr>
      <w:r>
        <w:t>Trước khi bước vào buổi Sprint Planning Sprint 6, đội phát triển thực hiện rà soát các chỉ số lịch sử và các yếu tố thay đổi môi trường làm việc:</w:t>
      </w:r>
    </w:p>
    <w:p>
      <w:pPr>
        <w:pStyle w:val="ListBullet"/>
        <w:spacing w:after="80"/>
      </w:pPr>
      <w:r>
        <w:rPr>
          <w:b/>
        </w:rPr>
        <w:t xml:space="preserve">Lịch sử Velocity (5 Sprint gần nhất): </w:t>
      </w:r>
      <w:r>
        <w:t>18, 20, 19, 15, 13 SP. Average Velocity đạt 17 SP. Biên độ dao động (Velocity Range) từ 13 – 20 SP với xu hướng giảm dần qua 2 Sprint gần đây.</w:t>
      </w:r>
    </w:p>
    <w:p>
      <w:pPr>
        <w:pStyle w:val="ListBullet"/>
        <w:spacing w:after="80"/>
      </w:pPr>
      <w:r>
        <w:rPr>
          <w:b/>
        </w:rPr>
        <w:t xml:space="preserve">Biến động Capacity: </w:t>
      </w:r>
      <w:r>
        <w:t>Tổng Capacity khả dụng giảm từ 212 giờ (Sprint 5) xuống 186 giờ (Sprint 6), tương ứng giảm 12.3%. Nguyên nhân do Khoa chuyển dự án, Minh là nhân sự mới (chỉ khả dụng ~50% thời gian do onboarding), và Hà nghỉ phép 3 ngày.</w:t>
      </w:r>
    </w:p>
    <w:p>
      <w:pPr>
        <w:pStyle w:val="ListBullet"/>
        <w:spacing w:after="80"/>
      </w:pPr>
      <w:r>
        <w:rPr>
          <w:b/>
        </w:rPr>
        <w:t xml:space="preserve">Sàng lọc Definition of Ready (DoR): </w:t>
      </w:r>
      <w:r>
        <w:t>PBI 2 ('Theo dõi vị trí tài xế trên bản đồ' - 13 SP) có dung lượng quá lớn và đặc biệt chưa có Acceptance Criteria cho trường hợp mất tín hiệu GPS. Hạng mục này vi phạm DoR và chứa rủi ro tắc nghẽn nghiêm trọng, cần hoàn thiện thêm trước khi đưa vào Sprint.</w:t>
      </w:r>
    </w:p>
    <w:p>
      <w:pPr>
        <w:pStyle w:val="ListBullet"/>
        <w:spacing w:after="80"/>
      </w:pPr>
      <w:r>
        <w:rPr>
          <w:b/>
        </w:rPr>
        <w:t xml:space="preserve">Nguyên tắc Agile cốt lõi: </w:t>
      </w:r>
      <w:r>
        <w:t>Velocity là thước đo quá khứ dùng cho mục đích dự báo và phản ánh năng lực thực tế, tuyệt đối không dùng làm KPI hay chỉ tiêu ép tăng trưởng.</w:t>
      </w:r>
    </w:p>
    <w:p>
      <w:pPr>
        <w:pStyle w:val="Heading1"/>
        <w:spacing w:before="280" w:after="120"/>
      </w:pPr>
      <w:r>
        <w:rPr>
          <w:color w:val="1F497D"/>
        </w:rPr>
        <w:t>2. Đề xuất 2 Cách Dự báo Phạm vi Sprint 6</w:t>
      </w:r>
    </w:p>
    <w:p>
      <w:pPr>
        <w:spacing w:before="80" w:after="60"/>
      </w:pPr>
      <w:r>
        <w:rPr>
          <w:b/>
          <w:color w:val="1F497D"/>
        </w:rPr>
        <w:t>Phương án A: Dự báo Thận trọng theo Velocity Range &amp; Chiết giảm Capacity (13 SP)</w:t>
      </w:r>
    </w:p>
    <w:p>
      <w:pPr>
        <w:spacing w:after="120"/>
      </w:pPr>
      <w:r>
        <w:t>• Bản chất: Dự báo dựa trên cận dưới an toàn của lịch sử kết hợp hệ số sụt giảm Capacity thực tế. Đội lấy mức Velocity Sprint gần nhất (13 SP) làm mốc cơ sở, phản ánh tình trạng xáo trộn nhân sự và tạo vùng đệm an toàn (buffer) cho việc hỗ trợ thành viên mới hòa nhập.</w:t>
        <w:br/>
        <w:t>• Công thức tham chiếu: Dự báo ≈ 13 × (186 / 212) ≈ 11.4 → Làm tròn và chọn ngưỡng cận dưới an toàn: 13 SP.</w:t>
        <w:br/>
        <w:t>• Con số dự báo: 13 SP</w:t>
        <w:br/>
        <w:t>• Danh sách PBI chọn (Tổng 13 SP):</w:t>
        <w:br/>
        <w:t xml:space="preserve">   1. PBI 1: Hẹn giờ đặt xe trước (5 SP) — AC đầy đủ.</w:t>
        <w:br/>
        <w:t xml:space="preserve">   2. PBI 3: Gửi SMS khi tài xế sắp đến (3 SP) — Hợp đồng SMS đã ký.</w:t>
        <w:br/>
        <w:t xml:space="preserve">   3. PBI 4: Chat với tài xế (5 SP) — AC đầy đủ.</w:t>
        <w:br/>
        <w:t xml:space="preserve">   (Loại trừ PBI 2 do thiếu AC; loại trừ PBI 5 do không nằm trong mạch mục tiêu chờ xe).</w:t>
      </w:r>
    </w:p>
    <w:p>
      <w:pPr>
        <w:spacing w:before="80" w:after="60"/>
      </w:pPr>
      <w:r>
        <w:rPr>
          <w:b/>
          <w:color w:val="1F497D"/>
        </w:rPr>
        <w:t>Phương án B: Dự báo theo Average Velocity có Điều chỉnh Capacity (15 SP)</w:t>
      </w:r>
    </w:p>
    <w:p>
      <w:pPr>
        <w:spacing w:after="120"/>
      </w:pPr>
      <w:r>
        <w:t>• Bản chất: Sử dụng Average Velocity 5 Sprint (17 SP) làm chuẩn mực năng lực trung bình dài hạn, sau đó chiết giảm cơ học theo tỷ lệ suy giảm của Capacity Sprint 6 (~12.3%).</w:t>
        <w:br/>
        <w:t>• Công thức tham chiếu: Dự báo ≈ 17 × (1 - 0.123) ≈ 14.9 → Quy đổi thành 15 SP.</w:t>
        <w:br/>
        <w:t>• Con số dự báo: 15 SP</w:t>
        <w:br/>
        <w:t>• Danh sách PBI chọn (Tổng 15 SP):</w:t>
        <w:br/>
        <w:t xml:space="preserve">   1. PBI 1: Hẹn giờ đặt xe trước (5 SP)</w:t>
        <w:br/>
        <w:t xml:space="preserve">   2. PBI 3: Gửi SMS khi tài xế sắp đến (3 SP)</w:t>
        <w:br/>
        <w:t xml:space="preserve">   3. PBI 4: Chat với tài xế (5 SP)</w:t>
        <w:br/>
        <w:t xml:space="preserve">   4. PBI 5: Giao diện chủ đề Tết (2 SP) — Chọn thêm để làm đầy hạn mức 15 SP.</w:t>
      </w:r>
    </w:p>
    <w:p>
      <w:pPr>
        <w:pStyle w:val="Heading1"/>
        <w:spacing w:before="280" w:after="120"/>
      </w:pPr>
      <w:r>
        <w:rPr>
          <w:color w:val="1F497D"/>
        </w:rPr>
        <w:t>3. Bảng So sánh Chi tiết Hai Phương án</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3120"/>
        <w:gridCol w:w="3120"/>
        <w:gridCol w:w="3120"/>
      </w:tblGrid>
      <w:tr>
        <w:tc>
          <w:tcPr>
            <w:tcW w:type="dxa" w:w="2592"/>
            <w:shd w:fill="1F497D"/>
            <w:tcMar>
              <w:top w:w="120" w:type="dxa"/>
              <w:bottom w:w="120" w:type="dxa"/>
              <w:left w:w="150" w:type="dxa"/>
              <w:right w:w="150" w:type="dxa"/>
            </w:tcMar>
          </w:tcPr>
          <w:p>
            <w:pPr>
              <w:jc w:val="center"/>
            </w:pPr>
            <w:r>
              <w:rPr>
                <w:b/>
                <w:color w:val="FFFFFF"/>
                <w:sz w:val="20"/>
              </w:rPr>
              <w:t>Tiêu chí đánh giá</w:t>
            </w:r>
          </w:p>
        </w:tc>
        <w:tc>
          <w:tcPr>
            <w:tcW w:type="dxa" w:w="3384"/>
            <w:shd w:fill="1F497D"/>
            <w:tcMar>
              <w:top w:w="120" w:type="dxa"/>
              <w:bottom w:w="120" w:type="dxa"/>
              <w:left w:w="150" w:type="dxa"/>
              <w:right w:w="150" w:type="dxa"/>
            </w:tcMar>
          </w:tcPr>
          <w:p>
            <w:pPr>
              <w:jc w:val="center"/>
            </w:pPr>
            <w:r>
              <w:rPr>
                <w:b/>
                <w:color w:val="FFFFFF"/>
                <w:sz w:val="20"/>
              </w:rPr>
              <w:t>Phương án A (Thận trọng - 13 SP)</w:t>
            </w:r>
          </w:p>
        </w:tc>
        <w:tc>
          <w:tcPr>
            <w:tcW w:type="dxa" w:w="3384"/>
            <w:shd w:fill="1F497D"/>
            <w:tcMar>
              <w:top w:w="120" w:type="dxa"/>
              <w:bottom w:w="120" w:type="dxa"/>
              <w:left w:w="150" w:type="dxa"/>
              <w:right w:w="150" w:type="dxa"/>
            </w:tcMar>
          </w:tcPr>
          <w:p>
            <w:pPr>
              <w:jc w:val="center"/>
            </w:pPr>
            <w:r>
              <w:rPr>
                <w:b/>
                <w:color w:val="FFFFFF"/>
                <w:sz w:val="20"/>
              </w:rPr>
              <w:t>Phương án B (Trung bình - 15 SP)</w:t>
            </w:r>
          </w:p>
        </w:tc>
      </w:tr>
      <w:tr>
        <w:tc>
          <w:tcPr>
            <w:tcW w:type="dxa" w:w="2592"/>
            <w:tcMar>
              <w:top w:w="100" w:type="dxa"/>
              <w:bottom w:w="100" w:type="dxa"/>
              <w:left w:w="120" w:type="dxa"/>
              <w:right w:w="120" w:type="dxa"/>
            </w:tcMar>
            <w:shd w:fill="F2F5F9"/>
          </w:tcPr>
          <w:p>
            <w:r>
              <w:rPr>
                <w:b/>
                <w:sz w:val="19"/>
              </w:rPr>
              <w:t>Phản ánh thay đổi Capacity</w:t>
            </w:r>
          </w:p>
        </w:tc>
        <w:tc>
          <w:tcPr>
            <w:tcW w:type="dxa" w:w="3384"/>
            <w:tcMar>
              <w:top w:w="100" w:type="dxa"/>
              <w:bottom w:w="100" w:type="dxa"/>
              <w:left w:w="120" w:type="dxa"/>
              <w:right w:w="120" w:type="dxa"/>
            </w:tcMar>
            <w:shd w:fill="F2F5F9"/>
          </w:tcPr>
          <w:p>
            <w:r>
              <w:rPr>
                <w:sz w:val="19"/>
              </w:rPr>
              <w:t>(+) Ưu điểm: Phản ánh thực chất sự suy giảm năng lực thực tế; tạo vùng đệm an toàn để kèm cặp Minh và bù trừ 3 ngày vắng mặt của Hà.</w:t>
            </w:r>
          </w:p>
        </w:tc>
        <w:tc>
          <w:tcPr>
            <w:tcW w:type="dxa" w:w="3384"/>
            <w:tcMar>
              <w:top w:w="100" w:type="dxa"/>
              <w:bottom w:w="100" w:type="dxa"/>
              <w:left w:w="120" w:type="dxa"/>
              <w:right w:w="120" w:type="dxa"/>
            </w:tcMar>
            <w:shd w:fill="F2F5F9"/>
          </w:tcPr>
          <w:p>
            <w:r>
              <w:rPr>
                <w:sz w:val="19"/>
              </w:rPr>
              <w:t>(–) Nhược điểm: Chỉ tính sụt giảm giờ công thuần túy, chưa phản ánh chi phí cơ hội và thời gian kèm cặp nhân sự mới làm quen quy trình.</w:t>
            </w:r>
          </w:p>
        </w:tc>
      </w:tr>
      <w:tr>
        <w:tc>
          <w:tcPr>
            <w:tcW w:type="dxa" w:w="2592"/>
            <w:tcMar>
              <w:top w:w="100" w:type="dxa"/>
              <w:bottom w:w="100" w:type="dxa"/>
              <w:left w:w="120" w:type="dxa"/>
              <w:right w:w="120" w:type="dxa"/>
            </w:tcMar>
          </w:tcPr>
          <w:p>
            <w:r>
              <w:rPr>
                <w:b/>
                <w:sz w:val="19"/>
              </w:rPr>
              <w:t>Bảo vệ Sprint Goal</w:t>
            </w:r>
          </w:p>
        </w:tc>
        <w:tc>
          <w:tcPr>
            <w:tcW w:type="dxa" w:w="3384"/>
            <w:tcMar>
              <w:top w:w="100" w:type="dxa"/>
              <w:bottom w:w="100" w:type="dxa"/>
              <w:left w:w="120" w:type="dxa"/>
              <w:right w:w="120" w:type="dxa"/>
            </w:tcMar>
          </w:tcPr>
          <w:p>
            <w:r>
              <w:rPr>
                <w:sz w:val="19"/>
              </w:rPr>
              <w:t>(+) Ưu điểm: Tập trung 100% nguồn lực vào 3 tính năng chủ chốt hỗ trợ khách chờ xe; loại bỏ phân mảnh phạm vi, đảm bảo khả năng Done cao.</w:t>
            </w:r>
          </w:p>
        </w:tc>
        <w:tc>
          <w:tcPr>
            <w:tcW w:type="dxa" w:w="3384"/>
            <w:tcMar>
              <w:top w:w="100" w:type="dxa"/>
              <w:bottom w:w="100" w:type="dxa"/>
              <w:left w:w="120" w:type="dxa"/>
              <w:right w:w="120" w:type="dxa"/>
            </w:tcMar>
          </w:tcPr>
          <w:p>
            <w:r>
              <w:rPr>
                <w:sz w:val="19"/>
              </w:rPr>
              <w:t>(–) Nhược điểm: Phải ôm thêm PBI 5 (Giao diện Tết) để vừa vặn 15 SP, khiến nỗ lực bị phân tán khỏi mục tiêu nghiệp vụ chính.</w:t>
            </w:r>
          </w:p>
        </w:tc>
      </w:tr>
      <w:tr>
        <w:tc>
          <w:tcPr>
            <w:tcW w:type="dxa" w:w="2592"/>
            <w:tcMar>
              <w:top w:w="100" w:type="dxa"/>
              <w:bottom w:w="100" w:type="dxa"/>
              <w:left w:w="120" w:type="dxa"/>
              <w:right w:w="120" w:type="dxa"/>
            </w:tcMar>
            <w:shd w:fill="F2F5F9"/>
          </w:tcPr>
          <w:p>
            <w:r>
              <w:rPr>
                <w:b/>
                <w:sz w:val="19"/>
              </w:rPr>
              <w:t>Dễ giải thích với Product Owner</w:t>
            </w:r>
          </w:p>
        </w:tc>
        <w:tc>
          <w:tcPr>
            <w:tcW w:type="dxa" w:w="3384"/>
            <w:tcMar>
              <w:top w:w="100" w:type="dxa"/>
              <w:bottom w:w="100" w:type="dxa"/>
              <w:left w:w="120" w:type="dxa"/>
              <w:right w:w="120" w:type="dxa"/>
            </w:tcMar>
            <w:shd w:fill="F2F5F9"/>
          </w:tcPr>
          <w:p>
            <w:r>
              <w:rPr>
                <w:sz w:val="19"/>
              </w:rPr>
              <w:t>(+) Ưu điểm: Rất thuyết phục vì dựa trên mốc thực tế Sprint 5 (13 SP) và chỉ ra rõ rủi ro kỹ thuật chưa sẵn sàng của PBI 2.</w:t>
            </w:r>
          </w:p>
        </w:tc>
        <w:tc>
          <w:tcPr>
            <w:tcW w:type="dxa" w:w="3384"/>
            <w:tcMar>
              <w:top w:w="100" w:type="dxa"/>
              <w:bottom w:w="100" w:type="dxa"/>
              <w:left w:w="120" w:type="dxa"/>
              <w:right w:w="120" w:type="dxa"/>
            </w:tcMar>
            <w:shd w:fill="F2F5F9"/>
          </w:tcPr>
          <w:p>
            <w:r>
              <w:rPr>
                <w:sz w:val="19"/>
              </w:rPr>
              <w:t>(–) Nhược điểm: Khó bảo vệ trước PO khi 2 Sprint gần nhất chỉ đạt 15 và 13 SP; cam kết 15 SP trong bối cảnh thiếu hụt nhân lực dễ bị coi là mạo hiểm.</w:t>
            </w:r>
          </w:p>
        </w:tc>
      </w:tr>
    </w:tbl>
    <w:p>
      <w:pPr>
        <w:spacing w:after="80"/>
      </w:pPr>
    </w:p>
    <w:p>
      <w:pPr>
        <w:pStyle w:val="Heading1"/>
        <w:spacing w:before="280" w:after="120"/>
      </w:pPr>
      <w:r>
        <w:rPr>
          <w:color w:val="1F497D"/>
        </w:rPr>
        <w:t>4. Lựa chọn Phương án &amp; Chuẩn bị Sprint Planning</w:t>
      </w:r>
    </w:p>
    <w:p>
      <w:pPr>
        <w:spacing w:after="120"/>
      </w:pPr>
      <w:r>
        <w:rPr>
          <w:b/>
        </w:rPr>
        <w:t xml:space="preserve">Quyết định lựa chọn: </w:t>
      </w:r>
      <w:r>
        <w:t xml:space="preserve">Đội kỹ thuật đồng thuận chọn </w:t>
      </w:r>
      <w:r>
        <w:rPr>
          <w:b/>
        </w:rPr>
        <w:t>Phương án A (13 Story Points)</w:t>
      </w:r>
      <w:r>
        <w:t xml:space="preserve"> dựa trên các căn cứ cốt lõi:</w:t>
      </w:r>
    </w:p>
    <w:p>
      <w:pPr>
        <w:pStyle w:val="ListBullet"/>
        <w:spacing w:after="60"/>
      </w:pPr>
      <w:r>
        <w:rPr>
          <w:b/>
        </w:rPr>
        <w:t xml:space="preserve">Bảo toàn cam kết chất lượng: </w:t>
      </w:r>
      <w:r>
        <w:t>Đảm bảo chỉ nhận công việc phù hợp với Capacity 186 giờ và hỗ trợ Minh hòa nhập tốt mà không phải đánh đổi bằng OT hay nợ kỹ thuật.</w:t>
      </w:r>
    </w:p>
    <w:p>
      <w:pPr>
        <w:pStyle w:val="ListBullet"/>
        <w:spacing w:after="60"/>
      </w:pPr>
      <w:r>
        <w:rPr>
          <w:b/>
        </w:rPr>
        <w:t xml:space="preserve">Kiên định với Definition of Ready: </w:t>
      </w:r>
      <w:r>
        <w:t>Kiên quyết loại bỏ PBI 2 (13 SP) khỏi Sprint vì chưa có Acceptance Criteria cho trường hợp mất tín hiệu GPS, tránh bẫy PBI dang dở lặp lại như Sprint 5.</w:t>
      </w:r>
    </w:p>
    <w:p>
      <w:pPr>
        <w:pStyle w:val="ListBullet"/>
        <w:spacing w:after="60"/>
      </w:pPr>
      <w:r>
        <w:rPr>
          <w:b/>
        </w:rPr>
        <w:t xml:space="preserve">Tập trung vào giá trị bàn giao: </w:t>
      </w:r>
      <w:r>
        <w:t>Cả 3 hạng mục được chọn đều giải quyết trực diện bài toán trải nghiệm khách hàng khi chờ đợi.</w:t>
      </w:r>
    </w:p>
    <w:tbl>
      <w:tblPr>
        <w:tblW w:type="auto" w:w="0"/>
        <w:jc w:val="center"/>
        <w:tblLook w:firstColumn="1" w:firstRow="1" w:lastColumn="0" w:lastRow="0" w:noHBand="0" w:noVBand="1" w:val="04A0"/>
      </w:tblPr>
      <w:tblGrid>
        <w:gridCol w:w="9360"/>
      </w:tblGrid>
      <w:tr>
        <w:tc>
          <w:tcPr>
            <w:tcW w:type="dxa" w:w="9360"/>
            <w:shd w:fill="EBF1F5"/>
            <w:tcMar>
              <w:top w:w="140" w:type="dxa"/>
              <w:bottom w:w="140" w:type="dxa"/>
              <w:left w:w="180" w:type="dxa"/>
              <w:right w:w="180" w:type="dxa"/>
            </w:tcMar>
          </w:tcPr>
          <w:p>
            <w:pPr>
              <w:spacing w:after="80"/>
            </w:pPr>
            <w:r>
              <w:rPr>
                <w:b/>
                <w:color w:val="1F497D"/>
              </w:rPr>
              <w:t>SPRINT GOAL ĐỀ XUẤT (SPRINT 6):</w:t>
            </w:r>
          </w:p>
          <w:p>
            <w:pPr>
              <w:spacing w:after="0"/>
            </w:pPr>
            <w:r>
              <w:rPr>
                <w:b/>
                <w:i/>
              </w:rPr>
              <w:t>“Giúp hành khách chủ động nắm bắt thông tin và tương tác trực tiếp với tài xế trong suốt thời gian chờ đón xe.”</w:t>
            </w:r>
          </w:p>
        </w:tc>
      </w:tr>
    </w:tbl>
    <w:p>
      <w:pPr>
        <w:spacing w:after="80"/>
      </w:pPr>
    </w:p>
    <w:p>
      <w:pPr>
        <w:spacing w:after="80"/>
      </w:pPr>
      <w:r>
        <w:rPr>
          <w:b/>
        </w:rPr>
        <w:t>Danh mục PBI dự kiến cho Sprint 6 (Tổng: 13 SP):</w:t>
      </w:r>
    </w:p>
    <w:p>
      <w:pPr>
        <w:pStyle w:val="ListBullet"/>
        <w:spacing w:after="40"/>
      </w:pPr>
      <w:r>
        <w:rPr>
          <w:b/>
        </w:rPr>
        <w:t>PBI 1: Hẹn giờ đặt xe trước (5 SP)</w:t>
      </w:r>
      <w:r>
        <w:t xml:space="preserve"> — Acceptance Criteria đầy đủ.</w:t>
      </w:r>
    </w:p>
    <w:p>
      <w:pPr>
        <w:pStyle w:val="ListBullet"/>
        <w:spacing w:after="40"/>
      </w:pPr>
      <w:r>
        <w:rPr>
          <w:b/>
        </w:rPr>
        <w:t>PBI 3: Gửi SMS khi tài xế sắp đến (3 SP)</w:t>
      </w:r>
      <w:r>
        <w:t xml:space="preserve"> — Hợp đồng SMS đã ký.</w:t>
      </w:r>
    </w:p>
    <w:p>
      <w:pPr>
        <w:pStyle w:val="ListBullet"/>
        <w:spacing w:after="40"/>
      </w:pPr>
      <w:r>
        <w:rPr>
          <w:b/>
        </w:rPr>
        <w:t>PBI 4: Chat với tài xế (5 SP)</w:t>
      </w:r>
      <w:r>
        <w:t xml:space="preserve"> — Acceptance Criteria đầy đủ.</w:t>
      </w:r>
    </w:p>
    <w:p>
      <w:pPr>
        <w:pStyle w:val="Heading1"/>
        <w:spacing w:before="280" w:after="120"/>
      </w:pPr>
      <w:r>
        <w:rPr>
          <w:color w:val="1F497D"/>
        </w:rPr>
        <w:t>5. Phản hồi Đề nghị 20 SP từ Quản lý Dự án</w:t>
      </w:r>
    </w:p>
    <w:tbl>
      <w:tblPr>
        <w:tblW w:type="auto" w:w="0"/>
        <w:jc w:val="center"/>
        <w:tblLook w:firstColumn="1" w:firstRow="1" w:lastColumn="0" w:lastRow="0" w:noHBand="0" w:noVBand="1" w:val="04A0"/>
      </w:tblPr>
      <w:tblGrid>
        <w:gridCol w:w="9360"/>
      </w:tblGrid>
      <w:tr>
        <w:tc>
          <w:tcPr>
            <w:tcW w:type="dxa" w:w="9360"/>
            <w:shd w:fill="F9F9F9"/>
            <w:tcMar>
              <w:top w:w="140" w:type="dxa"/>
              <w:bottom w:w="140" w:type="dxa"/>
              <w:left w:w="180" w:type="dxa"/>
              <w:right w:w="180" w:type="dxa"/>
            </w:tcMar>
          </w:tcPr>
          <w:p>
            <w:pPr>
              <w:spacing w:after="0"/>
            </w:pPr>
            <w:r>
              <w:rPr>
                <w:i/>
                <w:color w:val="333333"/>
              </w:rPr>
              <w:t>“Chào anh, Velocity là thước đo năng lực trong quá khứ dùng để hỗ trợ đội dự báo phạm vi công việc, không phải là chỉ tiêu KPI ép tăng trưởng. Hiện tại Capacity của đội giảm xuống 186 giờ do biến động nhân sự, đồng thời PBI bản đồ 13 SP chưa đủ điều kiện sẵn sàng (thiếu Acceptance Criteria GPS) nên việc nhận 20 SP sẽ dẫn đến nguy cơ tồn đọng nợ kỹ thuật và vỡ Sprint Goal. Đội thống nhất dự báo 13 SP cho các hạng mục đã hoàn thiện yêu cầu để vừa đảm bảo bàn giao tính năng có giá trị sử dụng thật, vừa giúp thành viên mới hòa nhập tốt vào dự án.”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