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SƠ ĐỒ USE CASE</w:t>
      </w:r>
    </w:p>
    <w:p>
      <w:pPr>
        <w:spacing w:after="360"/>
        <w:jc w:val="center"/>
      </w:pPr>
      <w:r>
        <w:rPr>
          <w:i/>
          <w:iCs/>
          <w:sz w:val="26"/>
          <w:szCs w:val="26"/>
        </w:rPr>
        <w:t xml:space="preserve">Ứng dụng quản lý gói đăng ký định kỳ – SubTrack</w:t>
      </w:r>
    </w:p>
    <w:p>
      <w:pPr>
        <w:pStyle w:val="Heading1"/>
      </w:pPr>
      <w:r>
        <w:t xml:space="preserve">1. Các tác nhân (Actor)</w:t>
      </w:r>
    </w:p>
    <w:tbl>
      <w:tblPr>
        <w:tblW w:type="pct" w:w="5000"/>
        <w:tblBorders>
          <w:top w:val="single" w:color="6B6491" w:sz="4"/>
          <w:left w:val="single" w:color="6B6491" w:sz="4"/>
          <w:bottom w:val="single" w:color="6B6491" w:sz="4"/>
          <w:right w:val="single" w:color="6B6491" w:sz="4"/>
          <w:insideH w:val="single" w:color="6B6491" w:sz="4"/>
          <w:insideV w:val="single" w:color="6B6491" w:sz="4"/>
        </w:tblBorders>
      </w:tblPr>
      <w:tblGrid>
        <w:gridCol w:w="2120"/>
        <w:gridCol w:w="1735"/>
        <w:gridCol w:w="5783"/>
      </w:tblGrid>
      <w:tr>
        <w:trPr>
          <w:tblHeader/>
        </w:trPr>
        <w:tc>
          <w:tcPr>
            <w:tcW w:type="pct" w:w="1100"/>
            <w:shd w:fill="E6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Tác nhân</w:t>
            </w:r>
          </w:p>
        </w:tc>
        <w:tc>
          <w:tcPr>
            <w:tcW w:type="pct" w:w="900"/>
            <w:shd w:fill="E6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Loại</w:t>
            </w:r>
          </w:p>
        </w:tc>
        <w:tc>
          <w:tcPr>
            <w:tcW w:type="pct" w:w="3000"/>
            <w:shd w:fill="E6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Tác nhân chính</w:t>
            </w:r>
          </w:p>
        </w:tc>
        <w:tc>
          <w:tcPr>
            <w:tcW w:type="pct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Người quản lý các gói đăng ký của mình: thêm, sửa, xóa, tìm kiếm, xem thống kê và nhắc hạn.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Firebase Auth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Hệ thống ngoài</w:t>
            </w:r>
          </w:p>
        </w:tc>
        <w:tc>
          <w:tcPr>
            <w:tcW w:type="pct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Dịch vụ xác thực tài khoản (chỉ dùng khi triển khai chức năng đăng ký/đăng nhập).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Hệ thống thông báo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Hệ thống ngoài</w:t>
            </w:r>
          </w:p>
        </w:tc>
        <w:tc>
          <w:tcPr>
            <w:tcW w:type="pct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Dịch vụ thông báo cục bộ của Android/iOS, hiển thị nhắc hạn thanh toán cho người dùng.</w:t>
            </w:r>
          </w:p>
        </w:tc>
      </w:tr>
    </w:tbl>
    <w:p>
      <w:pPr>
        <w:pStyle w:val="Heading1"/>
        <w:spacing w:before="360"/>
      </w:pPr>
      <w:r>
        <w:t xml:space="preserve">2. Sơ đồ Use Case tổng quát</w:t>
      </w:r>
    </w:p>
    <w:p>
      <w:pPr>
        <w:jc w:val="center"/>
      </w:pPr>
      <w:r>
        <w:drawing>
          <wp:inline distT="0" distB="0" distL="0" distR="0">
            <wp:extent cx="5905500" cy="4410075"/>
            <wp:effectExtent t="0" r="0" b="0" l="0"/>
            <wp:docPr id="1" name="usecase" descr="Sơ đồ Use Case tổng quát của ứng dụng SubTrack" title="Sơ đồ Use 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sz w:val="22"/>
          <w:szCs w:val="22"/>
        </w:rPr>
        <w:t xml:space="preserve">Hình 1. Sơ đồ Use Case tổng quát của ứng dụng SubTrack</w:t>
      </w:r>
    </w:p>
    <w:p>
      <w:pPr>
        <w:spacing w:after="80"/>
      </w:pPr>
      <w:r>
        <w:rPr>
          <w:sz w:val="22"/>
          <w:szCs w:val="22"/>
        </w:rPr>
        <w:t xml:space="preserve">Ghi chú: Use Case viền liền là chức năng chính (MVP); viền nét đứt là chức năng mở rộng làm nếu còn thời gian. «include» là chức năng luôn được gọi kèm; «extend» là chức năng bổ sung tùy chọn.</w:t>
      </w:r>
    </w:p>
    <w:p>
      <w:pPr>
        <w:pStyle w:val="Heading1"/>
        <w:spacing w:before="360"/>
      </w:pPr>
      <w:r>
        <w:t xml:space="preserve">3. Danh sách Use Case</w:t>
      </w:r>
    </w:p>
    <w:tbl>
      <w:tblPr>
        <w:tblW w:type="pct" w:w="5000"/>
        <w:tblBorders>
          <w:top w:val="single" w:color="6B6491" w:sz="4"/>
          <w:left w:val="single" w:color="6B6491" w:sz="4"/>
          <w:bottom w:val="single" w:color="6B6491" w:sz="4"/>
          <w:right w:val="single" w:color="6B6491" w:sz="4"/>
          <w:insideH w:val="single" w:color="6B6491" w:sz="4"/>
          <w:insideV w:val="single" w:color="6B6491" w:sz="4"/>
        </w:tblBorders>
      </w:tblPr>
      <w:tblGrid>
        <w:gridCol w:w="867"/>
        <w:gridCol w:w="2313"/>
        <w:gridCol w:w="1928"/>
        <w:gridCol w:w="1060"/>
        <w:gridCol w:w="3470"/>
      </w:tblGrid>
      <w:tr>
        <w:trPr>
          <w:tblHeader/>
        </w:trPr>
        <w:tc>
          <w:tcPr>
            <w:tcW w:type="pct" w:w="450"/>
            <w:shd w:fill="E6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Mã</w:t>
            </w:r>
          </w:p>
        </w:tc>
        <w:tc>
          <w:tcPr>
            <w:tcW w:type="pct" w:w="1200"/>
            <w:shd w:fill="E6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Tên Use Case</w:t>
            </w:r>
          </w:p>
        </w:tc>
        <w:tc>
          <w:tcPr>
            <w:tcW w:type="pct" w:w="1000"/>
            <w:shd w:fill="E6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Tác nhân</w:t>
            </w:r>
          </w:p>
        </w:tc>
        <w:tc>
          <w:tcPr>
            <w:tcW w:type="pct" w:w="550"/>
            <w:shd w:fill="E6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Loại</w:t>
            </w:r>
          </w:p>
        </w:tc>
        <w:tc>
          <w:tcPr>
            <w:tcW w:type="pct" w:w="1800"/>
            <w:shd w:fill="E6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Mô tả ngắn</w:t>
            </w:r>
          </w:p>
        </w:tc>
      </w:tr>
      <w:tr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UC01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Đăng ký / Đăng nhập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Người dùng, Firebase Auth</w:t>
            </w:r>
          </w:p>
        </w:tc>
        <w:tc>
          <w:tcPr>
            <w:tcW w:type="pct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Mở rộng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Tạo tài khoản, đăng nhập để mỗi người chỉ thấy dữ liệu của mình.</w:t>
            </w:r>
          </w:p>
        </w:tc>
      </w:tr>
      <w:tr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UC02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Xem Dashboard tổng quan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W w:type="pct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Chính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Xem tổng số gói, chi phí tháng ước tính, khoản sắp đến hạn, gói gần nhất.</w:t>
            </w:r>
          </w:p>
        </w:tc>
      </w:tr>
      <w:tr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UC03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Thêm gói đăng ký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W w:type="pct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Chính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Nhập thông tin gói mới và lưu vào database.</w:t>
            </w:r>
          </w:p>
        </w:tc>
      </w:tr>
      <w:tr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UC04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Xem chi tiết gói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W w:type="pct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Chính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Xem đầy đủ thông tin một gói đăng ký.</w:t>
            </w:r>
          </w:p>
        </w:tc>
      </w:tr>
      <w:tr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UC05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Sửa gói đăng ký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W w:type="pct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Chính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Cập nhật thông tin của gói đã có.</w:t>
            </w:r>
          </w:p>
        </w:tc>
      </w:tr>
      <w:tr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UC06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Xóa gói đăng ký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W w:type="pct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Chính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Xóa gói sau khi người dùng xác nhận.</w:t>
            </w:r>
          </w:p>
        </w:tc>
      </w:tr>
      <w:tr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UC07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Tìm kiếm, lọc, sắp xếp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W w:type="pct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Chính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Tìm theo tên; lọc theo danh mục/trạng thái; sắp xếp theo ngày hoặc chi phí.</w:t>
            </w:r>
          </w:p>
        </w:tc>
      </w:tr>
      <w:tr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UC08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Xem thống kê chi phí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W w:type="pct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Chính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Tổng chi phí theo tháng, phân bổ theo danh mục, các gói chi phí cao.</w:t>
            </w:r>
          </w:p>
        </w:tc>
      </w:tr>
      <w:tr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UC09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Xem khoản sắp đến hạn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W w:type="pct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Chính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Danh sách các gói sắp tới ngày thanh toán.</w:t>
            </w:r>
          </w:p>
        </w:tc>
      </w:tr>
      <w:tr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UC10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Cài đặt thời gian nhắc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W w:type="pct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Mở rộng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Chọn nhắc trước 1, 3 hoặc 7 ngày.</w:t>
            </w:r>
          </w:p>
        </w:tc>
      </w:tr>
      <w:tr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UC11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Đổi trạng thái gói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W w:type="pct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Mở rộng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Đánh dấu gói đang hoạt động, tạm ngưng hoặc đã hủy.</w:t>
            </w:r>
          </w:p>
        </w:tc>
      </w:tr>
      <w:tr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UC12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Xuất CSV / chia sẻ báo cáo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W w:type="pct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Mở rộng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Xuất danh sách gói ra file CSV hoặc chia sẻ báo cáo chi phí.</w:t>
            </w:r>
          </w:p>
        </w:tc>
      </w:tr>
      <w:tr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UC13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Kiểm tra dữ liệu hợp lệ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(được gọi bởi UC03, UC05)</w:t>
            </w:r>
          </w:p>
        </w:tc>
        <w:tc>
          <w:tcPr>
            <w:tcW w:type="pct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Chính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Tên không rỗng, số tiền không âm, ngày hợp lệ, chu kỳ bắt buộc.</w:t>
            </w:r>
          </w:p>
        </w:tc>
      </w:tr>
      <w:tr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UC14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Xem biểu đồ chi phí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W w:type="pct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Mở rộng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Biểu đồ chi phí theo tháng và theo danh mục (mở rộng UC08).</w:t>
            </w:r>
          </w:p>
        </w:tc>
      </w:tr>
      <w:tr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UC15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Gửi thông báo nhắc hạn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Hệ thống thông báo</w:t>
            </w:r>
          </w:p>
        </w:tc>
        <w:tc>
          <w:tcPr>
            <w:tcW w:type="pct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Chính</w:t>
            </w:r>
          </w:p>
        </w:tc>
        <w:tc>
          <w:tcPr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Hiển thị nhắc hạn trong app; thông báo cục bộ nếu đủ thời gian.</w:t>
            </w:r>
          </w:p>
        </w:tc>
      </w:tr>
    </w:tbl>
    <w:p>
      <w:pPr>
        <w:pStyle w:val="Heading1"/>
        <w:spacing w:before="360"/>
      </w:pPr>
      <w:r>
        <w:t xml:space="preserve">4. Đặc tả các Use Case chính</w:t>
      </w:r>
    </w:p>
    <w:p>
      <w:pPr>
        <w:pStyle w:val="Heading2"/>
        <w:spacing w:before="240"/>
      </w:pPr>
      <w:r>
        <w:t xml:space="preserve">UC03 – Thêm gói đăng ký</w:t>
      </w:r>
    </w:p>
    <w:tbl>
      <w:tblPr>
        <w:tblW w:type="pct" w:w="5000"/>
        <w:tblBorders>
          <w:top w:val="single" w:color="6B6491" w:sz="4"/>
          <w:left w:val="single" w:color="6B6491" w:sz="4"/>
          <w:bottom w:val="single" w:color="6B6491" w:sz="4"/>
          <w:right w:val="single" w:color="6B6491" w:sz="4"/>
          <w:insideH w:val="single" w:color="6B6491" w:sz="4"/>
          <w:insideV w:val="single" w:color="6B6491" w:sz="4"/>
        </w:tblBorders>
      </w:tblPr>
      <w:tblGrid>
        <w:gridCol w:w="2506"/>
        <w:gridCol w:w="7132"/>
      </w:tblGrid>
      <w:tr>
        <w:tc>
          <w:tcPr>
            <w:tcW w:type="pct" w:w="1300"/>
            <w:shd w:fill="E6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Tác nhân</w:t>
            </w:r>
          </w:p>
        </w:tc>
        <w:tc>
          <w:tcPr>
            <w:tcW w:type="pct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</w:tr>
      <w:tr>
        <w:tc>
          <w:tcPr>
            <w:tcW w:type="pct" w:w="1300"/>
            <w:shd w:fill="E6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Mô tả</w:t>
            </w:r>
          </w:p>
        </w:tc>
        <w:tc>
          <w:tcPr>
            <w:tcW w:type="pct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Người dùng thêm một gói đăng ký định kỳ mới vào ứng dụng.</w:t>
            </w:r>
          </w:p>
        </w:tc>
      </w:tr>
      <w:tr>
        <w:tc>
          <w:tcPr>
            <w:tcW w:type="pct" w:w="1300"/>
            <w:shd w:fill="E6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Tiền điều kiện</w:t>
            </w:r>
          </w:p>
        </w:tc>
        <w:tc>
          <w:tcPr>
            <w:tcW w:type="pct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Ứng dụng đã mở; người dùng đã đăng nhập (nếu có chức năng tài khoản).</w:t>
            </w:r>
          </w:p>
        </w:tc>
      </w:tr>
      <w:tr>
        <w:tc>
          <w:tcPr>
            <w:tcW w:type="pct" w:w="1300"/>
            <w:shd w:fill="E6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Luồng chính</w:t>
            </w:r>
          </w:p>
        </w:tc>
        <w:tc>
          <w:tcPr>
            <w:tcW w:type="pct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1. Người dùng chọn “Thêm gói đăng ký”.</w:t>
            </w:r>
          </w:p>
          <w:p>
            <w:r>
              <w:rPr>
                <w:b w:val="false"/>
                <w:bCs w:val="false"/>
                <w:sz w:val="22"/>
                <w:szCs w:val="22"/>
              </w:rPr>
              <w:t xml:space="preserve">2. Hệ thống hiển thị form nhập thông tin.</w:t>
            </w:r>
          </w:p>
          <w:p>
            <w:r>
              <w:rPr>
                <w:b w:val="false"/>
                <w:bCs w:val="false"/>
                <w:sz w:val="22"/>
                <w:szCs w:val="22"/>
              </w:rPr>
              <w:t xml:space="preserve">3. Người dùng nhập tên dịch vụ, giá, đơn vị tiền, chu kỳ, ngày thanh toán tiếp theo, danh mục, ghi chú, URL quản lý.</w:t>
            </w:r>
          </w:p>
          <w:p>
            <w:r>
              <w:rPr>
                <w:b w:val="false"/>
                <w:bCs w:val="false"/>
                <w:sz w:val="22"/>
                <w:szCs w:val="22"/>
              </w:rPr>
              <w:t xml:space="preserve">4. Người dùng nhấn “Lưu”.</w:t>
            </w:r>
          </w:p>
          <w:p>
            <w:r>
              <w:rPr>
                <w:b w:val="false"/>
                <w:bCs w:val="false"/>
                <w:sz w:val="22"/>
                <w:szCs w:val="22"/>
              </w:rPr>
              <w:t xml:space="preserve">5. Hệ thống kiểm tra dữ liệu hợp lệ (UC13).</w:t>
            </w:r>
          </w:p>
          <w:p>
            <w:r>
              <w:rPr>
                <w:b w:val="false"/>
                <w:bCs w:val="false"/>
                <w:sz w:val="22"/>
                <w:szCs w:val="22"/>
              </w:rPr>
              <w:t xml:space="preserve">6. Hệ thống lưu bản ghi vào database và quay về danh sách.</w:t>
            </w:r>
          </w:p>
          <w:p>
            <w:r>
              <w:rPr>
                <w:b w:val="false"/>
                <w:bCs w:val="false"/>
                <w:sz w:val="22"/>
                <w:szCs w:val="22"/>
              </w:rPr>
              <w:t xml:space="preserve">7. Danh sách và Dashboard được cập nhật.</w:t>
            </w:r>
          </w:p>
        </w:tc>
      </w:tr>
      <w:tr>
        <w:tc>
          <w:tcPr>
            <w:tcW w:type="pct" w:w="1300"/>
            <w:shd w:fill="E6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Luồng thay thế</w:t>
            </w:r>
          </w:p>
        </w:tc>
        <w:tc>
          <w:tcPr>
            <w:tcW w:type="pct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5a. Dữ liệu không hợp lệ: hệ thống báo lỗi tại trường tương ứng, người dùng sửa và lưu lại.</w:t>
            </w:r>
          </w:p>
          <w:p>
            <w:r>
              <w:rPr>
                <w:b w:val="false"/>
                <w:bCs w:val="false"/>
                <w:sz w:val="22"/>
                <w:szCs w:val="22"/>
              </w:rPr>
              <w:t xml:space="preserve">6a. Lỗi kết nối database: hệ thống thông báo lỗi và giữ nguyên dữ liệu trên form.</w:t>
            </w:r>
          </w:p>
        </w:tc>
      </w:tr>
      <w:tr>
        <w:tc>
          <w:tcPr>
            <w:tcW w:type="pct" w:w="1300"/>
            <w:shd w:fill="E6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Hậu điều kiện</w:t>
            </w:r>
          </w:p>
        </w:tc>
        <w:tc>
          <w:tcPr>
            <w:tcW w:type="pct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Gói mới được lưu và hiển thị trong danh sách.</w:t>
            </w:r>
          </w:p>
        </w:tc>
      </w:tr>
    </w:tbl>
    <w:p>
      <w:pPr>
        <w:pStyle w:val="Heading2"/>
        <w:spacing w:before="240"/>
      </w:pPr>
      <w:r>
        <w:t xml:space="preserve">UC05 – Sửa gói đăng ký</w:t>
      </w:r>
    </w:p>
    <w:tbl>
      <w:tblPr>
        <w:tblW w:type="pct" w:w="5000"/>
        <w:tblBorders>
          <w:top w:val="single" w:color="6B6491" w:sz="4"/>
          <w:left w:val="single" w:color="6B6491" w:sz="4"/>
          <w:bottom w:val="single" w:color="6B6491" w:sz="4"/>
          <w:right w:val="single" w:color="6B6491" w:sz="4"/>
          <w:insideH w:val="single" w:color="6B6491" w:sz="4"/>
          <w:insideV w:val="single" w:color="6B6491" w:sz="4"/>
        </w:tblBorders>
      </w:tblPr>
      <w:tblGrid>
        <w:gridCol w:w="2506"/>
        <w:gridCol w:w="7132"/>
      </w:tblGrid>
      <w:tr>
        <w:tc>
          <w:tcPr>
            <w:tcW w:type="pct" w:w="1300"/>
            <w:shd w:fill="E6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Tác nhân</w:t>
            </w:r>
          </w:p>
        </w:tc>
        <w:tc>
          <w:tcPr>
            <w:tcW w:type="pct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</w:tr>
      <w:tr>
        <w:tc>
          <w:tcPr>
            <w:tcW w:type="pct" w:w="1300"/>
            <w:shd w:fill="E6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Tiền điều kiện</w:t>
            </w:r>
          </w:p>
        </w:tc>
        <w:tc>
          <w:tcPr>
            <w:tcW w:type="pct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Đã có ít nhất một gói đăng ký.</w:t>
            </w:r>
          </w:p>
        </w:tc>
      </w:tr>
      <w:tr>
        <w:tc>
          <w:tcPr>
            <w:tcW w:type="pct" w:w="1300"/>
            <w:shd w:fill="E6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Luồng chính</w:t>
            </w:r>
          </w:p>
        </w:tc>
        <w:tc>
          <w:tcPr>
            <w:tcW w:type="pct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1. Người dùng mở chi tiết gói (UC04) và chọn “Sửa”.</w:t>
            </w:r>
          </w:p>
          <w:p>
            <w:r>
              <w:rPr>
                <w:b w:val="false"/>
                <w:bCs w:val="false"/>
                <w:sz w:val="22"/>
                <w:szCs w:val="22"/>
              </w:rPr>
              <w:t xml:space="preserve">2. Hệ thống hiển thị form với dữ liệu hiện tại.</w:t>
            </w:r>
          </w:p>
          <w:p>
            <w:r>
              <w:rPr>
                <w:b w:val="false"/>
                <w:bCs w:val="false"/>
                <w:sz w:val="22"/>
                <w:szCs w:val="22"/>
              </w:rPr>
              <w:t xml:space="preserve">3. Người dùng chỉnh sửa và nhấn “Lưu”.</w:t>
            </w:r>
          </w:p>
          <w:p>
            <w:r>
              <w:rPr>
                <w:b w:val="false"/>
                <w:bCs w:val="false"/>
                <w:sz w:val="22"/>
                <w:szCs w:val="22"/>
              </w:rPr>
              <w:t xml:space="preserve">4. Hệ thống kiểm tra dữ liệu (UC13) và cập nhật database.</w:t>
            </w:r>
          </w:p>
          <w:p>
            <w:r>
              <w:rPr>
                <w:b w:val="false"/>
                <w:bCs w:val="false"/>
                <w:sz w:val="22"/>
                <w:szCs w:val="22"/>
              </w:rPr>
              <w:t xml:space="preserve">5. Màn hình chi tiết, danh sách và Dashboard được cập nhật.</w:t>
            </w:r>
          </w:p>
        </w:tc>
      </w:tr>
      <w:tr>
        <w:tc>
          <w:tcPr>
            <w:tcW w:type="pct" w:w="1300"/>
            <w:shd w:fill="E6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Luồng thay thế</w:t>
            </w:r>
          </w:p>
        </w:tc>
        <w:tc>
          <w:tcPr>
            <w:tcW w:type="pct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3a. Người dùng nhấn “Hủy”: không thay đổi dữ liệu.</w:t>
            </w:r>
          </w:p>
          <w:p>
            <w:r>
              <w:rPr>
                <w:b w:val="false"/>
                <w:bCs w:val="false"/>
                <w:sz w:val="22"/>
                <w:szCs w:val="22"/>
              </w:rPr>
              <w:t xml:space="preserve">4a. Dữ liệu không hợp lệ: báo lỗi như UC03.</w:t>
            </w:r>
          </w:p>
        </w:tc>
      </w:tr>
      <w:tr>
        <w:tc>
          <w:tcPr>
            <w:tcW w:type="pct" w:w="1300"/>
            <w:shd w:fill="E6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Hậu điều kiện</w:t>
            </w:r>
          </w:p>
        </w:tc>
        <w:tc>
          <w:tcPr>
            <w:tcW w:type="pct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Thông tin gói được cập nhật, trường updated_at thay đổi.</w:t>
            </w:r>
          </w:p>
        </w:tc>
      </w:tr>
    </w:tbl>
    <w:p>
      <w:pPr>
        <w:pStyle w:val="Heading2"/>
        <w:spacing w:before="240"/>
      </w:pPr>
      <w:r>
        <w:t xml:space="preserve">UC06 – Xóa gói đăng ký</w:t>
      </w:r>
    </w:p>
    <w:tbl>
      <w:tblPr>
        <w:tblW w:type="pct" w:w="5000"/>
        <w:tblBorders>
          <w:top w:val="single" w:color="6B6491" w:sz="4"/>
          <w:left w:val="single" w:color="6B6491" w:sz="4"/>
          <w:bottom w:val="single" w:color="6B6491" w:sz="4"/>
          <w:right w:val="single" w:color="6B6491" w:sz="4"/>
          <w:insideH w:val="single" w:color="6B6491" w:sz="4"/>
          <w:insideV w:val="single" w:color="6B6491" w:sz="4"/>
        </w:tblBorders>
      </w:tblPr>
      <w:tblGrid>
        <w:gridCol w:w="2506"/>
        <w:gridCol w:w="7132"/>
      </w:tblGrid>
      <w:tr>
        <w:tc>
          <w:tcPr>
            <w:tcW w:type="pct" w:w="1300"/>
            <w:shd w:fill="E6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Tác nhân</w:t>
            </w:r>
          </w:p>
        </w:tc>
        <w:tc>
          <w:tcPr>
            <w:tcW w:type="pct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</w:tr>
      <w:tr>
        <w:tc>
          <w:tcPr>
            <w:tcW w:type="pct" w:w="1300"/>
            <w:shd w:fill="E6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Tiền điều kiện</w:t>
            </w:r>
          </w:p>
        </w:tc>
        <w:tc>
          <w:tcPr>
            <w:tcW w:type="pct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Đã có ít nhất một gói đăng ký.</w:t>
            </w:r>
          </w:p>
        </w:tc>
      </w:tr>
      <w:tr>
        <w:tc>
          <w:tcPr>
            <w:tcW w:type="pct" w:w="1300"/>
            <w:shd w:fill="E6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Luồng chính</w:t>
            </w:r>
          </w:p>
        </w:tc>
        <w:tc>
          <w:tcPr>
            <w:tcW w:type="pct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1. Người dùng chọn “Xóa” tại màn hình chi tiết hoặc vuốt trên danh sách.</w:t>
            </w:r>
          </w:p>
          <w:p>
            <w:r>
              <w:rPr>
                <w:b w:val="false"/>
                <w:bCs w:val="false"/>
                <w:sz w:val="22"/>
                <w:szCs w:val="22"/>
              </w:rPr>
              <w:t xml:space="preserve">2. Hệ thống hiển thị hộp thoại xác nhận.</w:t>
            </w:r>
          </w:p>
          <w:p>
            <w:r>
              <w:rPr>
                <w:b w:val="false"/>
                <w:bCs w:val="false"/>
                <w:sz w:val="22"/>
                <w:szCs w:val="22"/>
              </w:rPr>
              <w:t xml:space="preserve">3. Người dùng xác nhận xóa.</w:t>
            </w:r>
          </w:p>
          <w:p>
            <w:r>
              <w:rPr>
                <w:b w:val="false"/>
                <w:bCs w:val="false"/>
                <w:sz w:val="22"/>
                <w:szCs w:val="22"/>
              </w:rPr>
              <w:t xml:space="preserve">4. Hệ thống xóa bản ghi khỏi database và cập nhật danh sách, Dashboard.</w:t>
            </w:r>
          </w:p>
        </w:tc>
      </w:tr>
      <w:tr>
        <w:tc>
          <w:tcPr>
            <w:tcW w:type="pct" w:w="1300"/>
            <w:shd w:fill="E6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Luồng thay thế</w:t>
            </w:r>
          </w:p>
        </w:tc>
        <w:tc>
          <w:tcPr>
            <w:tcW w:type="pct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3a. Người dùng chọn “Hủy”: không xóa.</w:t>
            </w:r>
          </w:p>
        </w:tc>
      </w:tr>
      <w:tr>
        <w:tc>
          <w:tcPr>
            <w:tcW w:type="pct" w:w="1300"/>
            <w:shd w:fill="E6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Hậu điều kiện</w:t>
            </w:r>
          </w:p>
        </w:tc>
        <w:tc>
          <w:tcPr>
            <w:tcW w:type="pct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Gói không còn trong danh sách và không được tính vào thống kê.</w:t>
            </w:r>
          </w:p>
        </w:tc>
      </w:tr>
    </w:tbl>
    <w:p>
      <w:pPr>
        <w:pStyle w:val="Heading2"/>
        <w:spacing w:before="240"/>
      </w:pPr>
      <w:r>
        <w:t xml:space="preserve">UC07 – Tìm kiếm, lọc, sắp xếp</w:t>
      </w:r>
    </w:p>
    <w:tbl>
      <w:tblPr>
        <w:tblW w:type="pct" w:w="5000"/>
        <w:tblBorders>
          <w:top w:val="single" w:color="6B6491" w:sz="4"/>
          <w:left w:val="single" w:color="6B6491" w:sz="4"/>
          <w:bottom w:val="single" w:color="6B6491" w:sz="4"/>
          <w:right w:val="single" w:color="6B6491" w:sz="4"/>
          <w:insideH w:val="single" w:color="6B6491" w:sz="4"/>
          <w:insideV w:val="single" w:color="6B6491" w:sz="4"/>
        </w:tblBorders>
      </w:tblPr>
      <w:tblGrid>
        <w:gridCol w:w="2506"/>
        <w:gridCol w:w="7132"/>
      </w:tblGrid>
      <w:tr>
        <w:tc>
          <w:tcPr>
            <w:tcW w:type="pct" w:w="1300"/>
            <w:shd w:fill="E6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Tác nhân</w:t>
            </w:r>
          </w:p>
        </w:tc>
        <w:tc>
          <w:tcPr>
            <w:tcW w:type="pct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</w:tr>
      <w:tr>
        <w:tc>
          <w:tcPr>
            <w:tcW w:type="pct" w:w="1300"/>
            <w:shd w:fill="E6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Luồng chính</w:t>
            </w:r>
          </w:p>
        </w:tc>
        <w:tc>
          <w:tcPr>
            <w:tcW w:type="pct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1. Người dùng mở màn hình danh sách gói.</w:t>
            </w:r>
          </w:p>
          <w:p>
            <w:r>
              <w:rPr>
                <w:b w:val="false"/>
                <w:bCs w:val="false"/>
                <w:sz w:val="22"/>
                <w:szCs w:val="22"/>
              </w:rPr>
              <w:t xml:space="preserve">2. Người dùng nhập từ khóa vào ô tìm kiếm và/hoặc chọn bộ lọc danh mục, trạng thái.</w:t>
            </w:r>
          </w:p>
          <w:p>
            <w:r>
              <w:rPr>
                <w:b w:val="false"/>
                <w:bCs w:val="false"/>
                <w:sz w:val="22"/>
                <w:szCs w:val="22"/>
              </w:rPr>
              <w:t xml:space="preserve">3. Người dùng chọn tiêu chí sắp xếp (ngày thanh toán gần nhất hoặc chi phí).</w:t>
            </w:r>
          </w:p>
          <w:p>
            <w:r>
              <w:rPr>
                <w:b w:val="false"/>
                <w:bCs w:val="false"/>
                <w:sz w:val="22"/>
                <w:szCs w:val="22"/>
              </w:rPr>
              <w:t xml:space="preserve">4. Hệ thống hiển thị danh sách kết quả phù hợp.</w:t>
            </w:r>
          </w:p>
        </w:tc>
      </w:tr>
      <w:tr>
        <w:tc>
          <w:tcPr>
            <w:tcW w:type="pct" w:w="1300"/>
            <w:shd w:fill="E6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Luồng thay thế</w:t>
            </w:r>
          </w:p>
        </w:tc>
        <w:tc>
          <w:tcPr>
            <w:tcW w:type="pct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4a. Không có kết quả: hiển thị trạng thái rỗng kèm gợi ý xóa bộ lọc.</w:t>
            </w:r>
          </w:p>
        </w:tc>
      </w:tr>
    </w:tbl>
    <w:p>
      <w:pPr>
        <w:pStyle w:val="Heading2"/>
        <w:spacing w:before="240"/>
      </w:pPr>
      <w:r>
        <w:t xml:space="preserve">UC08 – Xem thống kê chi phí</w:t>
      </w:r>
    </w:p>
    <w:tbl>
      <w:tblPr>
        <w:tblW w:type="pct" w:w="5000"/>
        <w:tblBorders>
          <w:top w:val="single" w:color="6B6491" w:sz="4"/>
          <w:left w:val="single" w:color="6B6491" w:sz="4"/>
          <w:bottom w:val="single" w:color="6B6491" w:sz="4"/>
          <w:right w:val="single" w:color="6B6491" w:sz="4"/>
          <w:insideH w:val="single" w:color="6B6491" w:sz="4"/>
          <w:insideV w:val="single" w:color="6B6491" w:sz="4"/>
        </w:tblBorders>
      </w:tblPr>
      <w:tblGrid>
        <w:gridCol w:w="2506"/>
        <w:gridCol w:w="7132"/>
      </w:tblGrid>
      <w:tr>
        <w:tc>
          <w:tcPr>
            <w:tcW w:type="pct" w:w="1300"/>
            <w:shd w:fill="E6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Tác nhân</w:t>
            </w:r>
          </w:p>
        </w:tc>
        <w:tc>
          <w:tcPr>
            <w:tcW w:type="pct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</w:tr>
      <w:tr>
        <w:tc>
          <w:tcPr>
            <w:tcW w:type="pct" w:w="1300"/>
            <w:shd w:fill="E6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Luồng chính</w:t>
            </w:r>
          </w:p>
        </w:tc>
        <w:tc>
          <w:tcPr>
            <w:tcW w:type="pct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1. Người dùng mở màn hình Thống kê.</w:t>
            </w:r>
          </w:p>
          <w:p>
            <w:r>
              <w:rPr>
                <w:b w:val="false"/>
                <w:bCs w:val="false"/>
                <w:sz w:val="22"/>
                <w:szCs w:val="22"/>
              </w:rPr>
              <w:t xml:space="preserve">2. Hệ thống quy đổi chi phí từng gói về tháng (tuần × 52/12, năm ÷ 12).</w:t>
            </w:r>
          </w:p>
          <w:p>
            <w:r>
              <w:rPr>
                <w:b w:val="false"/>
                <w:bCs w:val="false"/>
                <w:sz w:val="22"/>
                <w:szCs w:val="22"/>
              </w:rPr>
              <w:t xml:space="preserve">3. Hệ thống hiển thị tổng chi phí tháng, chi phí theo danh mục và danh sách gói chi phí cao.</w:t>
            </w:r>
          </w:p>
          <w:p>
            <w:r>
              <w:rPr>
                <w:b w:val="false"/>
                <w:bCs w:val="false"/>
                <w:sz w:val="22"/>
                <w:szCs w:val="22"/>
              </w:rPr>
              <w:t xml:space="preserve">4. (Mở rộng – UC14) Người dùng xem biểu đồ chi phí theo tháng/danh mục.</w:t>
            </w:r>
          </w:p>
        </w:tc>
      </w:tr>
      <w:tr>
        <w:tc>
          <w:tcPr>
            <w:tcW w:type="pct" w:w="1300"/>
            <w:shd w:fill="E6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Luồng thay thế</w:t>
            </w:r>
          </w:p>
        </w:tc>
        <w:tc>
          <w:tcPr>
            <w:tcW w:type="pct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2a. Chưa có gói nào: hiển thị trạng thái rỗng.</w:t>
            </w:r>
          </w:p>
        </w:tc>
      </w:tr>
    </w:tbl>
    <w:p>
      <w:pPr>
        <w:pStyle w:val="Heading2"/>
        <w:spacing w:before="240"/>
      </w:pPr>
      <w:r>
        <w:t xml:space="preserve">UC09 – Xem khoản sắp đến hạn</w:t>
      </w:r>
    </w:p>
    <w:tbl>
      <w:tblPr>
        <w:tblW w:type="pct" w:w="5000"/>
        <w:tblBorders>
          <w:top w:val="single" w:color="6B6491" w:sz="4"/>
          <w:left w:val="single" w:color="6B6491" w:sz="4"/>
          <w:bottom w:val="single" w:color="6B6491" w:sz="4"/>
          <w:right w:val="single" w:color="6B6491" w:sz="4"/>
          <w:insideH w:val="single" w:color="6B6491" w:sz="4"/>
          <w:insideV w:val="single" w:color="6B6491" w:sz="4"/>
        </w:tblBorders>
      </w:tblPr>
      <w:tblGrid>
        <w:gridCol w:w="2506"/>
        <w:gridCol w:w="7132"/>
      </w:tblGrid>
      <w:tr>
        <w:tc>
          <w:tcPr>
            <w:tcW w:type="pct" w:w="1300"/>
            <w:shd w:fill="E6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Tác nhân</w:t>
            </w:r>
          </w:p>
        </w:tc>
        <w:tc>
          <w:tcPr>
            <w:tcW w:type="pct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Người dùng; Hệ thống thông báo (qua UC15)</w:t>
            </w:r>
          </w:p>
        </w:tc>
      </w:tr>
      <w:tr>
        <w:tc>
          <w:tcPr>
            <w:tcW w:type="pct" w:w="1300"/>
            <w:shd w:fill="E6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Luồng chính</w:t>
            </w:r>
          </w:p>
        </w:tc>
        <w:tc>
          <w:tcPr>
            <w:tcW w:type="pct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1. Hệ thống so sánh ngày thanh toán tiếp theo của các gói với ngày hiện tại.</w:t>
            </w:r>
          </w:p>
          <w:p>
            <w:r>
              <w:rPr>
                <w:b w:val="false"/>
                <w:bCs w:val="false"/>
                <w:sz w:val="22"/>
                <w:szCs w:val="22"/>
              </w:rPr>
              <w:t xml:space="preserve">2. Hệ thống hiển thị các gói đến hạn trong khoảng nhắc (mặc định 7 ngày) trên Dashboard.</w:t>
            </w:r>
          </w:p>
          <w:p>
            <w:r>
              <w:rPr>
                <w:b w:val="false"/>
                <w:bCs w:val="false"/>
                <w:sz w:val="22"/>
                <w:szCs w:val="22"/>
              </w:rPr>
              <w:t xml:space="preserve">3. Hệ thống gửi thông báo nhắc hạn (UC15) nếu đã triển khai thông báo cục bộ.</w:t>
            </w:r>
          </w:p>
        </w:tc>
      </w:tr>
      <w:tr>
        <w:tc>
          <w:tcPr>
            <w:tcW w:type="pct" w:w="1300"/>
            <w:shd w:fill="E6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Hậu điều kiện</w:t>
            </w:r>
          </w:p>
        </w:tc>
        <w:tc>
          <w:tcPr>
            <w:tcW w:type="pct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Người dùng biết các khoản sắp phải thanh toán.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Times New Roman" w:cs="Times New Roman" w:eastAsia="Times New Roman" w:hAnsi="Times New Roman"/>
      <w:b/>
      <w:bCs/>
      <w:color w:val="2B1B5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</w:pPr>
    <w:rPr>
      <w:rFonts w:ascii="Times New Roman" w:cs="Times New Roman" w:eastAsia="Times New Roman" w:hAnsi="Times New Roman"/>
      <w:b/>
      <w:bCs/>
      <w:color w:val="3D2C78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84c51d66beee28ab88314e6ab504f2486b18f48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Sơ đồ Use Case – SubTrack</dc:title>
  <dc:creator>Nhóm 4</dc:creator>
  <cp:lastModifiedBy>Un-named</cp:lastModifiedBy>
  <cp:revision>1</cp:revision>
  <dcterms:created xsi:type="dcterms:W3CDTF">2026-10-27T14:48:18.785Z</dcterms:created>
  <dcterms:modified xsi:type="dcterms:W3CDTF">2026-10-27T14:48:18.791Z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