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Citrix Platform Observability</w:t>
        <w:br/>
        <w:t>SRE Requirements &amp; Critical Metrics</w:t>
      </w:r>
    </w:p>
    <w:p>
      <w:pPr>
        <w:jc w:val="center"/>
      </w:pPr>
      <w:r>
        <w:rPr>
          <w:i/>
        </w:rPr>
        <w:t>Reference implementation for the Enterprise Observability → Snowflake architecture</w:t>
      </w:r>
    </w:p>
    <w:p>
      <w:pPr>
        <w:pStyle w:val="Heading1"/>
      </w:pPr>
      <w:r>
        <w:t>1. Purpose</w:t>
      </w:r>
    </w:p>
    <w:p>
      <w:r>
        <w:t>This document turns the leadership observability architecture into an implementable SRE requirement set using Citrix Virtual Apps and Desktops / Citrix DaaS as the example platform. The objective is to define what telemetry must be sourced, how it should be governed and loaded into the enterprise observability data platform, which metrics should be derived for SRE, and what gaps must be closed before alerting or SLOs are declared production-ready.</w:t>
      </w:r>
    </w:p>
    <w:p>
      <w:pPr>
        <w:pStyle w:val="Heading1"/>
      </w:pPr>
      <w:r>
        <w:t>2. Source-grounded Citrix capabilities</w:t>
      </w:r>
    </w:p>
    <w:p>
      <w:r>
        <w:t>Citrix Analytics for Security can export two broad categories of information: default Risk Insights and optional Data Source Events. For Citrix Virtual Apps and Desktops, Citrix documents real-time user events including account logon; app start/launch/end; clipboard; file print/download; HDX session source; printing; session logon/launch/end/termination; VDA data; and VDA process creation. Citrix also documents common identity/correlation fields such as tenant_id, entity_id, timestamp and schema version, plus event-level fields including event_id, client_ip, session_user_name, device_id, OS information, app_name, launch_type, server_name and session_guid.</w:t>
      </w:r>
    </w:p>
    <w:p>
      <w:r>
        <w:t>Important design constraint: the referenced Citrix SIEM schema supports event and risk telemetry, but it does not by itself document every performance KPI needed for an SRE scorecard (for example, end-to-end logon duration, ICA/HDX latency, CPU/memory saturation, or explicit logon success/failure outcome fields). Those metrics must be validated against additional Citrix Monitor/Director/Performance sources before they are made mandatory.</w:t>
      </w:r>
    </w:p>
    <w:p>
      <w:pPr>
        <w:pStyle w:val="Heading1"/>
      </w:pPr>
      <w:r>
        <w:t>3. Recommended Citrix-to-Enterprise process</w:t>
      </w:r>
    </w:p>
    <w:tbl>
      <w:tblPr>
        <w:tblStyle w:val="LightShading-Accent1"/>
        <w:tblW w:type="auto" w:w="0"/>
        <w:jc w:val="center"/>
        <w:tblLook w:firstColumn="1" w:firstRow="1" w:lastColumn="0" w:lastRow="0" w:noHBand="0" w:noVBand="1" w:val="04A0"/>
      </w:tblPr>
      <w:tblGrid>
        <w:gridCol w:w="5256"/>
        <w:gridCol w:w="5256"/>
      </w:tblGrid>
      <w:tr>
        <w:trPr>
          <w:tblHeader w:val="true"/>
        </w:trPr>
        <w:tc>
          <w:tcPr>
            <w:tcW w:type="dxa" w:w="5256"/>
            <w:vAlign w:val="center"/>
          </w:tcPr>
          <w:p>
            <w:pPr>
              <w:spacing w:after="40"/>
            </w:pPr>
            <w:r>
              <w:rPr>
                <w:sz w:val="16"/>
              </w:rPr>
              <w:t>Stage</w:t>
            </w:r>
          </w:p>
        </w:tc>
        <w:tc>
          <w:tcPr>
            <w:tcW w:type="dxa" w:w="5256"/>
            <w:vAlign w:val="center"/>
          </w:tcPr>
          <w:p>
            <w:pPr>
              <w:spacing w:after="40"/>
            </w:pPr>
            <w:r>
              <w:rPr>
                <w:sz w:val="16"/>
              </w:rPr>
              <w:t>SRE requirement</w:t>
            </w:r>
          </w:p>
        </w:tc>
      </w:tr>
      <w:tr>
        <w:tc>
          <w:tcPr>
            <w:tcW w:type="dxa" w:w="5256"/>
            <w:vAlign w:val="center"/>
          </w:tcPr>
          <w:p>
            <w:pPr>
              <w:spacing w:after="40"/>
            </w:pPr>
            <w:r>
              <w:rPr>
                <w:sz w:val="16"/>
              </w:rPr>
              <w:t>1. Enable source telemetry</w:t>
            </w:r>
          </w:p>
        </w:tc>
        <w:tc>
          <w:tcPr>
            <w:tcW w:type="dxa" w:w="5256"/>
            <w:vAlign w:val="center"/>
          </w:tcPr>
          <w:p>
            <w:pPr>
              <w:spacing w:after="40"/>
            </w:pPr>
            <w:r>
              <w:rPr>
                <w:sz w:val="16"/>
              </w:rPr>
              <w:t>Enable the Citrix Analytics data source and identify the exact CVAD/DaaS event types required for SRE.</w:t>
            </w:r>
          </w:p>
        </w:tc>
      </w:tr>
      <w:tr>
        <w:tc>
          <w:tcPr>
            <w:tcW w:type="dxa" w:w="5256"/>
            <w:vAlign w:val="center"/>
          </w:tcPr>
          <w:p>
            <w:pPr>
              <w:spacing w:after="40"/>
            </w:pPr>
            <w:r>
              <w:rPr>
                <w:sz w:val="16"/>
              </w:rPr>
              <w:t>2. Select export pattern</w:t>
            </w:r>
          </w:p>
        </w:tc>
        <w:tc>
          <w:tcPr>
            <w:tcW w:type="dxa" w:w="5256"/>
            <w:vAlign w:val="center"/>
          </w:tcPr>
          <w:p>
            <w:pPr>
              <w:spacing w:after="40"/>
            </w:pPr>
            <w:r>
              <w:rPr>
                <w:sz w:val="16"/>
              </w:rPr>
              <w:t>Use the enterprise-approved connector/route. Citrix documents SIEM export through supported integrations and Kafka/Logstash-based connectors. Map that feed into the enterprise ingestion pattern rather than creating a parallel unmanaged path.</w:t>
            </w:r>
          </w:p>
        </w:tc>
      </w:tr>
      <w:tr>
        <w:tc>
          <w:tcPr>
            <w:tcW w:type="dxa" w:w="5256"/>
            <w:vAlign w:val="center"/>
          </w:tcPr>
          <w:p>
            <w:pPr>
              <w:spacing w:after="40"/>
            </w:pPr>
            <w:r>
              <w:rPr>
                <w:sz w:val="16"/>
              </w:rPr>
              <w:t>3. Preserve raw payload</w:t>
            </w:r>
          </w:p>
        </w:tc>
        <w:tc>
          <w:tcPr>
            <w:tcW w:type="dxa" w:w="5256"/>
            <w:vAlign w:val="center"/>
          </w:tcPr>
          <w:p>
            <w:pPr>
              <w:spacing w:after="40"/>
            </w:pPr>
            <w:r>
              <w:rPr>
                <w:sz w:val="16"/>
              </w:rPr>
              <w:t>Land the vendor-native event first. Do not discard source event type, timestamp, tenant, entity, event ID, session GUID, device, app, server, or schema version.</w:t>
            </w:r>
          </w:p>
        </w:tc>
      </w:tr>
      <w:tr>
        <w:tc>
          <w:tcPr>
            <w:tcW w:type="dxa" w:w="5256"/>
            <w:vAlign w:val="center"/>
          </w:tcPr>
          <w:p>
            <w:pPr>
              <w:spacing w:after="40"/>
            </w:pPr>
            <w:r>
              <w:rPr>
                <w:sz w:val="16"/>
              </w:rPr>
              <w:t>4. Validate &amp; quarantine</w:t>
            </w:r>
          </w:p>
        </w:tc>
        <w:tc>
          <w:tcPr>
            <w:tcW w:type="dxa" w:w="5256"/>
            <w:vAlign w:val="center"/>
          </w:tcPr>
          <w:p>
            <w:pPr>
              <w:spacing w:after="40"/>
            </w:pPr>
            <w:r>
              <w:rPr>
                <w:sz w:val="16"/>
              </w:rPr>
              <w:t>Perform schema, timestamp, required-field, duplicate and volume checks. Invalid records go to a quarantine/DLQ path with reason codes.</w:t>
            </w:r>
          </w:p>
        </w:tc>
      </w:tr>
      <w:tr>
        <w:tc>
          <w:tcPr>
            <w:tcW w:type="dxa" w:w="5256"/>
            <w:vAlign w:val="center"/>
          </w:tcPr>
          <w:p>
            <w:pPr>
              <w:spacing w:after="40"/>
            </w:pPr>
            <w:r>
              <w:rPr>
                <w:sz w:val="16"/>
              </w:rPr>
              <w:t>5. Load Snowflake raw layer</w:t>
            </w:r>
          </w:p>
        </w:tc>
        <w:tc>
          <w:tcPr>
            <w:tcW w:type="dxa" w:w="5256"/>
            <w:vAlign w:val="center"/>
          </w:tcPr>
          <w:p>
            <w:pPr>
              <w:spacing w:after="40"/>
            </w:pPr>
            <w:r>
              <w:rPr>
                <w:sz w:val="16"/>
              </w:rPr>
              <w:t>Store immutable/raw Citrix events with ingestion metadata such as received_at, pipeline_run_id and source_file/topic/partition where applicable.</w:t>
            </w:r>
          </w:p>
        </w:tc>
      </w:tr>
      <w:tr>
        <w:tc>
          <w:tcPr>
            <w:tcW w:type="dxa" w:w="5256"/>
            <w:vAlign w:val="center"/>
          </w:tcPr>
          <w:p>
            <w:pPr>
              <w:spacing w:after="40"/>
            </w:pPr>
            <w:r>
              <w:rPr>
                <w:sz w:val="16"/>
              </w:rPr>
              <w:t>6. Normalize</w:t>
            </w:r>
          </w:p>
        </w:tc>
        <w:tc>
          <w:tcPr>
            <w:tcW w:type="dxa" w:w="5256"/>
            <w:vAlign w:val="center"/>
          </w:tcPr>
          <w:p>
            <w:pPr>
              <w:spacing w:after="40"/>
            </w:pPr>
            <w:r>
              <w:rPr>
                <w:sz w:val="16"/>
              </w:rPr>
              <w:t>Map Citrix events into the enterprise observability model: identity, time, signal, scope, health/operation and native source identifiers.</w:t>
            </w:r>
          </w:p>
        </w:tc>
      </w:tr>
      <w:tr>
        <w:tc>
          <w:tcPr>
            <w:tcW w:type="dxa" w:w="5256"/>
            <w:vAlign w:val="center"/>
          </w:tcPr>
          <w:p>
            <w:pPr>
              <w:spacing w:after="40"/>
            </w:pPr>
            <w:r>
              <w:rPr>
                <w:sz w:val="16"/>
              </w:rPr>
              <w:t>7. Derive SRE metrics</w:t>
            </w:r>
          </w:p>
        </w:tc>
        <w:tc>
          <w:tcPr>
            <w:tcW w:type="dxa" w:w="5256"/>
            <w:vAlign w:val="center"/>
          </w:tcPr>
          <w:p>
            <w:pPr>
              <w:spacing w:after="40"/>
            </w:pPr>
            <w:r>
              <w:rPr>
                <w:sz w:val="16"/>
              </w:rPr>
              <w:t>Create session, application, endpoint, ingestion-health and risk aggregates. Keep derived metrics traceable to the raw event IDs/session GUIDs.</w:t>
            </w:r>
          </w:p>
        </w:tc>
      </w:tr>
      <w:tr>
        <w:tc>
          <w:tcPr>
            <w:tcW w:type="dxa" w:w="5256"/>
            <w:vAlign w:val="center"/>
          </w:tcPr>
          <w:p>
            <w:pPr>
              <w:spacing w:after="40"/>
            </w:pPr>
            <w:r>
              <w:rPr>
                <w:sz w:val="16"/>
              </w:rPr>
              <w:t>8. Publish curated views</w:t>
            </w:r>
          </w:p>
        </w:tc>
        <w:tc>
          <w:tcPr>
            <w:tcW w:type="dxa" w:w="5256"/>
            <w:vAlign w:val="center"/>
          </w:tcPr>
          <w:p>
            <w:pPr>
              <w:spacing w:after="40"/>
            </w:pPr>
            <w:r>
              <w:rPr>
                <w:sz w:val="16"/>
              </w:rPr>
              <w:t>Expose Snowflake views for dashboards, alert evaluation, incident correlation and trend analysis.</w:t>
            </w:r>
          </w:p>
        </w:tc>
      </w:tr>
      <w:tr>
        <w:tc>
          <w:tcPr>
            <w:tcW w:type="dxa" w:w="5256"/>
            <w:vAlign w:val="center"/>
          </w:tcPr>
          <w:p>
            <w:pPr>
              <w:spacing w:after="40"/>
            </w:pPr>
            <w:r>
              <w:rPr>
                <w:sz w:val="16"/>
              </w:rPr>
              <w:t>9. Alert &amp; operate</w:t>
            </w:r>
          </w:p>
        </w:tc>
        <w:tc>
          <w:tcPr>
            <w:tcW w:type="dxa" w:w="5256"/>
            <w:vAlign w:val="center"/>
          </w:tcPr>
          <w:p>
            <w:pPr>
              <w:spacing w:after="40"/>
            </w:pPr>
            <w:r>
              <w:rPr>
                <w:sz w:val="16"/>
              </w:rPr>
              <w:t>Alert on user-impact symptoms and telemetry failures. Route to the owning team with dashboard and runbook links.</w:t>
            </w:r>
          </w:p>
        </w:tc>
      </w:tr>
      <w:tr>
        <w:tc>
          <w:tcPr>
            <w:tcW w:type="dxa" w:w="5256"/>
            <w:vAlign w:val="center"/>
          </w:tcPr>
          <w:p>
            <w:pPr>
              <w:spacing w:after="40"/>
            </w:pPr>
            <w:r>
              <w:rPr>
                <w:sz w:val="16"/>
              </w:rPr>
              <w:t>10. Review continuously</w:t>
            </w:r>
          </w:p>
        </w:tc>
        <w:tc>
          <w:tcPr>
            <w:tcW w:type="dxa" w:w="5256"/>
            <w:vAlign w:val="center"/>
          </w:tcPr>
          <w:p>
            <w:pPr>
              <w:spacing w:after="40"/>
            </w:pPr>
            <w:r>
              <w:rPr>
                <w:sz w:val="16"/>
              </w:rPr>
              <w:t>Measure data freshness, coverage, false-positive rate and unsupported metric gaps; tune requirements as Citrix capabilities change.</w:t>
            </w:r>
          </w:p>
        </w:tc>
      </w:tr>
    </w:tbl>
    <w:p>
      <w:pPr>
        <w:pStyle w:val="Heading1"/>
      </w:pPr>
      <w:r>
        <w:t>4. Minimum telemetry contract</w:t>
      </w:r>
    </w:p>
    <w:tbl>
      <w:tblPr>
        <w:tblStyle w:val="LightShading-Accent1"/>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center"/>
          </w:tcPr>
          <w:p>
            <w:pPr>
              <w:spacing w:after="40"/>
            </w:pPr>
            <w:r>
              <w:rPr>
                <w:sz w:val="16"/>
              </w:rPr>
              <w:t>Field</w:t>
            </w:r>
          </w:p>
        </w:tc>
        <w:tc>
          <w:tcPr>
            <w:tcW w:type="dxa" w:w="2628"/>
            <w:vAlign w:val="center"/>
          </w:tcPr>
          <w:p>
            <w:pPr>
              <w:spacing w:after="40"/>
            </w:pPr>
            <w:r>
              <w:rPr>
                <w:sz w:val="16"/>
              </w:rPr>
              <w:t>Requirement</w:t>
            </w:r>
          </w:p>
        </w:tc>
        <w:tc>
          <w:tcPr>
            <w:tcW w:type="dxa" w:w="2628"/>
            <w:vAlign w:val="center"/>
          </w:tcPr>
          <w:p>
            <w:pPr>
              <w:spacing w:after="40"/>
            </w:pPr>
            <w:r>
              <w:rPr>
                <w:sz w:val="16"/>
              </w:rPr>
              <w:t>SRE use</w:t>
            </w:r>
          </w:p>
        </w:tc>
        <w:tc>
          <w:tcPr>
            <w:tcW w:type="dxa" w:w="2628"/>
            <w:vAlign w:val="center"/>
          </w:tcPr>
          <w:p>
            <w:pPr>
              <w:spacing w:after="40"/>
            </w:pPr>
            <w:r>
              <w:rPr>
                <w:sz w:val="16"/>
              </w:rPr>
              <w:t>Basis</w:t>
            </w:r>
          </w:p>
        </w:tc>
      </w:tr>
      <w:tr>
        <w:tc>
          <w:tcPr>
            <w:tcW w:type="dxa" w:w="2628"/>
            <w:vAlign w:val="center"/>
          </w:tcPr>
          <w:p>
            <w:pPr>
              <w:spacing w:after="40"/>
            </w:pPr>
            <w:r>
              <w:rPr>
                <w:sz w:val="16"/>
              </w:rPr>
              <w:t>tenant_id</w:t>
            </w:r>
          </w:p>
        </w:tc>
        <w:tc>
          <w:tcPr>
            <w:tcW w:type="dxa" w:w="2628"/>
            <w:vAlign w:val="center"/>
          </w:tcPr>
          <w:p>
            <w:pPr>
              <w:spacing w:after="40"/>
            </w:pPr>
            <w:r>
              <w:rPr>
                <w:sz w:val="16"/>
              </w:rPr>
              <w:t>Required</w:t>
            </w:r>
          </w:p>
        </w:tc>
        <w:tc>
          <w:tcPr>
            <w:tcW w:type="dxa" w:w="2628"/>
            <w:vAlign w:val="center"/>
          </w:tcPr>
          <w:p>
            <w:pPr>
              <w:spacing w:after="40"/>
            </w:pPr>
            <w:r>
              <w:rPr>
                <w:sz w:val="16"/>
              </w:rPr>
              <w:t>Tenant/customer scope</w:t>
            </w:r>
          </w:p>
        </w:tc>
        <w:tc>
          <w:tcPr>
            <w:tcW w:type="dxa" w:w="2628"/>
            <w:vAlign w:val="center"/>
          </w:tcPr>
          <w:p>
            <w:pPr>
              <w:spacing w:after="40"/>
            </w:pPr>
            <w:r>
              <w:rPr>
                <w:sz w:val="16"/>
              </w:rPr>
              <w:t>Citrix documented</w:t>
            </w:r>
          </w:p>
        </w:tc>
      </w:tr>
      <w:tr>
        <w:tc>
          <w:tcPr>
            <w:tcW w:type="dxa" w:w="2628"/>
            <w:vAlign w:val="center"/>
          </w:tcPr>
          <w:p>
            <w:pPr>
              <w:spacing w:after="40"/>
            </w:pPr>
            <w:r>
              <w:rPr>
                <w:sz w:val="16"/>
              </w:rPr>
              <w:t>entity_id / session_user_name</w:t>
            </w:r>
          </w:p>
        </w:tc>
        <w:tc>
          <w:tcPr>
            <w:tcW w:type="dxa" w:w="2628"/>
            <w:vAlign w:val="center"/>
          </w:tcPr>
          <w:p>
            <w:pPr>
              <w:spacing w:after="40"/>
            </w:pPr>
            <w:r>
              <w:rPr>
                <w:sz w:val="16"/>
              </w:rPr>
              <w:t>Required</w:t>
            </w:r>
          </w:p>
        </w:tc>
        <w:tc>
          <w:tcPr>
            <w:tcW w:type="dxa" w:w="2628"/>
            <w:vAlign w:val="center"/>
          </w:tcPr>
          <w:p>
            <w:pPr>
              <w:spacing w:after="40"/>
            </w:pPr>
            <w:r>
              <w:rPr>
                <w:sz w:val="16"/>
              </w:rPr>
              <w:t>User/entity correlation</w:t>
            </w:r>
          </w:p>
        </w:tc>
        <w:tc>
          <w:tcPr>
            <w:tcW w:type="dxa" w:w="2628"/>
            <w:vAlign w:val="center"/>
          </w:tcPr>
          <w:p>
            <w:pPr>
              <w:spacing w:after="40"/>
            </w:pPr>
            <w:r>
              <w:rPr>
                <w:sz w:val="16"/>
              </w:rPr>
              <w:t>Citrix documented</w:t>
            </w:r>
          </w:p>
        </w:tc>
      </w:tr>
      <w:tr>
        <w:tc>
          <w:tcPr>
            <w:tcW w:type="dxa" w:w="2628"/>
            <w:vAlign w:val="center"/>
          </w:tcPr>
          <w:p>
            <w:pPr>
              <w:spacing w:after="40"/>
            </w:pPr>
            <w:r>
              <w:rPr>
                <w:sz w:val="16"/>
              </w:rPr>
              <w:t>event_type / occurrence_event_type</w:t>
            </w:r>
          </w:p>
        </w:tc>
        <w:tc>
          <w:tcPr>
            <w:tcW w:type="dxa" w:w="2628"/>
            <w:vAlign w:val="center"/>
          </w:tcPr>
          <w:p>
            <w:pPr>
              <w:spacing w:after="40"/>
            </w:pPr>
            <w:r>
              <w:rPr>
                <w:sz w:val="16"/>
              </w:rPr>
              <w:t>Required</w:t>
            </w:r>
          </w:p>
        </w:tc>
        <w:tc>
          <w:tcPr>
            <w:tcW w:type="dxa" w:w="2628"/>
            <w:vAlign w:val="center"/>
          </w:tcPr>
          <w:p>
            <w:pPr>
              <w:spacing w:after="40"/>
            </w:pPr>
            <w:r>
              <w:rPr>
                <w:sz w:val="16"/>
              </w:rPr>
              <w:t>Signal classification</w:t>
            </w:r>
          </w:p>
        </w:tc>
        <w:tc>
          <w:tcPr>
            <w:tcW w:type="dxa" w:w="2628"/>
            <w:vAlign w:val="center"/>
          </w:tcPr>
          <w:p>
            <w:pPr>
              <w:spacing w:after="40"/>
            </w:pPr>
            <w:r>
              <w:rPr>
                <w:sz w:val="16"/>
              </w:rPr>
              <w:t>Citrix documented</w:t>
            </w:r>
          </w:p>
        </w:tc>
      </w:tr>
      <w:tr>
        <w:tc>
          <w:tcPr>
            <w:tcW w:type="dxa" w:w="2628"/>
            <w:vAlign w:val="center"/>
          </w:tcPr>
          <w:p>
            <w:pPr>
              <w:spacing w:after="40"/>
            </w:pPr>
            <w:r>
              <w:rPr>
                <w:sz w:val="16"/>
              </w:rPr>
              <w:t>timestamp</w:t>
            </w:r>
          </w:p>
        </w:tc>
        <w:tc>
          <w:tcPr>
            <w:tcW w:type="dxa" w:w="2628"/>
            <w:vAlign w:val="center"/>
          </w:tcPr>
          <w:p>
            <w:pPr>
              <w:spacing w:after="40"/>
            </w:pPr>
            <w:r>
              <w:rPr>
                <w:sz w:val="16"/>
              </w:rPr>
              <w:t>Required</w:t>
            </w:r>
          </w:p>
        </w:tc>
        <w:tc>
          <w:tcPr>
            <w:tcW w:type="dxa" w:w="2628"/>
            <w:vAlign w:val="center"/>
          </w:tcPr>
          <w:p>
            <w:pPr>
              <w:spacing w:after="40"/>
            </w:pPr>
            <w:r>
              <w:rPr>
                <w:sz w:val="16"/>
              </w:rPr>
              <w:t>Event time</w:t>
            </w:r>
          </w:p>
        </w:tc>
        <w:tc>
          <w:tcPr>
            <w:tcW w:type="dxa" w:w="2628"/>
            <w:vAlign w:val="center"/>
          </w:tcPr>
          <w:p>
            <w:pPr>
              <w:spacing w:after="40"/>
            </w:pPr>
            <w:r>
              <w:rPr>
                <w:sz w:val="16"/>
              </w:rPr>
              <w:t>Citrix documented</w:t>
            </w:r>
          </w:p>
        </w:tc>
      </w:tr>
      <w:tr>
        <w:tc>
          <w:tcPr>
            <w:tcW w:type="dxa" w:w="2628"/>
            <w:vAlign w:val="center"/>
          </w:tcPr>
          <w:p>
            <w:pPr>
              <w:spacing w:after="40"/>
            </w:pPr>
            <w:r>
              <w:rPr>
                <w:sz w:val="16"/>
              </w:rPr>
              <w:t>version</w:t>
            </w:r>
          </w:p>
        </w:tc>
        <w:tc>
          <w:tcPr>
            <w:tcW w:type="dxa" w:w="2628"/>
            <w:vAlign w:val="center"/>
          </w:tcPr>
          <w:p>
            <w:pPr>
              <w:spacing w:after="40"/>
            </w:pPr>
            <w:r>
              <w:rPr>
                <w:sz w:val="16"/>
              </w:rPr>
              <w:t>Required</w:t>
            </w:r>
          </w:p>
        </w:tc>
        <w:tc>
          <w:tcPr>
            <w:tcW w:type="dxa" w:w="2628"/>
            <w:vAlign w:val="center"/>
          </w:tcPr>
          <w:p>
            <w:pPr>
              <w:spacing w:after="40"/>
            </w:pPr>
            <w:r>
              <w:rPr>
                <w:sz w:val="16"/>
              </w:rPr>
              <w:t>Schema compatibility</w:t>
            </w:r>
          </w:p>
        </w:tc>
        <w:tc>
          <w:tcPr>
            <w:tcW w:type="dxa" w:w="2628"/>
            <w:vAlign w:val="center"/>
          </w:tcPr>
          <w:p>
            <w:pPr>
              <w:spacing w:after="40"/>
            </w:pPr>
            <w:r>
              <w:rPr>
                <w:sz w:val="16"/>
              </w:rPr>
              <w:t>Citrix documented; current documented processed schema version is 2</w:t>
            </w:r>
          </w:p>
        </w:tc>
      </w:tr>
      <w:tr>
        <w:tc>
          <w:tcPr>
            <w:tcW w:type="dxa" w:w="2628"/>
            <w:vAlign w:val="center"/>
          </w:tcPr>
          <w:p>
            <w:pPr>
              <w:spacing w:after="40"/>
            </w:pPr>
            <w:r>
              <w:rPr>
                <w:sz w:val="16"/>
              </w:rPr>
              <w:t>event_id</w:t>
            </w:r>
          </w:p>
        </w:tc>
        <w:tc>
          <w:tcPr>
            <w:tcW w:type="dxa" w:w="2628"/>
            <w:vAlign w:val="center"/>
          </w:tcPr>
          <w:p>
            <w:pPr>
              <w:spacing w:after="40"/>
            </w:pPr>
            <w:r>
              <w:rPr>
                <w:sz w:val="16"/>
              </w:rPr>
              <w:t>Required when supplied</w:t>
            </w:r>
          </w:p>
        </w:tc>
        <w:tc>
          <w:tcPr>
            <w:tcW w:type="dxa" w:w="2628"/>
            <w:vAlign w:val="center"/>
          </w:tcPr>
          <w:p>
            <w:pPr>
              <w:spacing w:after="40"/>
            </w:pPr>
            <w:r>
              <w:rPr>
                <w:sz w:val="16"/>
              </w:rPr>
              <w:t>Deduplication and traceability</w:t>
            </w:r>
          </w:p>
        </w:tc>
        <w:tc>
          <w:tcPr>
            <w:tcW w:type="dxa" w:w="2628"/>
            <w:vAlign w:val="center"/>
          </w:tcPr>
          <w:p>
            <w:pPr>
              <w:spacing w:after="40"/>
            </w:pPr>
            <w:r>
              <w:rPr>
                <w:sz w:val="16"/>
              </w:rPr>
              <w:t>Citrix documented for event details</w:t>
            </w:r>
          </w:p>
        </w:tc>
      </w:tr>
      <w:tr>
        <w:tc>
          <w:tcPr>
            <w:tcW w:type="dxa" w:w="2628"/>
            <w:vAlign w:val="center"/>
          </w:tcPr>
          <w:p>
            <w:pPr>
              <w:spacing w:after="40"/>
            </w:pPr>
            <w:r>
              <w:rPr>
                <w:sz w:val="16"/>
              </w:rPr>
              <w:t>session_guid</w:t>
            </w:r>
          </w:p>
        </w:tc>
        <w:tc>
          <w:tcPr>
            <w:tcW w:type="dxa" w:w="2628"/>
            <w:vAlign w:val="center"/>
          </w:tcPr>
          <w:p>
            <w:pPr>
              <w:spacing w:after="40"/>
            </w:pPr>
            <w:r>
              <w:rPr>
                <w:sz w:val="16"/>
              </w:rPr>
              <w:t>Required for session lifecycle metrics when supplied</w:t>
            </w:r>
          </w:p>
        </w:tc>
        <w:tc>
          <w:tcPr>
            <w:tcW w:type="dxa" w:w="2628"/>
            <w:vAlign w:val="center"/>
          </w:tcPr>
          <w:p>
            <w:pPr>
              <w:spacing w:after="40"/>
            </w:pPr>
            <w:r>
              <w:rPr>
                <w:sz w:val="16"/>
              </w:rPr>
              <w:t>Correlate logon/launch/end events</w:t>
            </w:r>
          </w:p>
        </w:tc>
        <w:tc>
          <w:tcPr>
            <w:tcW w:type="dxa" w:w="2628"/>
            <w:vAlign w:val="center"/>
          </w:tcPr>
          <w:p>
            <w:pPr>
              <w:spacing w:after="40"/>
            </w:pPr>
            <w:r>
              <w:rPr>
                <w:sz w:val="16"/>
              </w:rPr>
              <w:t>Citrix documented for session events</w:t>
            </w:r>
          </w:p>
        </w:tc>
      </w:tr>
      <w:tr>
        <w:tc>
          <w:tcPr>
            <w:tcW w:type="dxa" w:w="2628"/>
            <w:vAlign w:val="center"/>
          </w:tcPr>
          <w:p>
            <w:pPr>
              <w:spacing w:after="40"/>
            </w:pPr>
            <w:r>
              <w:rPr>
                <w:sz w:val="16"/>
              </w:rPr>
              <w:t>client_ip</w:t>
            </w:r>
          </w:p>
        </w:tc>
        <w:tc>
          <w:tcPr>
            <w:tcW w:type="dxa" w:w="2628"/>
            <w:vAlign w:val="center"/>
          </w:tcPr>
          <w:p>
            <w:pPr>
              <w:spacing w:after="40"/>
            </w:pPr>
            <w:r>
              <w:rPr>
                <w:sz w:val="16"/>
              </w:rPr>
              <w:t>Recommended / sensitive</w:t>
            </w:r>
          </w:p>
        </w:tc>
        <w:tc>
          <w:tcPr>
            <w:tcW w:type="dxa" w:w="2628"/>
            <w:vAlign w:val="center"/>
          </w:tcPr>
          <w:p>
            <w:pPr>
              <w:spacing w:after="40"/>
            </w:pPr>
            <w:r>
              <w:rPr>
                <w:sz w:val="16"/>
              </w:rPr>
              <w:t>Endpoint/network correlation</w:t>
            </w:r>
          </w:p>
        </w:tc>
        <w:tc>
          <w:tcPr>
            <w:tcW w:type="dxa" w:w="2628"/>
            <w:vAlign w:val="center"/>
          </w:tcPr>
          <w:p>
            <w:pPr>
              <w:spacing w:after="40"/>
            </w:pPr>
            <w:r>
              <w:rPr>
                <w:sz w:val="16"/>
              </w:rPr>
              <w:t>Citrix documented</w:t>
            </w:r>
          </w:p>
        </w:tc>
      </w:tr>
      <w:tr>
        <w:tc>
          <w:tcPr>
            <w:tcW w:type="dxa" w:w="2628"/>
            <w:vAlign w:val="center"/>
          </w:tcPr>
          <w:p>
            <w:pPr>
              <w:spacing w:after="40"/>
            </w:pPr>
            <w:r>
              <w:rPr>
                <w:sz w:val="16"/>
              </w:rPr>
              <w:t>device_id</w:t>
            </w:r>
          </w:p>
        </w:tc>
        <w:tc>
          <w:tcPr>
            <w:tcW w:type="dxa" w:w="2628"/>
            <w:vAlign w:val="center"/>
          </w:tcPr>
          <w:p>
            <w:pPr>
              <w:spacing w:after="40"/>
            </w:pPr>
            <w:r>
              <w:rPr>
                <w:sz w:val="16"/>
              </w:rPr>
              <w:t>Recommended</w:t>
            </w:r>
          </w:p>
        </w:tc>
        <w:tc>
          <w:tcPr>
            <w:tcW w:type="dxa" w:w="2628"/>
            <w:vAlign w:val="center"/>
          </w:tcPr>
          <w:p>
            <w:pPr>
              <w:spacing w:after="40"/>
            </w:pPr>
            <w:r>
              <w:rPr>
                <w:sz w:val="16"/>
              </w:rPr>
              <w:t>Endpoint correlation</w:t>
            </w:r>
          </w:p>
        </w:tc>
        <w:tc>
          <w:tcPr>
            <w:tcW w:type="dxa" w:w="2628"/>
            <w:vAlign w:val="center"/>
          </w:tcPr>
          <w:p>
            <w:pPr>
              <w:spacing w:after="40"/>
            </w:pPr>
            <w:r>
              <w:rPr>
                <w:sz w:val="16"/>
              </w:rPr>
              <w:t>Citrix documented</w:t>
            </w:r>
          </w:p>
        </w:tc>
      </w:tr>
      <w:tr>
        <w:tc>
          <w:tcPr>
            <w:tcW w:type="dxa" w:w="2628"/>
            <w:vAlign w:val="center"/>
          </w:tcPr>
          <w:p>
            <w:pPr>
              <w:spacing w:after="40"/>
            </w:pPr>
            <w:r>
              <w:rPr>
                <w:sz w:val="16"/>
              </w:rPr>
              <w:t>os_name / os_version</w:t>
            </w:r>
          </w:p>
        </w:tc>
        <w:tc>
          <w:tcPr>
            <w:tcW w:type="dxa" w:w="2628"/>
            <w:vAlign w:val="center"/>
          </w:tcPr>
          <w:p>
            <w:pPr>
              <w:spacing w:after="40"/>
            </w:pPr>
            <w:r>
              <w:rPr>
                <w:sz w:val="16"/>
              </w:rPr>
              <w:t>Recommended</w:t>
            </w:r>
          </w:p>
        </w:tc>
        <w:tc>
          <w:tcPr>
            <w:tcW w:type="dxa" w:w="2628"/>
            <w:vAlign w:val="center"/>
          </w:tcPr>
          <w:p>
            <w:pPr>
              <w:spacing w:after="40"/>
            </w:pPr>
            <w:r>
              <w:rPr>
                <w:sz w:val="16"/>
              </w:rPr>
              <w:t>Client compatibility / segmentation</w:t>
            </w:r>
          </w:p>
        </w:tc>
        <w:tc>
          <w:tcPr>
            <w:tcW w:type="dxa" w:w="2628"/>
            <w:vAlign w:val="center"/>
          </w:tcPr>
          <w:p>
            <w:pPr>
              <w:spacing w:after="40"/>
            </w:pPr>
            <w:r>
              <w:rPr>
                <w:sz w:val="16"/>
              </w:rPr>
              <w:t>Citrix documented</w:t>
            </w:r>
          </w:p>
        </w:tc>
      </w:tr>
      <w:tr>
        <w:tc>
          <w:tcPr>
            <w:tcW w:type="dxa" w:w="2628"/>
            <w:vAlign w:val="center"/>
          </w:tcPr>
          <w:p>
            <w:pPr>
              <w:spacing w:after="40"/>
            </w:pPr>
            <w:r>
              <w:rPr>
                <w:sz w:val="16"/>
              </w:rPr>
              <w:t>app_name / launch_type</w:t>
            </w:r>
          </w:p>
        </w:tc>
        <w:tc>
          <w:tcPr>
            <w:tcW w:type="dxa" w:w="2628"/>
            <w:vAlign w:val="center"/>
          </w:tcPr>
          <w:p>
            <w:pPr>
              <w:spacing w:after="40"/>
            </w:pPr>
            <w:r>
              <w:rPr>
                <w:sz w:val="16"/>
              </w:rPr>
              <w:t>Required for app metrics</w:t>
            </w:r>
          </w:p>
        </w:tc>
        <w:tc>
          <w:tcPr>
            <w:tcW w:type="dxa" w:w="2628"/>
            <w:vAlign w:val="center"/>
          </w:tcPr>
          <w:p>
            <w:pPr>
              <w:spacing w:after="40"/>
            </w:pPr>
            <w:r>
              <w:rPr>
                <w:sz w:val="16"/>
              </w:rPr>
              <w:t>Application/desktop scope</w:t>
            </w:r>
          </w:p>
        </w:tc>
        <w:tc>
          <w:tcPr>
            <w:tcW w:type="dxa" w:w="2628"/>
            <w:vAlign w:val="center"/>
          </w:tcPr>
          <w:p>
            <w:pPr>
              <w:spacing w:after="40"/>
            </w:pPr>
            <w:r>
              <w:rPr>
                <w:sz w:val="16"/>
              </w:rPr>
              <w:t>Citrix documented</w:t>
            </w:r>
          </w:p>
        </w:tc>
      </w:tr>
      <w:tr>
        <w:tc>
          <w:tcPr>
            <w:tcW w:type="dxa" w:w="2628"/>
            <w:vAlign w:val="center"/>
          </w:tcPr>
          <w:p>
            <w:pPr>
              <w:spacing w:after="40"/>
            </w:pPr>
            <w:r>
              <w:rPr>
                <w:sz w:val="16"/>
              </w:rPr>
              <w:t>server_name / domain</w:t>
            </w:r>
          </w:p>
        </w:tc>
        <w:tc>
          <w:tcPr>
            <w:tcW w:type="dxa" w:w="2628"/>
            <w:vAlign w:val="center"/>
          </w:tcPr>
          <w:p>
            <w:pPr>
              <w:spacing w:after="40"/>
            </w:pPr>
            <w:r>
              <w:rPr>
                <w:sz w:val="16"/>
              </w:rPr>
              <w:t>Recommended</w:t>
            </w:r>
          </w:p>
        </w:tc>
        <w:tc>
          <w:tcPr>
            <w:tcW w:type="dxa" w:w="2628"/>
            <w:vAlign w:val="center"/>
          </w:tcPr>
          <w:p>
            <w:pPr>
              <w:spacing w:after="40"/>
            </w:pPr>
            <w:r>
              <w:rPr>
                <w:sz w:val="16"/>
              </w:rPr>
              <w:t>Backend/session host scope</w:t>
            </w:r>
          </w:p>
        </w:tc>
        <w:tc>
          <w:tcPr>
            <w:tcW w:type="dxa" w:w="2628"/>
            <w:vAlign w:val="center"/>
          </w:tcPr>
          <w:p>
            <w:pPr>
              <w:spacing w:after="40"/>
            </w:pPr>
            <w:r>
              <w:rPr>
                <w:sz w:val="16"/>
              </w:rPr>
              <w:t>Citrix documented</w:t>
            </w:r>
          </w:p>
        </w:tc>
      </w:tr>
      <w:tr>
        <w:tc>
          <w:tcPr>
            <w:tcW w:type="dxa" w:w="2628"/>
            <w:vAlign w:val="center"/>
          </w:tcPr>
          <w:p>
            <w:pPr>
              <w:spacing w:after="40"/>
            </w:pPr>
            <w:r>
              <w:rPr>
                <w:sz w:val="16"/>
              </w:rPr>
              <w:t>city / country</w:t>
            </w:r>
          </w:p>
        </w:tc>
        <w:tc>
          <w:tcPr>
            <w:tcW w:type="dxa" w:w="2628"/>
            <w:vAlign w:val="center"/>
          </w:tcPr>
          <w:p>
            <w:pPr>
              <w:spacing w:after="40"/>
            </w:pPr>
            <w:r>
              <w:rPr>
                <w:sz w:val="16"/>
              </w:rPr>
              <w:t>Optional / sensitive</w:t>
            </w:r>
          </w:p>
        </w:tc>
        <w:tc>
          <w:tcPr>
            <w:tcW w:type="dxa" w:w="2628"/>
            <w:vAlign w:val="center"/>
          </w:tcPr>
          <w:p>
            <w:pPr>
              <w:spacing w:after="40"/>
            </w:pPr>
            <w:r>
              <w:rPr>
                <w:sz w:val="16"/>
              </w:rPr>
              <w:t>Location segmentation / risk context</w:t>
            </w:r>
          </w:p>
        </w:tc>
        <w:tc>
          <w:tcPr>
            <w:tcW w:type="dxa" w:w="2628"/>
            <w:vAlign w:val="center"/>
          </w:tcPr>
          <w:p>
            <w:pPr>
              <w:spacing w:after="40"/>
            </w:pPr>
            <w:r>
              <w:rPr>
                <w:sz w:val="16"/>
              </w:rPr>
              <w:t>Citrix documented</w:t>
            </w:r>
          </w:p>
        </w:tc>
      </w:tr>
      <w:tr>
        <w:tc>
          <w:tcPr>
            <w:tcW w:type="dxa" w:w="2628"/>
            <w:vAlign w:val="center"/>
          </w:tcPr>
          <w:p>
            <w:pPr>
              <w:spacing w:after="40"/>
            </w:pPr>
            <w:r>
              <w:rPr>
                <w:sz w:val="16"/>
              </w:rPr>
              <w:t>indicator_uuid / indicator_name / severity</w:t>
            </w:r>
          </w:p>
        </w:tc>
        <w:tc>
          <w:tcPr>
            <w:tcW w:type="dxa" w:w="2628"/>
            <w:vAlign w:val="center"/>
          </w:tcPr>
          <w:p>
            <w:pPr>
              <w:spacing w:after="40"/>
            </w:pPr>
            <w:r>
              <w:rPr>
                <w:sz w:val="16"/>
              </w:rPr>
              <w:t>Required for risk views</w:t>
            </w:r>
          </w:p>
        </w:tc>
        <w:tc>
          <w:tcPr>
            <w:tcW w:type="dxa" w:w="2628"/>
            <w:vAlign w:val="center"/>
          </w:tcPr>
          <w:p>
            <w:pPr>
              <w:spacing w:after="40"/>
            </w:pPr>
            <w:r>
              <w:rPr>
                <w:sz w:val="16"/>
              </w:rPr>
              <w:t>Risk correlation</w:t>
            </w:r>
          </w:p>
        </w:tc>
        <w:tc>
          <w:tcPr>
            <w:tcW w:type="dxa" w:w="2628"/>
            <w:vAlign w:val="center"/>
          </w:tcPr>
          <w:p>
            <w:pPr>
              <w:spacing w:after="40"/>
            </w:pPr>
            <w:r>
              <w:rPr>
                <w:sz w:val="16"/>
              </w:rPr>
              <w:t>Citrix documented for risk indicators</w:t>
            </w:r>
          </w:p>
        </w:tc>
      </w:tr>
      <w:tr>
        <w:tc>
          <w:tcPr>
            <w:tcW w:type="dxa" w:w="2628"/>
            <w:vAlign w:val="center"/>
          </w:tcPr>
          <w:p>
            <w:pPr>
              <w:spacing w:after="40"/>
            </w:pPr>
            <w:r>
              <w:rPr>
                <w:sz w:val="16"/>
              </w:rPr>
              <w:t>ingested_at</w:t>
            </w:r>
          </w:p>
        </w:tc>
        <w:tc>
          <w:tcPr>
            <w:tcW w:type="dxa" w:w="2628"/>
            <w:vAlign w:val="center"/>
          </w:tcPr>
          <w:p>
            <w:pPr>
              <w:spacing w:after="40"/>
            </w:pPr>
            <w:r>
              <w:rPr>
                <w:sz w:val="16"/>
              </w:rPr>
              <w:t>Required enterprise field</w:t>
            </w:r>
          </w:p>
        </w:tc>
        <w:tc>
          <w:tcPr>
            <w:tcW w:type="dxa" w:w="2628"/>
            <w:vAlign w:val="center"/>
          </w:tcPr>
          <w:p>
            <w:pPr>
              <w:spacing w:after="40"/>
            </w:pPr>
            <w:r>
              <w:rPr>
                <w:sz w:val="16"/>
              </w:rPr>
              <w:t>Measure pipeline freshness</w:t>
            </w:r>
          </w:p>
        </w:tc>
        <w:tc>
          <w:tcPr>
            <w:tcW w:type="dxa" w:w="2628"/>
            <w:vAlign w:val="center"/>
          </w:tcPr>
          <w:p>
            <w:pPr>
              <w:spacing w:after="40"/>
            </w:pPr>
            <w:r>
              <w:rPr>
                <w:sz w:val="16"/>
              </w:rPr>
              <w:t>Enterprise-derived</w:t>
            </w:r>
          </w:p>
        </w:tc>
      </w:tr>
      <w:tr>
        <w:tc>
          <w:tcPr>
            <w:tcW w:type="dxa" w:w="2628"/>
            <w:vAlign w:val="center"/>
          </w:tcPr>
          <w:p>
            <w:pPr>
              <w:spacing w:after="40"/>
            </w:pPr>
            <w:r>
              <w:rPr>
                <w:sz w:val="16"/>
              </w:rPr>
              <w:t>pipeline_run_id / source_offset</w:t>
            </w:r>
          </w:p>
        </w:tc>
        <w:tc>
          <w:tcPr>
            <w:tcW w:type="dxa" w:w="2628"/>
            <w:vAlign w:val="center"/>
          </w:tcPr>
          <w:p>
            <w:pPr>
              <w:spacing w:after="40"/>
            </w:pPr>
            <w:r>
              <w:rPr>
                <w:sz w:val="16"/>
              </w:rPr>
              <w:t>Required enterprise field</w:t>
            </w:r>
          </w:p>
        </w:tc>
        <w:tc>
          <w:tcPr>
            <w:tcW w:type="dxa" w:w="2628"/>
            <w:vAlign w:val="center"/>
          </w:tcPr>
          <w:p>
            <w:pPr>
              <w:spacing w:after="40"/>
            </w:pPr>
            <w:r>
              <w:rPr>
                <w:sz w:val="16"/>
              </w:rPr>
              <w:t>Replay/audit/troubleshooting</w:t>
            </w:r>
          </w:p>
        </w:tc>
        <w:tc>
          <w:tcPr>
            <w:tcW w:type="dxa" w:w="2628"/>
            <w:vAlign w:val="center"/>
          </w:tcPr>
          <w:p>
            <w:pPr>
              <w:spacing w:after="40"/>
            </w:pPr>
            <w:r>
              <w:rPr>
                <w:sz w:val="16"/>
              </w:rPr>
              <w:t>Enterprise-derived</w:t>
            </w:r>
          </w:p>
        </w:tc>
      </w:tr>
    </w:tbl>
    <w:p>
      <w:pPr>
        <w:pStyle w:val="Heading1"/>
      </w:pPr>
      <w:r>
        <w:t>5. Critical SRE metrics - MVP</w:t>
      </w:r>
    </w:p>
    <w:p>
      <w:r>
        <w:t>The following is the recommended MVP metric catalog. 'Direct' means the metric can be calculated from fields/event types explicitly documented in the referenced Citrix SIEM material. 'Derived' means enterprise logic is required. 'Gap' means the cited schema is not sufficient and another Citrix source/field must be confirmed.</w:t>
      </w:r>
    </w:p>
    <w:tbl>
      <w:tblPr>
        <w:tblStyle w:val="LightShading-Accent1"/>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502"/>
            <w:vAlign w:val="center"/>
          </w:tcPr>
          <w:p>
            <w:pPr>
              <w:spacing w:after="40"/>
            </w:pPr>
            <w:r>
              <w:rPr>
                <w:sz w:val="16"/>
              </w:rPr>
              <w:t>Metric</w:t>
            </w:r>
          </w:p>
        </w:tc>
        <w:tc>
          <w:tcPr>
            <w:tcW w:type="dxa" w:w="1502"/>
            <w:vAlign w:val="center"/>
          </w:tcPr>
          <w:p>
            <w:pPr>
              <w:spacing w:after="40"/>
            </w:pPr>
            <w:r>
              <w:rPr>
                <w:sz w:val="16"/>
              </w:rPr>
              <w:t>Definition</w:t>
            </w:r>
          </w:p>
        </w:tc>
        <w:tc>
          <w:tcPr>
            <w:tcW w:type="dxa" w:w="1502"/>
            <w:vAlign w:val="center"/>
          </w:tcPr>
          <w:p>
            <w:pPr>
              <w:spacing w:after="40"/>
            </w:pPr>
            <w:r>
              <w:rPr>
                <w:sz w:val="16"/>
              </w:rPr>
              <w:t>Calculation / source</w:t>
            </w:r>
          </w:p>
        </w:tc>
        <w:tc>
          <w:tcPr>
            <w:tcW w:type="dxa" w:w="1502"/>
            <w:vAlign w:val="center"/>
          </w:tcPr>
          <w:p>
            <w:pPr>
              <w:spacing w:after="40"/>
            </w:pPr>
            <w:r>
              <w:rPr>
                <w:sz w:val="16"/>
              </w:rPr>
              <w:t>Dimensions</w:t>
            </w:r>
          </w:p>
        </w:tc>
        <w:tc>
          <w:tcPr>
            <w:tcW w:type="dxa" w:w="1502"/>
            <w:vAlign w:val="center"/>
          </w:tcPr>
          <w:p>
            <w:pPr>
              <w:spacing w:after="40"/>
            </w:pPr>
            <w:r>
              <w:rPr>
                <w:sz w:val="16"/>
              </w:rPr>
              <w:t>Alert / use</w:t>
            </w:r>
          </w:p>
        </w:tc>
        <w:tc>
          <w:tcPr>
            <w:tcW w:type="dxa" w:w="1502"/>
            <w:vAlign w:val="center"/>
          </w:tcPr>
          <w:p>
            <w:pPr>
              <w:spacing w:after="40"/>
            </w:pPr>
            <w:r>
              <w:rPr>
                <w:sz w:val="16"/>
              </w:rPr>
              <w:t>Evidence</w:t>
            </w:r>
          </w:p>
        </w:tc>
        <w:tc>
          <w:tcPr>
            <w:tcW w:type="dxa" w:w="1502"/>
            <w:vAlign w:val="center"/>
          </w:tcPr>
          <w:p>
            <w:pPr>
              <w:spacing w:after="40"/>
            </w:pPr>
            <w:r>
              <w:rPr>
                <w:sz w:val="16"/>
              </w:rPr>
              <w:t>Priority</w:t>
            </w:r>
          </w:p>
        </w:tc>
      </w:tr>
      <w:tr>
        <w:tc>
          <w:tcPr>
            <w:tcW w:type="dxa" w:w="1502"/>
            <w:vAlign w:val="center"/>
          </w:tcPr>
          <w:p>
            <w:pPr>
              <w:spacing w:after="40"/>
            </w:pPr>
            <w:r>
              <w:rPr>
                <w:sz w:val="16"/>
              </w:rPr>
              <w:t>Telemetry freshness</w:t>
            </w:r>
          </w:p>
        </w:tc>
        <w:tc>
          <w:tcPr>
            <w:tcW w:type="dxa" w:w="1502"/>
            <w:vAlign w:val="center"/>
          </w:tcPr>
          <w:p>
            <w:pPr>
              <w:spacing w:after="40"/>
            </w:pPr>
            <w:r>
              <w:rPr>
                <w:sz w:val="16"/>
              </w:rPr>
              <w:t>Minutes since latest Citrix event reached Snowflake</w:t>
            </w:r>
          </w:p>
        </w:tc>
        <w:tc>
          <w:tcPr>
            <w:tcW w:type="dxa" w:w="1502"/>
            <w:vAlign w:val="center"/>
          </w:tcPr>
          <w:p>
            <w:pPr>
              <w:spacing w:after="40"/>
            </w:pPr>
            <w:r>
              <w:rPr>
                <w:sz w:val="16"/>
              </w:rPr>
              <w:t>Now - max(ingested_at/event timestamp)</w:t>
            </w:r>
          </w:p>
        </w:tc>
        <w:tc>
          <w:tcPr>
            <w:tcW w:type="dxa" w:w="1502"/>
            <w:vAlign w:val="center"/>
          </w:tcPr>
          <w:p>
            <w:pPr>
              <w:spacing w:after="40"/>
            </w:pPr>
            <w:r>
              <w:rPr>
                <w:sz w:val="16"/>
              </w:rPr>
              <w:t>Platform / tenant</w:t>
            </w:r>
          </w:p>
        </w:tc>
        <w:tc>
          <w:tcPr>
            <w:tcW w:type="dxa" w:w="1502"/>
            <w:vAlign w:val="center"/>
          </w:tcPr>
          <w:p>
            <w:pPr>
              <w:spacing w:after="40"/>
            </w:pPr>
            <w:r>
              <w:rPr>
                <w:sz w:val="16"/>
              </w:rPr>
              <w:t>Warning: agreed freshness budget breached; Critical: sustained no-data</w:t>
            </w:r>
          </w:p>
        </w:tc>
        <w:tc>
          <w:tcPr>
            <w:tcW w:type="dxa" w:w="1502"/>
            <w:vAlign w:val="center"/>
          </w:tcPr>
          <w:p>
            <w:pPr>
              <w:spacing w:after="40"/>
            </w:pPr>
            <w:r>
              <w:rPr>
                <w:sz w:val="16"/>
              </w:rPr>
              <w:t>Derived</w:t>
            </w:r>
          </w:p>
        </w:tc>
        <w:tc>
          <w:tcPr>
            <w:tcW w:type="dxa" w:w="1502"/>
            <w:vAlign w:val="center"/>
          </w:tcPr>
          <w:p>
            <w:pPr>
              <w:spacing w:after="40"/>
            </w:pPr>
            <w:r>
              <w:rPr>
                <w:sz w:val="16"/>
              </w:rPr>
              <w:t>P0</w:t>
            </w:r>
          </w:p>
        </w:tc>
      </w:tr>
      <w:tr>
        <w:tc>
          <w:tcPr>
            <w:tcW w:type="dxa" w:w="1502"/>
            <w:vAlign w:val="center"/>
          </w:tcPr>
          <w:p>
            <w:pPr>
              <w:spacing w:after="40"/>
            </w:pPr>
            <w:r>
              <w:rPr>
                <w:sz w:val="16"/>
              </w:rPr>
              <w:t>Event ingestion volume</w:t>
            </w:r>
          </w:p>
        </w:tc>
        <w:tc>
          <w:tcPr>
            <w:tcW w:type="dxa" w:w="1502"/>
            <w:vAlign w:val="center"/>
          </w:tcPr>
          <w:p>
            <w:pPr>
              <w:spacing w:after="40"/>
            </w:pPr>
            <w:r>
              <w:rPr>
                <w:sz w:val="16"/>
              </w:rPr>
              <w:t>Citrix events received per 5/15 min</w:t>
            </w:r>
          </w:p>
        </w:tc>
        <w:tc>
          <w:tcPr>
            <w:tcW w:type="dxa" w:w="1502"/>
            <w:vAlign w:val="center"/>
          </w:tcPr>
          <w:p>
            <w:pPr>
              <w:spacing w:after="40"/>
            </w:pPr>
            <w:r>
              <w:rPr>
                <w:sz w:val="16"/>
              </w:rPr>
              <w:t>count(events)</w:t>
            </w:r>
          </w:p>
        </w:tc>
        <w:tc>
          <w:tcPr>
            <w:tcW w:type="dxa" w:w="1502"/>
            <w:vAlign w:val="center"/>
          </w:tcPr>
          <w:p>
            <w:pPr>
              <w:spacing w:after="40"/>
            </w:pPr>
            <w:r>
              <w:rPr>
                <w:sz w:val="16"/>
              </w:rPr>
              <w:t>Tenant / event type</w:t>
            </w:r>
          </w:p>
        </w:tc>
        <w:tc>
          <w:tcPr>
            <w:tcW w:type="dxa" w:w="1502"/>
            <w:vAlign w:val="center"/>
          </w:tcPr>
          <w:p>
            <w:pPr>
              <w:spacing w:after="40"/>
            </w:pPr>
            <w:r>
              <w:rPr>
                <w:sz w:val="16"/>
              </w:rPr>
              <w:t>Alert on sudden material drop vs baseline</w:t>
            </w:r>
          </w:p>
        </w:tc>
        <w:tc>
          <w:tcPr>
            <w:tcW w:type="dxa" w:w="1502"/>
            <w:vAlign w:val="center"/>
          </w:tcPr>
          <w:p>
            <w:pPr>
              <w:spacing w:after="40"/>
            </w:pPr>
            <w:r>
              <w:rPr>
                <w:sz w:val="16"/>
              </w:rPr>
              <w:t>Direct + derived</w:t>
            </w:r>
          </w:p>
        </w:tc>
        <w:tc>
          <w:tcPr>
            <w:tcW w:type="dxa" w:w="1502"/>
            <w:vAlign w:val="center"/>
          </w:tcPr>
          <w:p>
            <w:pPr>
              <w:spacing w:after="40"/>
            </w:pPr>
            <w:r>
              <w:rPr>
                <w:sz w:val="16"/>
              </w:rPr>
              <w:t>P0</w:t>
            </w:r>
          </w:p>
        </w:tc>
      </w:tr>
      <w:tr>
        <w:tc>
          <w:tcPr>
            <w:tcW w:type="dxa" w:w="1502"/>
            <w:vAlign w:val="center"/>
          </w:tcPr>
          <w:p>
            <w:pPr>
              <w:spacing w:after="40"/>
            </w:pPr>
            <w:r>
              <w:rPr>
                <w:sz w:val="16"/>
              </w:rPr>
              <w:t>Pipeline failure rate</w:t>
            </w:r>
          </w:p>
        </w:tc>
        <w:tc>
          <w:tcPr>
            <w:tcW w:type="dxa" w:w="1502"/>
            <w:vAlign w:val="center"/>
          </w:tcPr>
          <w:p>
            <w:pPr>
              <w:spacing w:after="40"/>
            </w:pPr>
            <w:r>
              <w:rPr>
                <w:sz w:val="16"/>
              </w:rPr>
              <w:t>Rejected/quarantined records ÷ total received</w:t>
            </w:r>
          </w:p>
        </w:tc>
        <w:tc>
          <w:tcPr>
            <w:tcW w:type="dxa" w:w="1502"/>
            <w:vAlign w:val="center"/>
          </w:tcPr>
          <w:p>
            <w:pPr>
              <w:spacing w:after="40"/>
            </w:pPr>
            <w:r>
              <w:rPr>
                <w:sz w:val="16"/>
              </w:rPr>
              <w:t>reject_count / total_count</w:t>
            </w:r>
          </w:p>
        </w:tc>
        <w:tc>
          <w:tcPr>
            <w:tcW w:type="dxa" w:w="1502"/>
            <w:vAlign w:val="center"/>
          </w:tcPr>
          <w:p>
            <w:pPr>
              <w:spacing w:after="40"/>
            </w:pPr>
            <w:r>
              <w:rPr>
                <w:sz w:val="16"/>
              </w:rPr>
              <w:t>Pipeline / schema version</w:t>
            </w:r>
          </w:p>
        </w:tc>
        <w:tc>
          <w:tcPr>
            <w:tcW w:type="dxa" w:w="1502"/>
            <w:vAlign w:val="center"/>
          </w:tcPr>
          <w:p>
            <w:pPr>
              <w:spacing w:after="40"/>
            </w:pPr>
            <w:r>
              <w:rPr>
                <w:sz w:val="16"/>
              </w:rPr>
              <w:t>Alert on non-zero sustained failures or sharp increase</w:t>
            </w:r>
          </w:p>
        </w:tc>
        <w:tc>
          <w:tcPr>
            <w:tcW w:type="dxa" w:w="1502"/>
            <w:vAlign w:val="center"/>
          </w:tcPr>
          <w:p>
            <w:pPr>
              <w:spacing w:after="40"/>
            </w:pPr>
            <w:r>
              <w:rPr>
                <w:sz w:val="16"/>
              </w:rPr>
              <w:t>Enterprise-derived</w:t>
            </w:r>
          </w:p>
        </w:tc>
        <w:tc>
          <w:tcPr>
            <w:tcW w:type="dxa" w:w="1502"/>
            <w:vAlign w:val="center"/>
          </w:tcPr>
          <w:p>
            <w:pPr>
              <w:spacing w:after="40"/>
            </w:pPr>
            <w:r>
              <w:rPr>
                <w:sz w:val="16"/>
              </w:rPr>
              <w:t>P0</w:t>
            </w:r>
          </w:p>
        </w:tc>
      </w:tr>
      <w:tr>
        <w:tc>
          <w:tcPr>
            <w:tcW w:type="dxa" w:w="1502"/>
            <w:vAlign w:val="center"/>
          </w:tcPr>
          <w:p>
            <w:pPr>
              <w:spacing w:after="40"/>
            </w:pPr>
            <w:r>
              <w:rPr>
                <w:sz w:val="16"/>
              </w:rPr>
              <w:t>Duplicate rate</w:t>
            </w:r>
          </w:p>
        </w:tc>
        <w:tc>
          <w:tcPr>
            <w:tcW w:type="dxa" w:w="1502"/>
            <w:vAlign w:val="center"/>
          </w:tcPr>
          <w:p>
            <w:pPr>
              <w:spacing w:after="40"/>
            </w:pPr>
            <w:r>
              <w:rPr>
                <w:sz w:val="16"/>
              </w:rPr>
              <w:t>Duplicate event IDs or replay duplicates ÷ total</w:t>
            </w:r>
          </w:p>
        </w:tc>
        <w:tc>
          <w:tcPr>
            <w:tcW w:type="dxa" w:w="1502"/>
            <w:vAlign w:val="center"/>
          </w:tcPr>
          <w:p>
            <w:pPr>
              <w:spacing w:after="40"/>
            </w:pPr>
            <w:r>
              <w:rPr>
                <w:sz w:val="16"/>
              </w:rPr>
              <w:t>duplicate_count / total_count</w:t>
            </w:r>
          </w:p>
        </w:tc>
        <w:tc>
          <w:tcPr>
            <w:tcW w:type="dxa" w:w="1502"/>
            <w:vAlign w:val="center"/>
          </w:tcPr>
          <w:p>
            <w:pPr>
              <w:spacing w:after="40"/>
            </w:pPr>
            <w:r>
              <w:rPr>
                <w:sz w:val="16"/>
              </w:rPr>
              <w:t>Tenant / event type</w:t>
            </w:r>
          </w:p>
        </w:tc>
        <w:tc>
          <w:tcPr>
            <w:tcW w:type="dxa" w:w="1502"/>
            <w:vAlign w:val="center"/>
          </w:tcPr>
          <w:p>
            <w:pPr>
              <w:spacing w:after="40"/>
            </w:pPr>
            <w:r>
              <w:rPr>
                <w:sz w:val="16"/>
              </w:rPr>
              <w:t>Alert when above agreed tolerance</w:t>
            </w:r>
          </w:p>
        </w:tc>
        <w:tc>
          <w:tcPr>
            <w:tcW w:type="dxa" w:w="1502"/>
            <w:vAlign w:val="center"/>
          </w:tcPr>
          <w:p>
            <w:pPr>
              <w:spacing w:after="40"/>
            </w:pPr>
            <w:r>
              <w:rPr>
                <w:sz w:val="16"/>
              </w:rPr>
              <w:t>Derived</w:t>
            </w:r>
          </w:p>
        </w:tc>
        <w:tc>
          <w:tcPr>
            <w:tcW w:type="dxa" w:w="1502"/>
            <w:vAlign w:val="center"/>
          </w:tcPr>
          <w:p>
            <w:pPr>
              <w:spacing w:after="40"/>
            </w:pPr>
            <w:r>
              <w:rPr>
                <w:sz w:val="16"/>
              </w:rPr>
              <w:t>P1</w:t>
            </w:r>
          </w:p>
        </w:tc>
      </w:tr>
      <w:tr>
        <w:tc>
          <w:tcPr>
            <w:tcW w:type="dxa" w:w="1502"/>
            <w:vAlign w:val="center"/>
          </w:tcPr>
          <w:p>
            <w:pPr>
              <w:spacing w:after="40"/>
            </w:pPr>
            <w:r>
              <w:rPr>
                <w:sz w:val="16"/>
              </w:rPr>
              <w:t>Schema/version drift</w:t>
            </w:r>
          </w:p>
        </w:tc>
        <w:tc>
          <w:tcPr>
            <w:tcW w:type="dxa" w:w="1502"/>
            <w:vAlign w:val="center"/>
          </w:tcPr>
          <w:p>
            <w:pPr>
              <w:spacing w:after="40"/>
            </w:pPr>
            <w:r>
              <w:rPr>
                <w:sz w:val="16"/>
              </w:rPr>
              <w:t>Events with unknown version/shape</w:t>
            </w:r>
          </w:p>
        </w:tc>
        <w:tc>
          <w:tcPr>
            <w:tcW w:type="dxa" w:w="1502"/>
            <w:vAlign w:val="center"/>
          </w:tcPr>
          <w:p>
            <w:pPr>
              <w:spacing w:after="40"/>
            </w:pPr>
            <w:r>
              <w:rPr>
                <w:sz w:val="16"/>
              </w:rPr>
              <w:t>count(unsupported_schema)</w:t>
            </w:r>
          </w:p>
        </w:tc>
        <w:tc>
          <w:tcPr>
            <w:tcW w:type="dxa" w:w="1502"/>
            <w:vAlign w:val="center"/>
          </w:tcPr>
          <w:p>
            <w:pPr>
              <w:spacing w:after="40"/>
            </w:pPr>
            <w:r>
              <w:rPr>
                <w:sz w:val="16"/>
              </w:rPr>
              <w:t>Version</w:t>
            </w:r>
          </w:p>
        </w:tc>
        <w:tc>
          <w:tcPr>
            <w:tcW w:type="dxa" w:w="1502"/>
            <w:vAlign w:val="center"/>
          </w:tcPr>
          <w:p>
            <w:pPr>
              <w:spacing w:after="40"/>
            </w:pPr>
            <w:r>
              <w:rPr>
                <w:sz w:val="16"/>
              </w:rPr>
              <w:t>Critical if parsing/normalization is blocked</w:t>
            </w:r>
          </w:p>
        </w:tc>
        <w:tc>
          <w:tcPr>
            <w:tcW w:type="dxa" w:w="1502"/>
            <w:vAlign w:val="center"/>
          </w:tcPr>
          <w:p>
            <w:pPr>
              <w:spacing w:after="40"/>
            </w:pPr>
            <w:r>
              <w:rPr>
                <w:sz w:val="16"/>
              </w:rPr>
              <w:t>Direct + derived</w:t>
            </w:r>
          </w:p>
        </w:tc>
        <w:tc>
          <w:tcPr>
            <w:tcW w:type="dxa" w:w="1502"/>
            <w:vAlign w:val="center"/>
          </w:tcPr>
          <w:p>
            <w:pPr>
              <w:spacing w:after="40"/>
            </w:pPr>
            <w:r>
              <w:rPr>
                <w:sz w:val="16"/>
              </w:rPr>
              <w:t>P0</w:t>
            </w:r>
          </w:p>
        </w:tc>
      </w:tr>
      <w:tr>
        <w:tc>
          <w:tcPr>
            <w:tcW w:type="dxa" w:w="1502"/>
            <w:vAlign w:val="center"/>
          </w:tcPr>
          <w:p>
            <w:pPr>
              <w:spacing w:after="40"/>
            </w:pPr>
            <w:r>
              <w:rPr>
                <w:sz w:val="16"/>
              </w:rPr>
              <w:t>Session logon volume</w:t>
            </w:r>
          </w:p>
        </w:tc>
        <w:tc>
          <w:tcPr>
            <w:tcW w:type="dxa" w:w="1502"/>
            <w:vAlign w:val="center"/>
          </w:tcPr>
          <w:p>
            <w:pPr>
              <w:spacing w:after="40"/>
            </w:pPr>
            <w:r>
              <w:rPr>
                <w:sz w:val="16"/>
              </w:rPr>
              <w:t>Number of Session.Logon events</w:t>
            </w:r>
          </w:p>
        </w:tc>
        <w:tc>
          <w:tcPr>
            <w:tcW w:type="dxa" w:w="1502"/>
            <w:vAlign w:val="center"/>
          </w:tcPr>
          <w:p>
            <w:pPr>
              <w:spacing w:after="40"/>
            </w:pPr>
            <w:r>
              <w:rPr>
                <w:sz w:val="16"/>
              </w:rPr>
              <w:t>count(Session.Logon)</w:t>
            </w:r>
          </w:p>
        </w:tc>
        <w:tc>
          <w:tcPr>
            <w:tcW w:type="dxa" w:w="1502"/>
            <w:vAlign w:val="center"/>
          </w:tcPr>
          <w:p>
            <w:pPr>
              <w:spacing w:after="40"/>
            </w:pPr>
            <w:r>
              <w:rPr>
                <w:sz w:val="16"/>
              </w:rPr>
              <w:t>Tenant / app / server / device</w:t>
            </w:r>
          </w:p>
        </w:tc>
        <w:tc>
          <w:tcPr>
            <w:tcW w:type="dxa" w:w="1502"/>
            <w:vAlign w:val="center"/>
          </w:tcPr>
          <w:p>
            <w:pPr>
              <w:spacing w:after="40"/>
            </w:pPr>
            <w:r>
              <w:rPr>
                <w:sz w:val="16"/>
              </w:rPr>
              <w:t>Trend; anomaly if major drop/spike</w:t>
            </w:r>
          </w:p>
        </w:tc>
        <w:tc>
          <w:tcPr>
            <w:tcW w:type="dxa" w:w="1502"/>
            <w:vAlign w:val="center"/>
          </w:tcPr>
          <w:p>
            <w:pPr>
              <w:spacing w:after="40"/>
            </w:pPr>
            <w:r>
              <w:rPr>
                <w:sz w:val="16"/>
              </w:rPr>
              <w:t>Direct</w:t>
            </w:r>
          </w:p>
        </w:tc>
        <w:tc>
          <w:tcPr>
            <w:tcW w:type="dxa" w:w="1502"/>
            <w:vAlign w:val="center"/>
          </w:tcPr>
          <w:p>
            <w:pPr>
              <w:spacing w:after="40"/>
            </w:pPr>
            <w:r>
              <w:rPr>
                <w:sz w:val="16"/>
              </w:rPr>
              <w:t>P0</w:t>
            </w:r>
          </w:p>
        </w:tc>
      </w:tr>
      <w:tr>
        <w:tc>
          <w:tcPr>
            <w:tcW w:type="dxa" w:w="1502"/>
            <w:vAlign w:val="center"/>
          </w:tcPr>
          <w:p>
            <w:pPr>
              <w:spacing w:after="40"/>
            </w:pPr>
            <w:r>
              <w:rPr>
                <w:sz w:val="16"/>
              </w:rPr>
              <w:t>Session launch volume</w:t>
            </w:r>
          </w:p>
        </w:tc>
        <w:tc>
          <w:tcPr>
            <w:tcW w:type="dxa" w:w="1502"/>
            <w:vAlign w:val="center"/>
          </w:tcPr>
          <w:p>
            <w:pPr>
              <w:spacing w:after="40"/>
            </w:pPr>
            <w:r>
              <w:rPr>
                <w:sz w:val="16"/>
              </w:rPr>
              <w:t>Number of Session.Launch events</w:t>
            </w:r>
          </w:p>
        </w:tc>
        <w:tc>
          <w:tcPr>
            <w:tcW w:type="dxa" w:w="1502"/>
            <w:vAlign w:val="center"/>
          </w:tcPr>
          <w:p>
            <w:pPr>
              <w:spacing w:after="40"/>
            </w:pPr>
            <w:r>
              <w:rPr>
                <w:sz w:val="16"/>
              </w:rPr>
              <w:t>count(Session.Launch)</w:t>
            </w:r>
          </w:p>
        </w:tc>
        <w:tc>
          <w:tcPr>
            <w:tcW w:type="dxa" w:w="1502"/>
            <w:vAlign w:val="center"/>
          </w:tcPr>
          <w:p>
            <w:pPr>
              <w:spacing w:after="40"/>
            </w:pPr>
            <w:r>
              <w:rPr>
                <w:sz w:val="16"/>
              </w:rPr>
              <w:t>Tenant / app / launch type</w:t>
            </w:r>
          </w:p>
        </w:tc>
        <w:tc>
          <w:tcPr>
            <w:tcW w:type="dxa" w:w="1502"/>
            <w:vAlign w:val="center"/>
          </w:tcPr>
          <w:p>
            <w:pPr>
              <w:spacing w:after="40"/>
            </w:pPr>
            <w:r>
              <w:rPr>
                <w:sz w:val="16"/>
              </w:rPr>
              <w:t>Trend and compare with logons</w:t>
            </w:r>
          </w:p>
        </w:tc>
        <w:tc>
          <w:tcPr>
            <w:tcW w:type="dxa" w:w="1502"/>
            <w:vAlign w:val="center"/>
          </w:tcPr>
          <w:p>
            <w:pPr>
              <w:spacing w:after="40"/>
            </w:pPr>
            <w:r>
              <w:rPr>
                <w:sz w:val="16"/>
              </w:rPr>
              <w:t>Direct</w:t>
            </w:r>
          </w:p>
        </w:tc>
        <w:tc>
          <w:tcPr>
            <w:tcW w:type="dxa" w:w="1502"/>
            <w:vAlign w:val="center"/>
          </w:tcPr>
          <w:p>
            <w:pPr>
              <w:spacing w:after="40"/>
            </w:pPr>
            <w:r>
              <w:rPr>
                <w:sz w:val="16"/>
              </w:rPr>
              <w:t>P0</w:t>
            </w:r>
          </w:p>
        </w:tc>
      </w:tr>
      <w:tr>
        <w:tc>
          <w:tcPr>
            <w:tcW w:type="dxa" w:w="1502"/>
            <w:vAlign w:val="center"/>
          </w:tcPr>
          <w:p>
            <w:pPr>
              <w:spacing w:after="40"/>
            </w:pPr>
            <w:r>
              <w:rPr>
                <w:sz w:val="16"/>
              </w:rPr>
              <w:t>Session end volume</w:t>
            </w:r>
          </w:p>
        </w:tc>
        <w:tc>
          <w:tcPr>
            <w:tcW w:type="dxa" w:w="1502"/>
            <w:vAlign w:val="center"/>
          </w:tcPr>
          <w:p>
            <w:pPr>
              <w:spacing w:after="40"/>
            </w:pPr>
            <w:r>
              <w:rPr>
                <w:sz w:val="16"/>
              </w:rPr>
              <w:t>Number of Session.End events</w:t>
            </w:r>
          </w:p>
        </w:tc>
        <w:tc>
          <w:tcPr>
            <w:tcW w:type="dxa" w:w="1502"/>
            <w:vAlign w:val="center"/>
          </w:tcPr>
          <w:p>
            <w:pPr>
              <w:spacing w:after="40"/>
            </w:pPr>
            <w:r>
              <w:rPr>
                <w:sz w:val="16"/>
              </w:rPr>
              <w:t>count(Session.End)</w:t>
            </w:r>
          </w:p>
        </w:tc>
        <w:tc>
          <w:tcPr>
            <w:tcW w:type="dxa" w:w="1502"/>
            <w:vAlign w:val="center"/>
          </w:tcPr>
          <w:p>
            <w:pPr>
              <w:spacing w:after="40"/>
            </w:pPr>
            <w:r>
              <w:rPr>
                <w:sz w:val="16"/>
              </w:rPr>
              <w:t>Tenant / app / server</w:t>
            </w:r>
          </w:p>
        </w:tc>
        <w:tc>
          <w:tcPr>
            <w:tcW w:type="dxa" w:w="1502"/>
            <w:vAlign w:val="center"/>
          </w:tcPr>
          <w:p>
            <w:pPr>
              <w:spacing w:after="40"/>
            </w:pPr>
            <w:r>
              <w:rPr>
                <w:sz w:val="16"/>
              </w:rPr>
              <w:t>Trend and lifecycle reconciliation</w:t>
            </w:r>
          </w:p>
        </w:tc>
        <w:tc>
          <w:tcPr>
            <w:tcW w:type="dxa" w:w="1502"/>
            <w:vAlign w:val="center"/>
          </w:tcPr>
          <w:p>
            <w:pPr>
              <w:spacing w:after="40"/>
            </w:pPr>
            <w:r>
              <w:rPr>
                <w:sz w:val="16"/>
              </w:rPr>
              <w:t>Direct</w:t>
            </w:r>
          </w:p>
        </w:tc>
        <w:tc>
          <w:tcPr>
            <w:tcW w:type="dxa" w:w="1502"/>
            <w:vAlign w:val="center"/>
          </w:tcPr>
          <w:p>
            <w:pPr>
              <w:spacing w:after="40"/>
            </w:pPr>
            <w:r>
              <w:rPr>
                <w:sz w:val="16"/>
              </w:rPr>
              <w:t>P0</w:t>
            </w:r>
          </w:p>
        </w:tc>
      </w:tr>
      <w:tr>
        <w:tc>
          <w:tcPr>
            <w:tcW w:type="dxa" w:w="1502"/>
            <w:vAlign w:val="center"/>
          </w:tcPr>
          <w:p>
            <w:pPr>
              <w:spacing w:after="40"/>
            </w:pPr>
            <w:r>
              <w:rPr>
                <w:sz w:val="16"/>
              </w:rPr>
              <w:t>Estimated active sessions</w:t>
            </w:r>
          </w:p>
        </w:tc>
        <w:tc>
          <w:tcPr>
            <w:tcW w:type="dxa" w:w="1502"/>
            <w:vAlign w:val="center"/>
          </w:tcPr>
          <w:p>
            <w:pPr>
              <w:spacing w:after="40"/>
            </w:pPr>
            <w:r>
              <w:rPr>
                <w:sz w:val="16"/>
              </w:rPr>
              <w:t>Started/logged-on sessions without matching end within window</w:t>
            </w:r>
          </w:p>
        </w:tc>
        <w:tc>
          <w:tcPr>
            <w:tcW w:type="dxa" w:w="1502"/>
            <w:vAlign w:val="center"/>
          </w:tcPr>
          <w:p>
            <w:pPr>
              <w:spacing w:after="40"/>
            </w:pPr>
            <w:r>
              <w:rPr>
                <w:sz w:val="16"/>
              </w:rPr>
              <w:t>session_guid lifecycle reconciliation</w:t>
            </w:r>
          </w:p>
        </w:tc>
        <w:tc>
          <w:tcPr>
            <w:tcW w:type="dxa" w:w="1502"/>
            <w:vAlign w:val="center"/>
          </w:tcPr>
          <w:p>
            <w:pPr>
              <w:spacing w:after="40"/>
            </w:pPr>
            <w:r>
              <w:rPr>
                <w:sz w:val="16"/>
              </w:rPr>
              <w:t>Tenant / app / server</w:t>
            </w:r>
          </w:p>
        </w:tc>
        <w:tc>
          <w:tcPr>
            <w:tcW w:type="dxa" w:w="1502"/>
            <w:vAlign w:val="center"/>
          </w:tcPr>
          <w:p>
            <w:pPr>
              <w:spacing w:after="40"/>
            </w:pPr>
            <w:r>
              <w:rPr>
                <w:sz w:val="16"/>
              </w:rPr>
              <w:t>Capacity/health signal; define timeout policy</w:t>
            </w:r>
          </w:p>
        </w:tc>
        <w:tc>
          <w:tcPr>
            <w:tcW w:type="dxa" w:w="1502"/>
            <w:vAlign w:val="center"/>
          </w:tcPr>
          <w:p>
            <w:pPr>
              <w:spacing w:after="40"/>
            </w:pPr>
            <w:r>
              <w:rPr>
                <w:sz w:val="16"/>
              </w:rPr>
              <w:t>Derived</w:t>
            </w:r>
          </w:p>
        </w:tc>
        <w:tc>
          <w:tcPr>
            <w:tcW w:type="dxa" w:w="1502"/>
            <w:vAlign w:val="center"/>
          </w:tcPr>
          <w:p>
            <w:pPr>
              <w:spacing w:after="40"/>
            </w:pPr>
            <w:r>
              <w:rPr>
                <w:sz w:val="16"/>
              </w:rPr>
              <w:t>P0</w:t>
            </w:r>
          </w:p>
        </w:tc>
      </w:tr>
      <w:tr>
        <w:tc>
          <w:tcPr>
            <w:tcW w:type="dxa" w:w="1502"/>
            <w:vAlign w:val="center"/>
          </w:tcPr>
          <w:p>
            <w:pPr>
              <w:spacing w:after="40"/>
            </w:pPr>
            <w:r>
              <w:rPr>
                <w:sz w:val="16"/>
              </w:rPr>
              <w:t>Session lifecycle completeness</w:t>
            </w:r>
          </w:p>
        </w:tc>
        <w:tc>
          <w:tcPr>
            <w:tcW w:type="dxa" w:w="1502"/>
            <w:vAlign w:val="center"/>
          </w:tcPr>
          <w:p>
            <w:pPr>
              <w:spacing w:after="40"/>
            </w:pPr>
            <w:r>
              <w:rPr>
                <w:sz w:val="16"/>
              </w:rPr>
              <w:t>Sessions with expected lifecycle events ÷ sessions observed</w:t>
            </w:r>
          </w:p>
        </w:tc>
        <w:tc>
          <w:tcPr>
            <w:tcW w:type="dxa" w:w="1502"/>
            <w:vAlign w:val="center"/>
          </w:tcPr>
          <w:p>
            <w:pPr>
              <w:spacing w:after="40"/>
            </w:pPr>
            <w:r>
              <w:rPr>
                <w:sz w:val="16"/>
              </w:rPr>
              <w:t>complete session_guid chains / total</w:t>
            </w:r>
          </w:p>
        </w:tc>
        <w:tc>
          <w:tcPr>
            <w:tcW w:type="dxa" w:w="1502"/>
            <w:vAlign w:val="center"/>
          </w:tcPr>
          <w:p>
            <w:pPr>
              <w:spacing w:after="40"/>
            </w:pPr>
            <w:r>
              <w:rPr>
                <w:sz w:val="16"/>
              </w:rPr>
              <w:t>Tenant / source</w:t>
            </w:r>
          </w:p>
        </w:tc>
        <w:tc>
          <w:tcPr>
            <w:tcW w:type="dxa" w:w="1502"/>
            <w:vAlign w:val="center"/>
          </w:tcPr>
          <w:p>
            <w:pPr>
              <w:spacing w:after="40"/>
            </w:pPr>
            <w:r>
              <w:rPr>
                <w:sz w:val="16"/>
              </w:rPr>
              <w:t>Alert on missing lifecycle events/data loss</w:t>
            </w:r>
          </w:p>
        </w:tc>
        <w:tc>
          <w:tcPr>
            <w:tcW w:type="dxa" w:w="1502"/>
            <w:vAlign w:val="center"/>
          </w:tcPr>
          <w:p>
            <w:pPr>
              <w:spacing w:after="40"/>
            </w:pPr>
            <w:r>
              <w:rPr>
                <w:sz w:val="16"/>
              </w:rPr>
              <w:t>Derived</w:t>
            </w:r>
          </w:p>
        </w:tc>
        <w:tc>
          <w:tcPr>
            <w:tcW w:type="dxa" w:w="1502"/>
            <w:vAlign w:val="center"/>
          </w:tcPr>
          <w:p>
            <w:pPr>
              <w:spacing w:after="40"/>
            </w:pPr>
            <w:r>
              <w:rPr>
                <w:sz w:val="16"/>
              </w:rPr>
              <w:t>P0</w:t>
            </w:r>
          </w:p>
        </w:tc>
      </w:tr>
      <w:tr>
        <w:tc>
          <w:tcPr>
            <w:tcW w:type="dxa" w:w="1502"/>
            <w:vAlign w:val="center"/>
          </w:tcPr>
          <w:p>
            <w:pPr>
              <w:spacing w:after="40"/>
            </w:pPr>
            <w:r>
              <w:rPr>
                <w:sz w:val="16"/>
              </w:rPr>
              <w:t>Application start volume</w:t>
            </w:r>
          </w:p>
        </w:tc>
        <w:tc>
          <w:tcPr>
            <w:tcW w:type="dxa" w:w="1502"/>
            <w:vAlign w:val="center"/>
          </w:tcPr>
          <w:p>
            <w:pPr>
              <w:spacing w:after="40"/>
            </w:pPr>
            <w:r>
              <w:rPr>
                <w:sz w:val="16"/>
              </w:rPr>
              <w:t>App.Start events</w:t>
            </w:r>
          </w:p>
        </w:tc>
        <w:tc>
          <w:tcPr>
            <w:tcW w:type="dxa" w:w="1502"/>
            <w:vAlign w:val="center"/>
          </w:tcPr>
          <w:p>
            <w:pPr>
              <w:spacing w:after="40"/>
            </w:pPr>
            <w:r>
              <w:rPr>
                <w:sz w:val="16"/>
              </w:rPr>
              <w:t>count(App.Start)</w:t>
            </w:r>
          </w:p>
        </w:tc>
        <w:tc>
          <w:tcPr>
            <w:tcW w:type="dxa" w:w="1502"/>
            <w:vAlign w:val="center"/>
          </w:tcPr>
          <w:p>
            <w:pPr>
              <w:spacing w:after="40"/>
            </w:pPr>
            <w:r>
              <w:rPr>
                <w:sz w:val="16"/>
              </w:rPr>
              <w:t>App / server / tenant</w:t>
            </w:r>
          </w:p>
        </w:tc>
        <w:tc>
          <w:tcPr>
            <w:tcW w:type="dxa" w:w="1502"/>
            <w:vAlign w:val="center"/>
          </w:tcPr>
          <w:p>
            <w:pPr>
              <w:spacing w:after="40"/>
            </w:pPr>
            <w:r>
              <w:rPr>
                <w:sz w:val="16"/>
              </w:rPr>
              <w:t>Trend and usage visibility</w:t>
            </w:r>
          </w:p>
        </w:tc>
        <w:tc>
          <w:tcPr>
            <w:tcW w:type="dxa" w:w="1502"/>
            <w:vAlign w:val="center"/>
          </w:tcPr>
          <w:p>
            <w:pPr>
              <w:spacing w:after="40"/>
            </w:pPr>
            <w:r>
              <w:rPr>
                <w:sz w:val="16"/>
              </w:rPr>
              <w:t>Direct</w:t>
            </w:r>
          </w:p>
        </w:tc>
        <w:tc>
          <w:tcPr>
            <w:tcW w:type="dxa" w:w="1502"/>
            <w:vAlign w:val="center"/>
          </w:tcPr>
          <w:p>
            <w:pPr>
              <w:spacing w:after="40"/>
            </w:pPr>
            <w:r>
              <w:rPr>
                <w:sz w:val="16"/>
              </w:rPr>
              <w:t>P1</w:t>
            </w:r>
          </w:p>
        </w:tc>
      </w:tr>
      <w:tr>
        <w:tc>
          <w:tcPr>
            <w:tcW w:type="dxa" w:w="1502"/>
            <w:vAlign w:val="center"/>
          </w:tcPr>
          <w:p>
            <w:pPr>
              <w:spacing w:after="40"/>
            </w:pPr>
            <w:r>
              <w:rPr>
                <w:sz w:val="16"/>
              </w:rPr>
              <w:t>Application end volume</w:t>
            </w:r>
          </w:p>
        </w:tc>
        <w:tc>
          <w:tcPr>
            <w:tcW w:type="dxa" w:w="1502"/>
            <w:vAlign w:val="center"/>
          </w:tcPr>
          <w:p>
            <w:pPr>
              <w:spacing w:after="40"/>
            </w:pPr>
            <w:r>
              <w:rPr>
                <w:sz w:val="16"/>
              </w:rPr>
              <w:t>App.End events</w:t>
            </w:r>
          </w:p>
        </w:tc>
        <w:tc>
          <w:tcPr>
            <w:tcW w:type="dxa" w:w="1502"/>
            <w:vAlign w:val="center"/>
          </w:tcPr>
          <w:p>
            <w:pPr>
              <w:spacing w:after="40"/>
            </w:pPr>
            <w:r>
              <w:rPr>
                <w:sz w:val="16"/>
              </w:rPr>
              <w:t>count(App.End)</w:t>
            </w:r>
          </w:p>
        </w:tc>
        <w:tc>
          <w:tcPr>
            <w:tcW w:type="dxa" w:w="1502"/>
            <w:vAlign w:val="center"/>
          </w:tcPr>
          <w:p>
            <w:pPr>
              <w:spacing w:after="40"/>
            </w:pPr>
            <w:r>
              <w:rPr>
                <w:sz w:val="16"/>
              </w:rPr>
              <w:t>App / server / tenant</w:t>
            </w:r>
          </w:p>
        </w:tc>
        <w:tc>
          <w:tcPr>
            <w:tcW w:type="dxa" w:w="1502"/>
            <w:vAlign w:val="center"/>
          </w:tcPr>
          <w:p>
            <w:pPr>
              <w:spacing w:after="40"/>
            </w:pPr>
            <w:r>
              <w:rPr>
                <w:sz w:val="16"/>
              </w:rPr>
              <w:t>Trend / lifecycle validation</w:t>
            </w:r>
          </w:p>
        </w:tc>
        <w:tc>
          <w:tcPr>
            <w:tcW w:type="dxa" w:w="1502"/>
            <w:vAlign w:val="center"/>
          </w:tcPr>
          <w:p>
            <w:pPr>
              <w:spacing w:after="40"/>
            </w:pPr>
            <w:r>
              <w:rPr>
                <w:sz w:val="16"/>
              </w:rPr>
              <w:t>Direct</w:t>
            </w:r>
          </w:p>
        </w:tc>
        <w:tc>
          <w:tcPr>
            <w:tcW w:type="dxa" w:w="1502"/>
            <w:vAlign w:val="center"/>
          </w:tcPr>
          <w:p>
            <w:pPr>
              <w:spacing w:after="40"/>
            </w:pPr>
            <w:r>
              <w:rPr>
                <w:sz w:val="16"/>
              </w:rPr>
              <w:t>P1</w:t>
            </w:r>
          </w:p>
        </w:tc>
      </w:tr>
      <w:tr>
        <w:tc>
          <w:tcPr>
            <w:tcW w:type="dxa" w:w="1502"/>
            <w:vAlign w:val="center"/>
          </w:tcPr>
          <w:p>
            <w:pPr>
              <w:spacing w:after="40"/>
            </w:pPr>
            <w:r>
              <w:rPr>
                <w:sz w:val="16"/>
              </w:rPr>
              <w:t>Top impacted apps/devices</w:t>
            </w:r>
          </w:p>
        </w:tc>
        <w:tc>
          <w:tcPr>
            <w:tcW w:type="dxa" w:w="1502"/>
            <w:vAlign w:val="center"/>
          </w:tcPr>
          <w:p>
            <w:pPr>
              <w:spacing w:after="40"/>
            </w:pPr>
            <w:r>
              <w:rPr>
                <w:sz w:val="16"/>
              </w:rPr>
              <w:t>Count of anomalous/risk events by app/device/OS</w:t>
            </w:r>
          </w:p>
        </w:tc>
        <w:tc>
          <w:tcPr>
            <w:tcW w:type="dxa" w:w="1502"/>
            <w:vAlign w:val="center"/>
          </w:tcPr>
          <w:p>
            <w:pPr>
              <w:spacing w:after="40"/>
            </w:pPr>
            <w:r>
              <w:rPr>
                <w:sz w:val="16"/>
              </w:rPr>
              <w:t>grouped counts</w:t>
            </w:r>
          </w:p>
        </w:tc>
        <w:tc>
          <w:tcPr>
            <w:tcW w:type="dxa" w:w="1502"/>
            <w:vAlign w:val="center"/>
          </w:tcPr>
          <w:p>
            <w:pPr>
              <w:spacing w:after="40"/>
            </w:pPr>
            <w:r>
              <w:rPr>
                <w:sz w:val="16"/>
              </w:rPr>
              <w:t>App / device / OS</w:t>
            </w:r>
          </w:p>
        </w:tc>
        <w:tc>
          <w:tcPr>
            <w:tcW w:type="dxa" w:w="1502"/>
            <w:vAlign w:val="center"/>
          </w:tcPr>
          <w:p>
            <w:pPr>
              <w:spacing w:after="40"/>
            </w:pPr>
            <w:r>
              <w:rPr>
                <w:sz w:val="16"/>
              </w:rPr>
              <w:t>Dashboard diagnostic, not standalone page</w:t>
            </w:r>
          </w:p>
        </w:tc>
        <w:tc>
          <w:tcPr>
            <w:tcW w:type="dxa" w:w="1502"/>
            <w:vAlign w:val="center"/>
          </w:tcPr>
          <w:p>
            <w:pPr>
              <w:spacing w:after="40"/>
            </w:pPr>
            <w:r>
              <w:rPr>
                <w:sz w:val="16"/>
              </w:rPr>
              <w:t>Direct + derived</w:t>
            </w:r>
          </w:p>
        </w:tc>
        <w:tc>
          <w:tcPr>
            <w:tcW w:type="dxa" w:w="1502"/>
            <w:vAlign w:val="center"/>
          </w:tcPr>
          <w:p>
            <w:pPr>
              <w:spacing w:after="40"/>
            </w:pPr>
            <w:r>
              <w:rPr>
                <w:sz w:val="16"/>
              </w:rPr>
              <w:t>P1</w:t>
            </w:r>
          </w:p>
        </w:tc>
      </w:tr>
      <w:tr>
        <w:tc>
          <w:tcPr>
            <w:tcW w:type="dxa" w:w="1502"/>
            <w:vAlign w:val="center"/>
          </w:tcPr>
          <w:p>
            <w:pPr>
              <w:spacing w:after="40"/>
            </w:pPr>
            <w:r>
              <w:rPr>
                <w:sz w:val="16"/>
              </w:rPr>
              <w:t>User risk score</w:t>
            </w:r>
          </w:p>
        </w:tc>
        <w:tc>
          <w:tcPr>
            <w:tcW w:type="dxa" w:w="1502"/>
            <w:vAlign w:val="center"/>
          </w:tcPr>
          <w:p>
            <w:pPr>
              <w:spacing w:after="40"/>
            </w:pPr>
            <w:r>
              <w:rPr>
                <w:sz w:val="16"/>
              </w:rPr>
              <w:t>Current Citrix risk score</w:t>
            </w:r>
          </w:p>
        </w:tc>
        <w:tc>
          <w:tcPr>
            <w:tcW w:type="dxa" w:w="1502"/>
            <w:vAlign w:val="center"/>
          </w:tcPr>
          <w:p>
            <w:pPr>
              <w:spacing w:after="40"/>
            </w:pPr>
            <w:r>
              <w:rPr>
                <w:sz w:val="16"/>
              </w:rPr>
              <w:t>cur_riskscore</w:t>
            </w:r>
          </w:p>
        </w:tc>
        <w:tc>
          <w:tcPr>
            <w:tcW w:type="dxa" w:w="1502"/>
            <w:vAlign w:val="center"/>
          </w:tcPr>
          <w:p>
            <w:pPr>
              <w:spacing w:after="40"/>
            </w:pPr>
            <w:r>
              <w:rPr>
                <w:sz w:val="16"/>
              </w:rPr>
              <w:t>User / tenant</w:t>
            </w:r>
          </w:p>
        </w:tc>
        <w:tc>
          <w:tcPr>
            <w:tcW w:type="dxa" w:w="1502"/>
            <w:vAlign w:val="center"/>
          </w:tcPr>
          <w:p>
            <w:pPr>
              <w:spacing w:after="40"/>
            </w:pPr>
            <w:r>
              <w:rPr>
                <w:sz w:val="16"/>
              </w:rPr>
              <w:t>Security/SRE correlation; not availability SLO</w:t>
            </w:r>
          </w:p>
        </w:tc>
        <w:tc>
          <w:tcPr>
            <w:tcW w:type="dxa" w:w="1502"/>
            <w:vAlign w:val="center"/>
          </w:tcPr>
          <w:p>
            <w:pPr>
              <w:spacing w:after="40"/>
            </w:pPr>
            <w:r>
              <w:rPr>
                <w:sz w:val="16"/>
              </w:rPr>
              <w:t>Direct</w:t>
            </w:r>
          </w:p>
        </w:tc>
        <w:tc>
          <w:tcPr>
            <w:tcW w:type="dxa" w:w="1502"/>
            <w:vAlign w:val="center"/>
          </w:tcPr>
          <w:p>
            <w:pPr>
              <w:spacing w:after="40"/>
            </w:pPr>
            <w:r>
              <w:rPr>
                <w:sz w:val="16"/>
              </w:rPr>
              <w:t>P1</w:t>
            </w:r>
          </w:p>
        </w:tc>
      </w:tr>
      <w:tr>
        <w:tc>
          <w:tcPr>
            <w:tcW w:type="dxa" w:w="1502"/>
            <w:vAlign w:val="center"/>
          </w:tcPr>
          <w:p>
            <w:pPr>
              <w:spacing w:after="40"/>
            </w:pPr>
            <w:r>
              <w:rPr>
                <w:sz w:val="16"/>
              </w:rPr>
              <w:t>Risk score changes</w:t>
            </w:r>
          </w:p>
        </w:tc>
        <w:tc>
          <w:tcPr>
            <w:tcW w:type="dxa" w:w="1502"/>
            <w:vAlign w:val="center"/>
          </w:tcPr>
          <w:p>
            <w:pPr>
              <w:spacing w:after="40"/>
            </w:pPr>
            <w:r>
              <w:rPr>
                <w:sz w:val="16"/>
              </w:rPr>
              <w:t>Count/severity of riskScoreChange events</w:t>
            </w:r>
          </w:p>
        </w:tc>
        <w:tc>
          <w:tcPr>
            <w:tcW w:type="dxa" w:w="1502"/>
            <w:vAlign w:val="center"/>
          </w:tcPr>
          <w:p>
            <w:pPr>
              <w:spacing w:after="40"/>
            </w:pPr>
            <w:r>
              <w:rPr>
                <w:sz w:val="16"/>
              </w:rPr>
              <w:t>count by alert_type/value</w:t>
            </w:r>
          </w:p>
        </w:tc>
        <w:tc>
          <w:tcPr>
            <w:tcW w:type="dxa" w:w="1502"/>
            <w:vAlign w:val="center"/>
          </w:tcPr>
          <w:p>
            <w:pPr>
              <w:spacing w:after="40"/>
            </w:pPr>
            <w:r>
              <w:rPr>
                <w:sz w:val="16"/>
              </w:rPr>
              <w:t>Tenant / user</w:t>
            </w:r>
          </w:p>
        </w:tc>
        <w:tc>
          <w:tcPr>
            <w:tcW w:type="dxa" w:w="1502"/>
            <w:vAlign w:val="center"/>
          </w:tcPr>
          <w:p>
            <w:pPr>
              <w:spacing w:after="40"/>
            </w:pPr>
            <w:r>
              <w:rPr>
                <w:sz w:val="16"/>
              </w:rPr>
              <w:t>Security correlation and incident enrichment</w:t>
            </w:r>
          </w:p>
        </w:tc>
        <w:tc>
          <w:tcPr>
            <w:tcW w:type="dxa" w:w="1502"/>
            <w:vAlign w:val="center"/>
          </w:tcPr>
          <w:p>
            <w:pPr>
              <w:spacing w:after="40"/>
            </w:pPr>
            <w:r>
              <w:rPr>
                <w:sz w:val="16"/>
              </w:rPr>
              <w:t>Direct</w:t>
            </w:r>
          </w:p>
        </w:tc>
        <w:tc>
          <w:tcPr>
            <w:tcW w:type="dxa" w:w="1502"/>
            <w:vAlign w:val="center"/>
          </w:tcPr>
          <w:p>
            <w:pPr>
              <w:spacing w:after="40"/>
            </w:pPr>
            <w:r>
              <w:rPr>
                <w:sz w:val="16"/>
              </w:rPr>
              <w:t>P1</w:t>
            </w:r>
          </w:p>
        </w:tc>
      </w:tr>
      <w:tr>
        <w:tc>
          <w:tcPr>
            <w:tcW w:type="dxa" w:w="1502"/>
            <w:vAlign w:val="center"/>
          </w:tcPr>
          <w:p>
            <w:pPr>
              <w:spacing w:after="40"/>
            </w:pPr>
            <w:r>
              <w:rPr>
                <w:sz w:val="16"/>
              </w:rPr>
              <w:t>High-severity risk indicators</w:t>
            </w:r>
          </w:p>
        </w:tc>
        <w:tc>
          <w:tcPr>
            <w:tcW w:type="dxa" w:w="1502"/>
            <w:vAlign w:val="center"/>
          </w:tcPr>
          <w:p>
            <w:pPr>
              <w:spacing w:after="40"/>
            </w:pPr>
            <w:r>
              <w:rPr>
                <w:sz w:val="16"/>
              </w:rPr>
              <w:t>High severity indicator occurrences</w:t>
            </w:r>
          </w:p>
        </w:tc>
        <w:tc>
          <w:tcPr>
            <w:tcW w:type="dxa" w:w="1502"/>
            <w:vAlign w:val="center"/>
          </w:tcPr>
          <w:p>
            <w:pPr>
              <w:spacing w:after="40"/>
            </w:pPr>
            <w:r>
              <w:rPr>
                <w:sz w:val="16"/>
              </w:rPr>
              <w:t>count(severity='high')</w:t>
            </w:r>
          </w:p>
        </w:tc>
        <w:tc>
          <w:tcPr>
            <w:tcW w:type="dxa" w:w="1502"/>
            <w:vAlign w:val="center"/>
          </w:tcPr>
          <w:p>
            <w:pPr>
              <w:spacing w:after="40"/>
            </w:pPr>
            <w:r>
              <w:rPr>
                <w:sz w:val="16"/>
              </w:rPr>
              <w:t>Indicator / tenant</w:t>
            </w:r>
          </w:p>
        </w:tc>
        <w:tc>
          <w:tcPr>
            <w:tcW w:type="dxa" w:w="1502"/>
            <w:vAlign w:val="center"/>
          </w:tcPr>
          <w:p>
            <w:pPr>
              <w:spacing w:after="40"/>
            </w:pPr>
            <w:r>
              <w:rPr>
                <w:sz w:val="16"/>
              </w:rPr>
              <w:t>Route primarily to Security; correlate with outages</w:t>
            </w:r>
          </w:p>
        </w:tc>
        <w:tc>
          <w:tcPr>
            <w:tcW w:type="dxa" w:w="1502"/>
            <w:vAlign w:val="center"/>
          </w:tcPr>
          <w:p>
            <w:pPr>
              <w:spacing w:after="40"/>
            </w:pPr>
            <w:r>
              <w:rPr>
                <w:sz w:val="16"/>
              </w:rPr>
              <w:t>Direct</w:t>
            </w:r>
          </w:p>
        </w:tc>
        <w:tc>
          <w:tcPr>
            <w:tcW w:type="dxa" w:w="1502"/>
            <w:vAlign w:val="center"/>
          </w:tcPr>
          <w:p>
            <w:pPr>
              <w:spacing w:after="40"/>
            </w:pPr>
            <w:r>
              <w:rPr>
                <w:sz w:val="16"/>
              </w:rPr>
              <w:t>P1</w:t>
            </w:r>
          </w:p>
        </w:tc>
      </w:tr>
      <w:tr>
        <w:tc>
          <w:tcPr>
            <w:tcW w:type="dxa" w:w="1502"/>
            <w:vAlign w:val="center"/>
          </w:tcPr>
          <w:p>
            <w:pPr>
              <w:spacing w:after="40"/>
            </w:pPr>
            <w:r>
              <w:rPr>
                <w:sz w:val="16"/>
              </w:rPr>
              <w:t>Logon success rate</w:t>
            </w:r>
          </w:p>
        </w:tc>
        <w:tc>
          <w:tcPr>
            <w:tcW w:type="dxa" w:w="1502"/>
            <w:vAlign w:val="center"/>
          </w:tcPr>
          <w:p>
            <w:pPr>
              <w:spacing w:after="40"/>
            </w:pPr>
            <w:r>
              <w:rPr>
                <w:sz w:val="16"/>
              </w:rPr>
              <w:t>Successful logons ÷ attempts</w:t>
            </w:r>
          </w:p>
        </w:tc>
        <w:tc>
          <w:tcPr>
            <w:tcW w:type="dxa" w:w="1502"/>
            <w:vAlign w:val="center"/>
          </w:tcPr>
          <w:p>
            <w:pPr>
              <w:spacing w:after="40"/>
            </w:pPr>
            <w:r>
              <w:rPr>
                <w:sz w:val="16"/>
              </w:rPr>
              <w:t>Requires explicit outcome/attempt semantics</w:t>
            </w:r>
          </w:p>
        </w:tc>
        <w:tc>
          <w:tcPr>
            <w:tcW w:type="dxa" w:w="1502"/>
            <w:vAlign w:val="center"/>
          </w:tcPr>
          <w:p>
            <w:pPr>
              <w:spacing w:after="40"/>
            </w:pPr>
            <w:r>
              <w:rPr>
                <w:sz w:val="16"/>
              </w:rPr>
              <w:t>Tenant / app / region</w:t>
            </w:r>
          </w:p>
        </w:tc>
        <w:tc>
          <w:tcPr>
            <w:tcW w:type="dxa" w:w="1502"/>
            <w:vAlign w:val="center"/>
          </w:tcPr>
          <w:p>
            <w:pPr>
              <w:spacing w:after="40"/>
            </w:pPr>
            <w:r>
              <w:rPr>
                <w:sz w:val="16"/>
              </w:rPr>
              <w:t>Core SRE KPI once source confirmed</w:t>
            </w:r>
          </w:p>
        </w:tc>
        <w:tc>
          <w:tcPr>
            <w:tcW w:type="dxa" w:w="1502"/>
            <w:vAlign w:val="center"/>
          </w:tcPr>
          <w:p>
            <w:pPr>
              <w:spacing w:after="40"/>
            </w:pPr>
            <w:r>
              <w:rPr>
                <w:sz w:val="16"/>
              </w:rPr>
              <w:t>Gap - not established by cited schema</w:t>
            </w:r>
          </w:p>
        </w:tc>
        <w:tc>
          <w:tcPr>
            <w:tcW w:type="dxa" w:w="1502"/>
            <w:vAlign w:val="center"/>
          </w:tcPr>
          <w:p>
            <w:pPr>
              <w:spacing w:after="40"/>
            </w:pPr>
            <w:r>
              <w:rPr>
                <w:sz w:val="16"/>
              </w:rPr>
              <w:t>P0 gap</w:t>
            </w:r>
          </w:p>
        </w:tc>
      </w:tr>
      <w:tr>
        <w:tc>
          <w:tcPr>
            <w:tcW w:type="dxa" w:w="1502"/>
            <w:vAlign w:val="center"/>
          </w:tcPr>
          <w:p>
            <w:pPr>
              <w:spacing w:after="40"/>
            </w:pPr>
            <w:r>
              <w:rPr>
                <w:sz w:val="16"/>
              </w:rPr>
              <w:t>Logon duration P50/P95/P99</w:t>
            </w:r>
          </w:p>
        </w:tc>
        <w:tc>
          <w:tcPr>
            <w:tcW w:type="dxa" w:w="1502"/>
            <w:vAlign w:val="center"/>
          </w:tcPr>
          <w:p>
            <w:pPr>
              <w:spacing w:after="40"/>
            </w:pPr>
            <w:r>
              <w:rPr>
                <w:sz w:val="16"/>
              </w:rPr>
              <w:t>End-to-end user logon duration</w:t>
            </w:r>
          </w:p>
        </w:tc>
        <w:tc>
          <w:tcPr>
            <w:tcW w:type="dxa" w:w="1502"/>
            <w:vAlign w:val="center"/>
          </w:tcPr>
          <w:p>
            <w:pPr>
              <w:spacing w:after="40"/>
            </w:pPr>
            <w:r>
              <w:rPr>
                <w:sz w:val="16"/>
              </w:rPr>
              <w:t>percentiles(logon_duration)</w:t>
            </w:r>
          </w:p>
        </w:tc>
        <w:tc>
          <w:tcPr>
            <w:tcW w:type="dxa" w:w="1502"/>
            <w:vAlign w:val="center"/>
          </w:tcPr>
          <w:p>
            <w:pPr>
              <w:spacing w:after="40"/>
            </w:pPr>
            <w:r>
              <w:rPr>
                <w:sz w:val="16"/>
              </w:rPr>
              <w:t>Tenant / app / region</w:t>
            </w:r>
          </w:p>
        </w:tc>
        <w:tc>
          <w:tcPr>
            <w:tcW w:type="dxa" w:w="1502"/>
            <w:vAlign w:val="center"/>
          </w:tcPr>
          <w:p>
            <w:pPr>
              <w:spacing w:after="40"/>
            </w:pPr>
            <w:r>
              <w:rPr>
                <w:sz w:val="16"/>
              </w:rPr>
              <w:t>Core UX SLI once source confirmed</w:t>
            </w:r>
          </w:p>
        </w:tc>
        <w:tc>
          <w:tcPr>
            <w:tcW w:type="dxa" w:w="1502"/>
            <w:vAlign w:val="center"/>
          </w:tcPr>
          <w:p>
            <w:pPr>
              <w:spacing w:after="40"/>
            </w:pPr>
            <w:r>
              <w:rPr>
                <w:sz w:val="16"/>
              </w:rPr>
              <w:t>Gap - additional Monitor/Director source needed</w:t>
            </w:r>
          </w:p>
        </w:tc>
        <w:tc>
          <w:tcPr>
            <w:tcW w:type="dxa" w:w="1502"/>
            <w:vAlign w:val="center"/>
          </w:tcPr>
          <w:p>
            <w:pPr>
              <w:spacing w:after="40"/>
            </w:pPr>
            <w:r>
              <w:rPr>
                <w:sz w:val="16"/>
              </w:rPr>
              <w:t>P0 gap</w:t>
            </w:r>
          </w:p>
        </w:tc>
      </w:tr>
      <w:tr>
        <w:tc>
          <w:tcPr>
            <w:tcW w:type="dxa" w:w="1502"/>
            <w:vAlign w:val="center"/>
          </w:tcPr>
          <w:p>
            <w:pPr>
              <w:spacing w:after="40"/>
            </w:pPr>
            <w:r>
              <w:rPr>
                <w:sz w:val="16"/>
              </w:rPr>
              <w:t>HDX/ICA latency P50/P95</w:t>
            </w:r>
          </w:p>
        </w:tc>
        <w:tc>
          <w:tcPr>
            <w:tcW w:type="dxa" w:w="1502"/>
            <w:vAlign w:val="center"/>
          </w:tcPr>
          <w:p>
            <w:pPr>
              <w:spacing w:after="40"/>
            </w:pPr>
            <w:r>
              <w:rPr>
                <w:sz w:val="16"/>
              </w:rPr>
              <w:t>Interactive session latency</w:t>
            </w:r>
          </w:p>
        </w:tc>
        <w:tc>
          <w:tcPr>
            <w:tcW w:type="dxa" w:w="1502"/>
            <w:vAlign w:val="center"/>
          </w:tcPr>
          <w:p>
            <w:pPr>
              <w:spacing w:after="40"/>
            </w:pPr>
            <w:r>
              <w:rPr>
                <w:sz w:val="16"/>
              </w:rPr>
              <w:t>percentiles(latency)</w:t>
            </w:r>
          </w:p>
        </w:tc>
        <w:tc>
          <w:tcPr>
            <w:tcW w:type="dxa" w:w="1502"/>
            <w:vAlign w:val="center"/>
          </w:tcPr>
          <w:p>
            <w:pPr>
              <w:spacing w:after="40"/>
            </w:pPr>
            <w:r>
              <w:rPr>
                <w:sz w:val="16"/>
              </w:rPr>
              <w:t>Region / app / endpoint</w:t>
            </w:r>
          </w:p>
        </w:tc>
        <w:tc>
          <w:tcPr>
            <w:tcW w:type="dxa" w:w="1502"/>
            <w:vAlign w:val="center"/>
          </w:tcPr>
          <w:p>
            <w:pPr>
              <w:spacing w:after="40"/>
            </w:pPr>
            <w:r>
              <w:rPr>
                <w:sz w:val="16"/>
              </w:rPr>
              <w:t>Core UX SLI once source confirmed</w:t>
            </w:r>
          </w:p>
        </w:tc>
        <w:tc>
          <w:tcPr>
            <w:tcW w:type="dxa" w:w="1502"/>
            <w:vAlign w:val="center"/>
          </w:tcPr>
          <w:p>
            <w:pPr>
              <w:spacing w:after="40"/>
            </w:pPr>
            <w:r>
              <w:rPr>
                <w:sz w:val="16"/>
              </w:rPr>
              <w:t>Gap - additional performance source needed</w:t>
            </w:r>
          </w:p>
        </w:tc>
        <w:tc>
          <w:tcPr>
            <w:tcW w:type="dxa" w:w="1502"/>
            <w:vAlign w:val="center"/>
          </w:tcPr>
          <w:p>
            <w:pPr>
              <w:spacing w:after="40"/>
            </w:pPr>
            <w:r>
              <w:rPr>
                <w:sz w:val="16"/>
              </w:rPr>
              <w:t>P0 gap</w:t>
            </w:r>
          </w:p>
        </w:tc>
      </w:tr>
      <w:tr>
        <w:tc>
          <w:tcPr>
            <w:tcW w:type="dxa" w:w="1502"/>
            <w:vAlign w:val="center"/>
          </w:tcPr>
          <w:p>
            <w:pPr>
              <w:spacing w:after="40"/>
            </w:pPr>
            <w:r>
              <w:rPr>
                <w:sz w:val="16"/>
              </w:rPr>
              <w:t>VDA resource health</w:t>
            </w:r>
          </w:p>
        </w:tc>
        <w:tc>
          <w:tcPr>
            <w:tcW w:type="dxa" w:w="1502"/>
            <w:vAlign w:val="center"/>
          </w:tcPr>
          <w:p>
            <w:pPr>
              <w:spacing w:after="40"/>
            </w:pPr>
            <w:r>
              <w:rPr>
                <w:sz w:val="16"/>
              </w:rPr>
              <w:t>CPU/memory/session capacity/registration health</w:t>
            </w:r>
          </w:p>
        </w:tc>
        <w:tc>
          <w:tcPr>
            <w:tcW w:type="dxa" w:w="1502"/>
            <w:vAlign w:val="center"/>
          </w:tcPr>
          <w:p>
            <w:pPr>
              <w:spacing w:after="40"/>
            </w:pPr>
            <w:r>
              <w:rPr>
                <w:sz w:val="16"/>
              </w:rPr>
              <w:t>Vendor performance metrics</w:t>
            </w:r>
          </w:p>
        </w:tc>
        <w:tc>
          <w:tcPr>
            <w:tcW w:type="dxa" w:w="1502"/>
            <w:vAlign w:val="center"/>
          </w:tcPr>
          <w:p>
            <w:pPr>
              <w:spacing w:after="40"/>
            </w:pPr>
            <w:r>
              <w:rPr>
                <w:sz w:val="16"/>
              </w:rPr>
              <w:t>VDA / delivery group</w:t>
            </w:r>
          </w:p>
        </w:tc>
        <w:tc>
          <w:tcPr>
            <w:tcW w:type="dxa" w:w="1502"/>
            <w:vAlign w:val="center"/>
          </w:tcPr>
          <w:p>
            <w:pPr>
              <w:spacing w:after="40"/>
            </w:pPr>
            <w:r>
              <w:rPr>
                <w:sz w:val="16"/>
              </w:rPr>
              <w:t>Capacity and infrastructure health</w:t>
            </w:r>
          </w:p>
        </w:tc>
        <w:tc>
          <w:tcPr>
            <w:tcW w:type="dxa" w:w="1502"/>
            <w:vAlign w:val="center"/>
          </w:tcPr>
          <w:p>
            <w:pPr>
              <w:spacing w:after="40"/>
            </w:pPr>
            <w:r>
              <w:rPr>
                <w:sz w:val="16"/>
              </w:rPr>
              <w:t>Gap - additional performance source needed</w:t>
            </w:r>
          </w:p>
        </w:tc>
        <w:tc>
          <w:tcPr>
            <w:tcW w:type="dxa" w:w="1502"/>
            <w:vAlign w:val="center"/>
          </w:tcPr>
          <w:p>
            <w:pPr>
              <w:spacing w:after="40"/>
            </w:pPr>
            <w:r>
              <w:rPr>
                <w:sz w:val="16"/>
              </w:rPr>
              <w:t>P0 gap</w:t>
            </w:r>
          </w:p>
        </w:tc>
      </w:tr>
    </w:tbl>
    <w:p>
      <w:pPr>
        <w:pStyle w:val="Heading1"/>
      </w:pPr>
      <w:r>
        <w:t>6. Recommended leadership/SRE dashboard</w:t>
      </w:r>
    </w:p>
    <w:tbl>
      <w:tblPr>
        <w:tblStyle w:val="LightShading-Accent1"/>
        <w:tblW w:type="auto" w:w="0"/>
        <w:jc w:val="center"/>
        <w:tblLook w:firstColumn="1" w:firstRow="1" w:lastColumn="0" w:lastRow="0" w:noHBand="0" w:noVBand="1" w:val="04A0"/>
      </w:tblPr>
      <w:tblGrid>
        <w:gridCol w:w="5256"/>
        <w:gridCol w:w="5256"/>
      </w:tblGrid>
      <w:tr>
        <w:trPr>
          <w:tblHeader w:val="true"/>
        </w:trPr>
        <w:tc>
          <w:tcPr>
            <w:tcW w:type="dxa" w:w="5256"/>
            <w:vAlign w:val="center"/>
          </w:tcPr>
          <w:p>
            <w:pPr>
              <w:spacing w:after="40"/>
            </w:pPr>
            <w:r>
              <w:rPr>
                <w:sz w:val="16"/>
              </w:rPr>
              <w:t>Dashboard section</w:t>
            </w:r>
          </w:p>
        </w:tc>
        <w:tc>
          <w:tcPr>
            <w:tcW w:type="dxa" w:w="5256"/>
            <w:vAlign w:val="center"/>
          </w:tcPr>
          <w:p>
            <w:pPr>
              <w:spacing w:after="40"/>
            </w:pPr>
            <w:r>
              <w:rPr>
                <w:sz w:val="16"/>
              </w:rPr>
              <w:t>What leadership / SRE should see</w:t>
            </w:r>
          </w:p>
        </w:tc>
      </w:tr>
      <w:tr>
        <w:tc>
          <w:tcPr>
            <w:tcW w:type="dxa" w:w="5256"/>
            <w:vAlign w:val="center"/>
          </w:tcPr>
          <w:p>
            <w:pPr>
              <w:spacing w:after="40"/>
            </w:pPr>
            <w:r>
              <w:rPr>
                <w:sz w:val="16"/>
              </w:rPr>
              <w:t>Service Health</w:t>
            </w:r>
          </w:p>
        </w:tc>
        <w:tc>
          <w:tcPr>
            <w:tcW w:type="dxa" w:w="5256"/>
            <w:vAlign w:val="center"/>
          </w:tcPr>
          <w:p>
            <w:pPr>
              <w:spacing w:after="40"/>
            </w:pPr>
            <w:r>
              <w:rPr>
                <w:sz w:val="16"/>
              </w:rPr>
              <w:t>Citrix data freshness; session logon/launch/end trend; estimated active sessions; critical ingestion failures</w:t>
            </w:r>
          </w:p>
        </w:tc>
      </w:tr>
      <w:tr>
        <w:tc>
          <w:tcPr>
            <w:tcW w:type="dxa" w:w="5256"/>
            <w:vAlign w:val="center"/>
          </w:tcPr>
          <w:p>
            <w:pPr>
              <w:spacing w:after="40"/>
            </w:pPr>
            <w:r>
              <w:rPr>
                <w:sz w:val="16"/>
              </w:rPr>
              <w:t>User Experience</w:t>
            </w:r>
          </w:p>
        </w:tc>
        <w:tc>
          <w:tcPr>
            <w:tcW w:type="dxa" w:w="5256"/>
            <w:vAlign w:val="center"/>
          </w:tcPr>
          <w:p>
            <w:pPr>
              <w:spacing w:after="40"/>
            </w:pPr>
            <w:r>
              <w:rPr>
                <w:sz w:val="16"/>
              </w:rPr>
              <w:t>Logon success rate and logon duration once validated; session anomalies; impacted users/apps/devices</w:t>
            </w:r>
          </w:p>
        </w:tc>
      </w:tr>
      <w:tr>
        <w:tc>
          <w:tcPr>
            <w:tcW w:type="dxa" w:w="5256"/>
            <w:vAlign w:val="center"/>
          </w:tcPr>
          <w:p>
            <w:pPr>
              <w:spacing w:after="40"/>
            </w:pPr>
            <w:r>
              <w:rPr>
                <w:sz w:val="16"/>
              </w:rPr>
              <w:t>Application Health</w:t>
            </w:r>
          </w:p>
        </w:tc>
        <w:tc>
          <w:tcPr>
            <w:tcW w:type="dxa" w:w="5256"/>
            <w:vAlign w:val="center"/>
          </w:tcPr>
          <w:p>
            <w:pPr>
              <w:spacing w:after="40"/>
            </w:pPr>
            <w:r>
              <w:rPr>
                <w:sz w:val="16"/>
              </w:rPr>
              <w:t>Top applications by launches; session/app lifecycle completeness; unusual drop/spike in launches</w:t>
            </w:r>
          </w:p>
        </w:tc>
      </w:tr>
      <w:tr>
        <w:tc>
          <w:tcPr>
            <w:tcW w:type="dxa" w:w="5256"/>
            <w:vAlign w:val="center"/>
          </w:tcPr>
          <w:p>
            <w:pPr>
              <w:spacing w:after="40"/>
            </w:pPr>
            <w:r>
              <w:rPr>
                <w:sz w:val="16"/>
              </w:rPr>
              <w:t>Platform / Capacity</w:t>
            </w:r>
          </w:p>
        </w:tc>
        <w:tc>
          <w:tcPr>
            <w:tcW w:type="dxa" w:w="5256"/>
            <w:vAlign w:val="center"/>
          </w:tcPr>
          <w:p>
            <w:pPr>
              <w:spacing w:after="40"/>
            </w:pPr>
            <w:r>
              <w:rPr>
                <w:sz w:val="16"/>
              </w:rPr>
              <w:t>VDA health, resource saturation and capacity once Monitor/Director telemetry is onboarded</w:t>
            </w:r>
          </w:p>
        </w:tc>
      </w:tr>
      <w:tr>
        <w:tc>
          <w:tcPr>
            <w:tcW w:type="dxa" w:w="5256"/>
            <w:vAlign w:val="center"/>
          </w:tcPr>
          <w:p>
            <w:pPr>
              <w:spacing w:after="40"/>
            </w:pPr>
            <w:r>
              <w:rPr>
                <w:sz w:val="16"/>
              </w:rPr>
              <w:t>Security Correlation</w:t>
            </w:r>
          </w:p>
        </w:tc>
        <w:tc>
          <w:tcPr>
            <w:tcW w:type="dxa" w:w="5256"/>
            <w:vAlign w:val="center"/>
          </w:tcPr>
          <w:p>
            <w:pPr>
              <w:spacing w:after="40"/>
            </w:pPr>
            <w:r>
              <w:rPr>
                <w:sz w:val="16"/>
              </w:rPr>
              <w:t>Current user risk, risk score changes, high-severity indicators, suspicious IP/device/location context</w:t>
            </w:r>
          </w:p>
        </w:tc>
      </w:tr>
      <w:tr>
        <w:tc>
          <w:tcPr>
            <w:tcW w:type="dxa" w:w="5256"/>
            <w:vAlign w:val="center"/>
          </w:tcPr>
          <w:p>
            <w:pPr>
              <w:spacing w:after="40"/>
            </w:pPr>
            <w:r>
              <w:rPr>
                <w:sz w:val="16"/>
              </w:rPr>
              <w:t>Telemetry Health</w:t>
            </w:r>
          </w:p>
        </w:tc>
        <w:tc>
          <w:tcPr>
            <w:tcW w:type="dxa" w:w="5256"/>
            <w:vAlign w:val="center"/>
          </w:tcPr>
          <w:p>
            <w:pPr>
              <w:spacing w:after="40"/>
            </w:pPr>
            <w:r>
              <w:rPr>
                <w:sz w:val="16"/>
              </w:rPr>
              <w:t>Last event received; ingestion lag; rejected records; duplicate rate; schema/version drift; missing event categories</w:t>
            </w:r>
          </w:p>
        </w:tc>
      </w:tr>
    </w:tbl>
    <w:p>
      <w:pPr>
        <w:pStyle w:val="Heading1"/>
      </w:pPr>
      <w:r>
        <w:t>7. Alerting requirements</w:t>
      </w:r>
    </w:p>
    <w:tbl>
      <w:tblPr>
        <w:tblStyle w:val="LightShading-Accent1"/>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center"/>
          </w:tcPr>
          <w:p>
            <w:pPr>
              <w:spacing w:after="40"/>
            </w:pPr>
            <w:r>
              <w:rPr>
                <w:sz w:val="16"/>
              </w:rPr>
              <w:t>Alert</w:t>
            </w:r>
          </w:p>
        </w:tc>
        <w:tc>
          <w:tcPr>
            <w:tcW w:type="dxa" w:w="2628"/>
            <w:vAlign w:val="center"/>
          </w:tcPr>
          <w:p>
            <w:pPr>
              <w:spacing w:after="40"/>
            </w:pPr>
            <w:r>
              <w:rPr>
                <w:sz w:val="16"/>
              </w:rPr>
              <w:t>Intent</w:t>
            </w:r>
          </w:p>
        </w:tc>
        <w:tc>
          <w:tcPr>
            <w:tcW w:type="dxa" w:w="2628"/>
            <w:vAlign w:val="center"/>
          </w:tcPr>
          <w:p>
            <w:pPr>
              <w:spacing w:after="40"/>
            </w:pPr>
            <w:r>
              <w:rPr>
                <w:sz w:val="16"/>
              </w:rPr>
              <w:t>Suggested class</w:t>
            </w:r>
          </w:p>
        </w:tc>
        <w:tc>
          <w:tcPr>
            <w:tcW w:type="dxa" w:w="2628"/>
            <w:vAlign w:val="center"/>
          </w:tcPr>
          <w:p>
            <w:pPr>
              <w:spacing w:after="40"/>
            </w:pPr>
            <w:r>
              <w:rPr>
                <w:sz w:val="16"/>
              </w:rPr>
              <w:t>Primary owner</w:t>
            </w:r>
          </w:p>
        </w:tc>
      </w:tr>
      <w:tr>
        <w:tc>
          <w:tcPr>
            <w:tcW w:type="dxa" w:w="2628"/>
            <w:vAlign w:val="center"/>
          </w:tcPr>
          <w:p>
            <w:pPr>
              <w:spacing w:after="40"/>
            </w:pPr>
            <w:r>
              <w:rPr>
                <w:sz w:val="16"/>
              </w:rPr>
              <w:t>No/late Citrix telemetry</w:t>
            </w:r>
          </w:p>
        </w:tc>
        <w:tc>
          <w:tcPr>
            <w:tcW w:type="dxa" w:w="2628"/>
            <w:vAlign w:val="center"/>
          </w:tcPr>
          <w:p>
            <w:pPr>
              <w:spacing w:after="40"/>
            </w:pPr>
            <w:r>
              <w:rPr>
                <w:sz w:val="16"/>
              </w:rPr>
              <w:t>Detect collection failure before dashboards silently go stale.</w:t>
            </w:r>
          </w:p>
        </w:tc>
        <w:tc>
          <w:tcPr>
            <w:tcW w:type="dxa" w:w="2628"/>
            <w:vAlign w:val="center"/>
          </w:tcPr>
          <w:p>
            <w:pPr>
              <w:spacing w:after="40"/>
            </w:pPr>
            <w:r>
              <w:rPr>
                <w:sz w:val="16"/>
              </w:rPr>
              <w:t>P0/P1 based on duration</w:t>
            </w:r>
          </w:p>
        </w:tc>
        <w:tc>
          <w:tcPr>
            <w:tcW w:type="dxa" w:w="2628"/>
            <w:vAlign w:val="center"/>
          </w:tcPr>
          <w:p>
            <w:pPr>
              <w:spacing w:after="40"/>
            </w:pPr>
            <w:r>
              <w:rPr>
                <w:sz w:val="16"/>
              </w:rPr>
              <w:t>Data pipeline / platform owner</w:t>
            </w:r>
          </w:p>
        </w:tc>
      </w:tr>
      <w:tr>
        <w:tc>
          <w:tcPr>
            <w:tcW w:type="dxa" w:w="2628"/>
            <w:vAlign w:val="center"/>
          </w:tcPr>
          <w:p>
            <w:pPr>
              <w:spacing w:after="40"/>
            </w:pPr>
            <w:r>
              <w:rPr>
                <w:sz w:val="16"/>
              </w:rPr>
              <w:t>Schema parsing failure</w:t>
            </w:r>
          </w:p>
        </w:tc>
        <w:tc>
          <w:tcPr>
            <w:tcW w:type="dxa" w:w="2628"/>
            <w:vAlign w:val="center"/>
          </w:tcPr>
          <w:p>
            <w:pPr>
              <w:spacing w:after="40"/>
            </w:pPr>
            <w:r>
              <w:rPr>
                <w:sz w:val="16"/>
              </w:rPr>
              <w:t>Detect vendor schema/version changes that block normalization.</w:t>
            </w:r>
          </w:p>
        </w:tc>
        <w:tc>
          <w:tcPr>
            <w:tcW w:type="dxa" w:w="2628"/>
            <w:vAlign w:val="center"/>
          </w:tcPr>
          <w:p>
            <w:pPr>
              <w:spacing w:after="40"/>
            </w:pPr>
            <w:r>
              <w:rPr>
                <w:sz w:val="16"/>
              </w:rPr>
              <w:t>P0 if widespread</w:t>
            </w:r>
          </w:p>
        </w:tc>
        <w:tc>
          <w:tcPr>
            <w:tcW w:type="dxa" w:w="2628"/>
            <w:vAlign w:val="center"/>
          </w:tcPr>
          <w:p>
            <w:pPr>
              <w:spacing w:after="40"/>
            </w:pPr>
            <w:r>
              <w:rPr>
                <w:sz w:val="16"/>
              </w:rPr>
              <w:t>Data platform owner</w:t>
            </w:r>
          </w:p>
        </w:tc>
      </w:tr>
      <w:tr>
        <w:tc>
          <w:tcPr>
            <w:tcW w:type="dxa" w:w="2628"/>
            <w:vAlign w:val="center"/>
          </w:tcPr>
          <w:p>
            <w:pPr>
              <w:spacing w:after="40"/>
            </w:pPr>
            <w:r>
              <w:rPr>
                <w:sz w:val="16"/>
              </w:rPr>
              <w:t>Large session-event volume drop</w:t>
            </w:r>
          </w:p>
        </w:tc>
        <w:tc>
          <w:tcPr>
            <w:tcW w:type="dxa" w:w="2628"/>
            <w:vAlign w:val="center"/>
          </w:tcPr>
          <w:p>
            <w:pPr>
              <w:spacing w:after="40"/>
            </w:pPr>
            <w:r>
              <w:rPr>
                <w:sz w:val="16"/>
              </w:rPr>
              <w:t>Possible Citrix outage, source disablement, connector failure or user impact.</w:t>
            </w:r>
          </w:p>
        </w:tc>
        <w:tc>
          <w:tcPr>
            <w:tcW w:type="dxa" w:w="2628"/>
            <w:vAlign w:val="center"/>
          </w:tcPr>
          <w:p>
            <w:pPr>
              <w:spacing w:after="40"/>
            </w:pPr>
            <w:r>
              <w:rPr>
                <w:sz w:val="16"/>
              </w:rPr>
              <w:t>P1 initially; tune by baseline</w:t>
            </w:r>
          </w:p>
        </w:tc>
        <w:tc>
          <w:tcPr>
            <w:tcW w:type="dxa" w:w="2628"/>
            <w:vAlign w:val="center"/>
          </w:tcPr>
          <w:p>
            <w:pPr>
              <w:spacing w:after="40"/>
            </w:pPr>
            <w:r>
              <w:rPr>
                <w:sz w:val="16"/>
              </w:rPr>
              <w:t>Citrix platform SRE</w:t>
            </w:r>
          </w:p>
        </w:tc>
      </w:tr>
      <w:tr>
        <w:tc>
          <w:tcPr>
            <w:tcW w:type="dxa" w:w="2628"/>
            <w:vAlign w:val="center"/>
          </w:tcPr>
          <w:p>
            <w:pPr>
              <w:spacing w:after="40"/>
            </w:pPr>
            <w:r>
              <w:rPr>
                <w:sz w:val="16"/>
              </w:rPr>
              <w:t>Session lifecycle mismatch</w:t>
            </w:r>
          </w:p>
        </w:tc>
        <w:tc>
          <w:tcPr>
            <w:tcW w:type="dxa" w:w="2628"/>
            <w:vAlign w:val="center"/>
          </w:tcPr>
          <w:p>
            <w:pPr>
              <w:spacing w:after="40"/>
            </w:pPr>
            <w:r>
              <w:rPr>
                <w:sz w:val="16"/>
              </w:rPr>
              <w:t>High proportion of sessions missing expected end/launch events.</w:t>
            </w:r>
          </w:p>
        </w:tc>
        <w:tc>
          <w:tcPr>
            <w:tcW w:type="dxa" w:w="2628"/>
            <w:vAlign w:val="center"/>
          </w:tcPr>
          <w:p>
            <w:pPr>
              <w:spacing w:after="40"/>
            </w:pPr>
            <w:r>
              <w:rPr>
                <w:sz w:val="16"/>
              </w:rPr>
              <w:t>P1/P2</w:t>
            </w:r>
          </w:p>
        </w:tc>
        <w:tc>
          <w:tcPr>
            <w:tcW w:type="dxa" w:w="2628"/>
            <w:vAlign w:val="center"/>
          </w:tcPr>
          <w:p>
            <w:pPr>
              <w:spacing w:after="40"/>
            </w:pPr>
            <w:r>
              <w:rPr>
                <w:sz w:val="16"/>
              </w:rPr>
              <w:t>Citrix + data platform</w:t>
            </w:r>
          </w:p>
        </w:tc>
      </w:tr>
      <w:tr>
        <w:tc>
          <w:tcPr>
            <w:tcW w:type="dxa" w:w="2628"/>
            <w:vAlign w:val="center"/>
          </w:tcPr>
          <w:p>
            <w:pPr>
              <w:spacing w:after="40"/>
            </w:pPr>
            <w:r>
              <w:rPr>
                <w:sz w:val="16"/>
              </w:rPr>
              <w:t>High-risk Citrix indicator surge</w:t>
            </w:r>
          </w:p>
        </w:tc>
        <w:tc>
          <w:tcPr>
            <w:tcW w:type="dxa" w:w="2628"/>
            <w:vAlign w:val="center"/>
          </w:tcPr>
          <w:p>
            <w:pPr>
              <w:spacing w:after="40"/>
            </w:pPr>
            <w:r>
              <w:rPr>
                <w:sz w:val="16"/>
              </w:rPr>
              <w:t>Correlate security events with platform/user-impact incidents.</w:t>
            </w:r>
          </w:p>
        </w:tc>
        <w:tc>
          <w:tcPr>
            <w:tcW w:type="dxa" w:w="2628"/>
            <w:vAlign w:val="center"/>
          </w:tcPr>
          <w:p>
            <w:pPr>
              <w:spacing w:after="40"/>
            </w:pPr>
            <w:r>
              <w:rPr>
                <w:sz w:val="16"/>
              </w:rPr>
              <w:t>Security severity driven</w:t>
            </w:r>
          </w:p>
        </w:tc>
        <w:tc>
          <w:tcPr>
            <w:tcW w:type="dxa" w:w="2628"/>
            <w:vAlign w:val="center"/>
          </w:tcPr>
          <w:p>
            <w:pPr>
              <w:spacing w:after="40"/>
            </w:pPr>
            <w:r>
              <w:rPr>
                <w:sz w:val="16"/>
              </w:rPr>
              <w:t>Security Operations</w:t>
            </w:r>
          </w:p>
        </w:tc>
      </w:tr>
      <w:tr>
        <w:tc>
          <w:tcPr>
            <w:tcW w:type="dxa" w:w="2628"/>
            <w:vAlign w:val="center"/>
          </w:tcPr>
          <w:p>
            <w:pPr>
              <w:spacing w:after="40"/>
            </w:pPr>
            <w:r>
              <w:rPr>
                <w:sz w:val="16"/>
              </w:rPr>
              <w:t>User-experience degradation</w:t>
            </w:r>
          </w:p>
        </w:tc>
        <w:tc>
          <w:tcPr>
            <w:tcW w:type="dxa" w:w="2628"/>
            <w:vAlign w:val="center"/>
          </w:tcPr>
          <w:p>
            <w:pPr>
              <w:spacing w:after="40"/>
            </w:pPr>
            <w:r>
              <w:rPr>
                <w:sz w:val="16"/>
              </w:rPr>
              <w:t>Logon success/latency thresholds after Monitor/Director metrics are validated.</w:t>
            </w:r>
          </w:p>
        </w:tc>
        <w:tc>
          <w:tcPr>
            <w:tcW w:type="dxa" w:w="2628"/>
            <w:vAlign w:val="center"/>
          </w:tcPr>
          <w:p>
            <w:pPr>
              <w:spacing w:after="40"/>
            </w:pPr>
            <w:r>
              <w:rPr>
                <w:sz w:val="16"/>
              </w:rPr>
              <w:t>P1/P2 per SLO</w:t>
            </w:r>
          </w:p>
        </w:tc>
        <w:tc>
          <w:tcPr>
            <w:tcW w:type="dxa" w:w="2628"/>
            <w:vAlign w:val="center"/>
          </w:tcPr>
          <w:p>
            <w:pPr>
              <w:spacing w:after="40"/>
            </w:pPr>
            <w:r>
              <w:rPr>
                <w:sz w:val="16"/>
              </w:rPr>
              <w:t>Citrix platform SRE</w:t>
            </w:r>
          </w:p>
        </w:tc>
      </w:tr>
    </w:tbl>
    <w:p>
      <w:pPr>
        <w:pStyle w:val="Heading1"/>
      </w:pPr>
      <w:r>
        <w:t>8. Data quality and SRE acceptance criteria</w:t>
      </w:r>
    </w:p>
    <w:p>
      <w:pPr>
        <w:pStyle w:val="ListBullet"/>
      </w:pPr>
      <w:r>
        <w:t>Every curated metric must be traceable back to the raw Citrix event(s) using event_id, session_guid and/or an enterprise ingestion identifier.</w:t>
      </w:r>
    </w:p>
    <w:p>
      <w:pPr>
        <w:pStyle w:val="ListBullet"/>
      </w:pPr>
      <w:r>
        <w:t>Event timestamps must be stored in UTC and ingestion time must be stored separately so source delay can be measured.</w:t>
      </w:r>
    </w:p>
    <w:p>
      <w:pPr>
        <w:pStyle w:val="ListBullet"/>
      </w:pPr>
      <w:r>
        <w:t>Unknown schema versions must not be silently dropped; they must be quarantined and alerted.</w:t>
      </w:r>
    </w:p>
    <w:p>
      <w:pPr>
        <w:pStyle w:val="ListBullet"/>
      </w:pPr>
      <w:r>
        <w:t>Duplicate/replayed events must be handled deterministically.</w:t>
      </w:r>
    </w:p>
    <w:p>
      <w:pPr>
        <w:pStyle w:val="ListBullet"/>
      </w:pPr>
      <w:r>
        <w:t>Dashboard panels must show a visible data-freshness indicator so 'no incidents' cannot be confused with 'no telemetry'.</w:t>
      </w:r>
    </w:p>
    <w:p>
      <w:pPr>
        <w:pStyle w:val="ListBullet"/>
      </w:pPr>
      <w:r>
        <w:t>Sensitive fields such as user identity, client IP and location must follow enterprise access, masking and retention requirements.</w:t>
      </w:r>
    </w:p>
    <w:p>
      <w:pPr>
        <w:pStyle w:val="ListBullet"/>
      </w:pPr>
      <w:r>
        <w:t>Alert thresholds must be baselined and tested with known events before production paging is enabled.</w:t>
      </w:r>
    </w:p>
    <w:p>
      <w:pPr>
        <w:pStyle w:val="ListBullet"/>
      </w:pPr>
      <w:r>
        <w:t>Each P0/P1 alert must have an owner, escalation route, dashboard link and runbook.</w:t>
      </w:r>
    </w:p>
    <w:p>
      <w:pPr>
        <w:pStyle w:val="ListBullet"/>
      </w:pPr>
      <w:r>
        <w:t>Metrics not supported by the selected Citrix feed must be explicitly marked as a telemetry gap rather than inferred from unrelated events.</w:t>
      </w:r>
    </w:p>
    <w:p>
      <w:pPr>
        <w:pStyle w:val="Heading1"/>
      </w:pPr>
      <w:r>
        <w:t>9. Open requirements to close with the Citrix team</w:t>
      </w:r>
    </w:p>
    <w:p>
      <w:pPr>
        <w:pStyle w:val="ListNumber"/>
      </w:pPr>
      <w:r>
        <w:t>Which Citrix product/source is authoritative for logon success/failure and end-to-end logon duration?</w:t>
      </w:r>
    </w:p>
    <w:p>
      <w:pPr>
        <w:pStyle w:val="ListNumber"/>
      </w:pPr>
      <w:r>
        <w:t>Can Citrix Monitor/Director or another supported interface provide HDX/ICA latency, VDA registration, CPU/memory and capacity metrics at the required cadence?</w:t>
      </w:r>
    </w:p>
    <w:p>
      <w:pPr>
        <w:pStyle w:val="ListNumber"/>
      </w:pPr>
      <w:r>
        <w:t>What is the expected maximum export latency for Data Source Events and what delivery guarantees apply?</w:t>
      </w:r>
    </w:p>
    <w:p>
      <w:pPr>
        <w:pStyle w:val="ListNumber"/>
      </w:pPr>
      <w:r>
        <w:t>Which event types will be enabled in production: all events or a curated set?</w:t>
      </w:r>
    </w:p>
    <w:p>
      <w:pPr>
        <w:pStyle w:val="ListNumber"/>
      </w:pPr>
      <w:r>
        <w:t>What retention/replay mechanism is available if the enterprise consumer is unavailable?</w:t>
      </w:r>
    </w:p>
    <w:p>
      <w:pPr>
        <w:pStyle w:val="ListNumber"/>
      </w:pPr>
      <w:r>
        <w:t>How are schema changes/version changes communicated and backward compatibility handled?</w:t>
      </w:r>
    </w:p>
    <w:p>
      <w:pPr>
        <w:pStyle w:val="ListNumber"/>
      </w:pPr>
      <w:r>
        <w:t>Which fields can contain PII/security-sensitive data and what enterprise retention/masking rules apply?</w:t>
      </w:r>
    </w:p>
    <w:p>
      <w:pPr>
        <w:pStyle w:val="ListNumber"/>
      </w:pPr>
      <w:r>
        <w:t>What is the unique event key for deduplication across reconnect/replay scenarios?</w:t>
      </w:r>
    </w:p>
    <w:p>
      <w:pPr>
        <w:pStyle w:val="ListNumber"/>
      </w:pPr>
      <w:r>
        <w:t>What volume/rate limits apply to the chosen Citrix export path?</w:t>
      </w:r>
    </w:p>
    <w:p>
      <w:pPr>
        <w:pStyle w:val="ListNumber"/>
      </w:pPr>
      <w:r>
        <w:t>Who owns source-side enablement and first-line troubleshooting when telemetry stops?</w:t>
      </w:r>
    </w:p>
    <w:p>
      <w:pPr>
        <w:pStyle w:val="Heading1"/>
      </w:pPr>
      <w:r>
        <w:t>10. MVP Definition of Done</w:t>
      </w:r>
    </w:p>
    <w:p>
      <w:pPr>
        <w:pStyle w:val="ListBullet"/>
      </w:pPr>
      <w:r>
        <w:t>Citrix event types and source/export route are formally approved.</w:t>
      </w:r>
    </w:p>
    <w:p>
      <w:pPr>
        <w:pStyle w:val="ListBullet"/>
      </w:pPr>
      <w:r>
        <w:t>Raw Citrix telemetry lands in Snowflake with source payload and ingestion metadata preserved.</w:t>
      </w:r>
    </w:p>
    <w:p>
      <w:pPr>
        <w:pStyle w:val="ListBullet"/>
      </w:pPr>
      <w:r>
        <w:t>Required identity/time/session/application fields are mapped and documented.</w:t>
      </w:r>
    </w:p>
    <w:p>
      <w:pPr>
        <w:pStyle w:val="ListBullet"/>
      </w:pPr>
      <w:r>
        <w:t>Freshness, volume, pipeline failure, duplicate and schema-drift metrics are operational.</w:t>
      </w:r>
    </w:p>
    <w:p>
      <w:pPr>
        <w:pStyle w:val="ListBullet"/>
      </w:pPr>
      <w:r>
        <w:t>Session logon/launch/end and application lifecycle views are available.</w:t>
      </w:r>
    </w:p>
    <w:p>
      <w:pPr>
        <w:pStyle w:val="ListBullet"/>
      </w:pPr>
      <w:r>
        <w:t>Critical dashboard panels show data freshness and ownership.</w:t>
      </w:r>
    </w:p>
    <w:p>
      <w:pPr>
        <w:pStyle w:val="ListBullet"/>
      </w:pPr>
      <w:r>
        <w:t>P0/P1 telemetry alerts are tested end-to-end with runbooks.</w:t>
      </w:r>
    </w:p>
    <w:p>
      <w:pPr>
        <w:pStyle w:val="ListBullet"/>
      </w:pPr>
      <w:r>
        <w:t>Logon duration/success, HDX latency and VDA capacity gaps are either onboarded from an authoritative source or formally tracked as Phase 2 gaps.</w:t>
      </w:r>
    </w:p>
    <w:p>
      <w:pPr>
        <w:pStyle w:val="ListBullet"/>
      </w:pPr>
      <w:r>
        <w:t>SRE, Citrix platform, data platform and Security owners sign off on the metric catalog.</w:t>
      </w:r>
    </w:p>
    <w:p>
      <w:pPr>
        <w:pStyle w:val="Heading1"/>
      </w:pPr>
      <w:r>
        <w:t>11. Reference mapping</w:t>
      </w:r>
    </w:p>
    <w:p>
      <w:r>
        <w:t>Architecture basis: the supplied leadership Draw.io defines SaaS/Vendor Platforms feeding either Direct SaaS API Integration or Vendor → Enterprise Route, converging on Snowflake and then SRE/Operations. Citrix-specific requirements in this document are aligned to that common pattern.</w:t>
      </w:r>
    </w:p>
    <w:p>
      <w:r>
        <w:t>Citrix source 1: Leveraging Citrix Analytics SIEM Data Model for Threat Analysis and Data Correlation — https://docs.citrix.com/en-us/security-analytics/siem-integration/entity-data-model.html</w:t>
      </w:r>
    </w:p>
    <w:p>
      <w:r>
        <w:t>Citrix source 2: Citrix Analytics data exports format for SIEM — https://docs.citrix.com/en-us/security-analytics/siem-integration/siem-messages-schema</w:t>
      </w:r>
    </w:p>
    <w:p>
      <w:r>
        <w:t>Source-derived statements are limited to the Citrix event/export/schema capabilities documented in those references. SRE thresholds, Snowflake transformations, alert priorities and derived metrics are proposed enterprise requirements and must be calibrated during implementation.</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Citrix SRE Observability Requirements | Draft for stakeholder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