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43A4F" w14:textId="77777777" w:rsidR="006C47E4" w:rsidRDefault="006C47E4" w:rsidP="006C47E4">
      <w:pPr>
        <w:pBdr>
          <w:bottom w:val="single" w:sz="4" w:space="1" w:color="auto"/>
        </w:pBdr>
        <w:jc w:val="center"/>
        <w:rPr>
          <w:rFonts w:ascii="Calibri" w:hAnsi="Calibri"/>
          <w:b/>
          <w:sz w:val="22"/>
          <w:szCs w:val="22"/>
        </w:rPr>
      </w:pPr>
    </w:p>
    <w:p w14:paraId="250DE54F" w14:textId="77777777" w:rsidR="006C47E4" w:rsidRPr="00A13266" w:rsidRDefault="006C47E4" w:rsidP="006C47E4">
      <w:pPr>
        <w:pBdr>
          <w:bottom w:val="single" w:sz="4" w:space="1" w:color="auto"/>
        </w:pBdr>
        <w:jc w:val="center"/>
        <w:rPr>
          <w:rFonts w:ascii="Calibri" w:hAnsi="Calibri"/>
          <w:b/>
          <w:sz w:val="22"/>
          <w:szCs w:val="22"/>
        </w:rPr>
      </w:pPr>
      <w:r>
        <w:rPr>
          <w:rFonts w:ascii="Calibri" w:hAnsi="Calibri"/>
          <w:b/>
          <w:sz w:val="22"/>
          <w:szCs w:val="22"/>
        </w:rPr>
        <w:t>BACKGROUND AND OBJECTIVE</w:t>
      </w:r>
    </w:p>
    <w:p w14:paraId="2122BDCD" w14:textId="77777777" w:rsidR="006C47E4" w:rsidRDefault="006C47E4" w:rsidP="006C47E4">
      <w:pPr>
        <w:rPr>
          <w:rFonts w:ascii="Calibri" w:hAnsi="Calibri" w:cs="Calibri"/>
          <w:sz w:val="22"/>
          <w:szCs w:val="22"/>
        </w:rPr>
      </w:pPr>
    </w:p>
    <w:p w14:paraId="4AFD188E" w14:textId="77777777" w:rsidR="00FF6743" w:rsidRPr="006B344D" w:rsidRDefault="00FF6743" w:rsidP="00FF6743">
      <w:pPr>
        <w:rPr>
          <w:rFonts w:ascii="Calibri" w:hAnsi="Calibri" w:cs="Calibri"/>
          <w:sz w:val="22"/>
          <w:szCs w:val="22"/>
        </w:rPr>
      </w:pPr>
      <w:r>
        <w:rPr>
          <w:rFonts w:ascii="Calibri" w:hAnsi="Calibri" w:cs="Calibri"/>
          <w:sz w:val="22"/>
          <w:szCs w:val="22"/>
        </w:rPr>
        <w:tab/>
      </w:r>
      <w:r w:rsidRPr="00BB5B36">
        <w:rPr>
          <w:rFonts w:ascii="Calibri" w:hAnsi="Calibri" w:cs="Calibri"/>
          <w:sz w:val="22"/>
          <w:szCs w:val="22"/>
        </w:rPr>
        <w:t xml:space="preserve">The objective of this project </w:t>
      </w:r>
      <w:r>
        <w:rPr>
          <w:rFonts w:ascii="Calibri" w:hAnsi="Calibri" w:cs="Calibri"/>
          <w:sz w:val="22"/>
          <w:szCs w:val="22"/>
        </w:rPr>
        <w:t>was to</w:t>
      </w:r>
      <w:r w:rsidRPr="00BB5B36">
        <w:rPr>
          <w:rFonts w:ascii="Calibri" w:hAnsi="Calibri" w:cs="Calibri"/>
          <w:sz w:val="22"/>
          <w:szCs w:val="22"/>
        </w:rPr>
        <w:t xml:space="preserve"> investigate whether samples from the 1000 </w:t>
      </w:r>
      <w:r>
        <w:rPr>
          <w:rFonts w:ascii="Calibri" w:hAnsi="Calibri" w:cs="Calibri"/>
          <w:sz w:val="22"/>
          <w:szCs w:val="22"/>
        </w:rPr>
        <w:t>G</w:t>
      </w:r>
      <w:r w:rsidRPr="00BB5B36">
        <w:rPr>
          <w:rFonts w:ascii="Calibri" w:hAnsi="Calibri" w:cs="Calibri"/>
          <w:sz w:val="22"/>
          <w:szCs w:val="22"/>
        </w:rPr>
        <w:t>enome</w:t>
      </w:r>
      <w:r>
        <w:rPr>
          <w:rFonts w:ascii="Calibri" w:hAnsi="Calibri" w:cs="Calibri"/>
          <w:sz w:val="22"/>
          <w:szCs w:val="22"/>
        </w:rPr>
        <w:t>s</w:t>
      </w:r>
      <w:r w:rsidRPr="00BB5B36">
        <w:rPr>
          <w:rFonts w:ascii="Calibri" w:hAnsi="Calibri" w:cs="Calibri"/>
          <w:sz w:val="22"/>
          <w:szCs w:val="22"/>
        </w:rPr>
        <w:t xml:space="preserve"> </w:t>
      </w:r>
      <w:r>
        <w:rPr>
          <w:rFonts w:ascii="Calibri" w:hAnsi="Calibri" w:cs="Calibri"/>
          <w:sz w:val="22"/>
          <w:szCs w:val="22"/>
        </w:rPr>
        <w:t>P</w:t>
      </w:r>
      <w:r w:rsidRPr="00BB5B36">
        <w:rPr>
          <w:rFonts w:ascii="Calibri" w:hAnsi="Calibri" w:cs="Calibri"/>
          <w:sz w:val="22"/>
          <w:szCs w:val="22"/>
        </w:rPr>
        <w:t xml:space="preserve">roject </w:t>
      </w:r>
      <w:r>
        <w:rPr>
          <w:rFonts w:ascii="Calibri" w:hAnsi="Calibri" w:cs="Calibri"/>
          <w:sz w:val="22"/>
          <w:szCs w:val="22"/>
        </w:rPr>
        <w:t>(</w:t>
      </w:r>
      <w:proofErr w:type="spellStart"/>
      <w:r>
        <w:rPr>
          <w:rFonts w:ascii="Calibri" w:hAnsi="Calibri" w:cs="Calibri"/>
          <w:sz w:val="22"/>
          <w:szCs w:val="22"/>
        </w:rPr>
        <w:t>Auton</w:t>
      </w:r>
      <w:proofErr w:type="spellEnd"/>
      <w:r>
        <w:rPr>
          <w:rFonts w:ascii="Calibri" w:hAnsi="Calibri" w:cs="Calibri"/>
          <w:sz w:val="22"/>
          <w:szCs w:val="22"/>
        </w:rPr>
        <w:t xml:space="preserve"> et al., 2015) </w:t>
      </w:r>
      <w:r w:rsidRPr="00BB5B36">
        <w:rPr>
          <w:rFonts w:ascii="Calibri" w:hAnsi="Calibri" w:cs="Calibri"/>
          <w:sz w:val="22"/>
          <w:szCs w:val="22"/>
        </w:rPr>
        <w:t>taken from East Asian (EAS) and European (EUR) subject</w:t>
      </w:r>
      <w:r>
        <w:rPr>
          <w:rFonts w:ascii="Calibri" w:hAnsi="Calibri" w:cs="Calibri"/>
          <w:sz w:val="22"/>
          <w:szCs w:val="22"/>
        </w:rPr>
        <w:t>s could be clustered and classified by</w:t>
      </w:r>
      <w:r w:rsidRPr="00BB5B36">
        <w:rPr>
          <w:rFonts w:ascii="Calibri" w:hAnsi="Calibri" w:cs="Calibri"/>
          <w:sz w:val="22"/>
          <w:szCs w:val="22"/>
        </w:rPr>
        <w:t xml:space="preserve"> </w:t>
      </w:r>
      <w:proofErr w:type="spellStart"/>
      <w:r w:rsidRPr="00BB5B36">
        <w:rPr>
          <w:rFonts w:ascii="Calibri" w:hAnsi="Calibri" w:cs="Calibri"/>
          <w:sz w:val="22"/>
          <w:szCs w:val="22"/>
        </w:rPr>
        <w:t>superpopulation</w:t>
      </w:r>
      <w:proofErr w:type="spellEnd"/>
      <w:r w:rsidRPr="00BB5B36">
        <w:rPr>
          <w:rFonts w:ascii="Calibri" w:hAnsi="Calibri" w:cs="Calibri"/>
          <w:sz w:val="22"/>
          <w:szCs w:val="22"/>
        </w:rPr>
        <w:t xml:space="preserve"> using the genotype data (SNPs) available for four genes: aldehyde dehydrogenase (ALDH2), cyclic adenosine monophosphate responsive element binding protein 1 (CREB1), </w:t>
      </w:r>
      <w:proofErr w:type="spellStart"/>
      <w:r w:rsidRPr="00BB5B36">
        <w:rPr>
          <w:rFonts w:ascii="Calibri" w:hAnsi="Calibri" w:cs="Calibri"/>
          <w:sz w:val="22"/>
          <w:szCs w:val="22"/>
        </w:rPr>
        <w:t>oculocutaneous</w:t>
      </w:r>
      <w:proofErr w:type="spellEnd"/>
      <w:r w:rsidRPr="00BB5B36">
        <w:rPr>
          <w:rFonts w:ascii="Calibri" w:hAnsi="Calibri" w:cs="Calibri"/>
          <w:sz w:val="22"/>
          <w:szCs w:val="22"/>
        </w:rPr>
        <w:t xml:space="preserve"> albinism type 2 (OCA2), and solute carrier family 45 member 2 (SLC45A2). </w:t>
      </w:r>
      <w:r w:rsidRPr="00BB5B36">
        <w:rPr>
          <w:rFonts w:ascii="Calibri" w:hAnsi="Calibri" w:cs="Calibri"/>
          <w:i/>
          <w:iCs/>
          <w:sz w:val="22"/>
          <w:szCs w:val="22"/>
        </w:rPr>
        <w:t xml:space="preserve">ALDH2 </w:t>
      </w:r>
      <w:r w:rsidRPr="00BB5B36">
        <w:rPr>
          <w:rFonts w:ascii="Calibri" w:hAnsi="Calibri" w:cs="Calibri"/>
          <w:sz w:val="22"/>
          <w:szCs w:val="22"/>
        </w:rPr>
        <w:t xml:space="preserve">is involved in the detoxification of </w:t>
      </w:r>
      <w:proofErr w:type="spellStart"/>
      <w:r w:rsidRPr="00BB5B36">
        <w:rPr>
          <w:rFonts w:ascii="Calibri" w:hAnsi="Calibri" w:cs="Calibri"/>
          <w:sz w:val="22"/>
          <w:szCs w:val="22"/>
        </w:rPr>
        <w:t>alipathic</w:t>
      </w:r>
      <w:proofErr w:type="spellEnd"/>
      <w:r w:rsidRPr="00BB5B36">
        <w:rPr>
          <w:rFonts w:ascii="Calibri" w:hAnsi="Calibri" w:cs="Calibri"/>
          <w:sz w:val="22"/>
          <w:szCs w:val="22"/>
        </w:rPr>
        <w:t xml:space="preserve"> aldehydes. Inactivating mutations in </w:t>
      </w:r>
      <w:r w:rsidRPr="00BB5B36">
        <w:rPr>
          <w:rFonts w:ascii="Calibri" w:hAnsi="Calibri" w:cs="Calibri"/>
          <w:i/>
          <w:iCs/>
          <w:sz w:val="22"/>
          <w:szCs w:val="22"/>
        </w:rPr>
        <w:t xml:space="preserve">ALDH2 </w:t>
      </w:r>
      <w:r w:rsidRPr="00BB5B36">
        <w:rPr>
          <w:rFonts w:ascii="Calibri" w:hAnsi="Calibri" w:cs="Calibri"/>
          <w:sz w:val="22"/>
          <w:szCs w:val="22"/>
        </w:rPr>
        <w:t xml:space="preserve">are some of the most prevalent race-specific human </w:t>
      </w:r>
      <w:proofErr w:type="spellStart"/>
      <w:r w:rsidRPr="00BB5B36">
        <w:rPr>
          <w:rFonts w:ascii="Calibri" w:hAnsi="Calibri" w:cs="Calibri"/>
          <w:sz w:val="22"/>
          <w:szCs w:val="22"/>
        </w:rPr>
        <w:t>enzymopathies</w:t>
      </w:r>
      <w:proofErr w:type="spellEnd"/>
      <w:r w:rsidRPr="00BB5B36">
        <w:rPr>
          <w:rFonts w:ascii="Calibri" w:hAnsi="Calibri" w:cs="Calibri"/>
          <w:sz w:val="22"/>
          <w:szCs w:val="22"/>
        </w:rPr>
        <w:t xml:space="preserve">, potentially contributing to a number of diseases such as diabetes, osteoporosis, cancer, and cardiovascular disease (Chen et al., 2020). One such ALDH2 mutation, ALDH2*2, has been characterized as an East Asian-specific polymorphism (Chen et al., 2020). </w:t>
      </w:r>
      <w:r w:rsidRPr="00BB5B36">
        <w:rPr>
          <w:rFonts w:ascii="Calibri" w:hAnsi="Calibri" w:cs="Calibri"/>
          <w:i/>
          <w:iCs/>
          <w:sz w:val="22"/>
          <w:szCs w:val="22"/>
        </w:rPr>
        <w:t>CREB1</w:t>
      </w:r>
      <w:r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Pr="00BB5B36">
        <w:rPr>
          <w:rFonts w:ascii="Calibri" w:hAnsi="Calibri" w:cs="Calibri"/>
          <w:i/>
          <w:iCs/>
          <w:sz w:val="22"/>
          <w:szCs w:val="22"/>
        </w:rPr>
        <w:t>CREB1</w:t>
      </w:r>
      <w:r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Murray  et al., 2015; </w:t>
      </w:r>
      <w:proofErr w:type="spellStart"/>
      <w:r w:rsidRPr="00BB5B36">
        <w:rPr>
          <w:rFonts w:ascii="Calibri" w:hAnsi="Calibri" w:cs="Calibri"/>
          <w:sz w:val="22"/>
          <w:szCs w:val="22"/>
        </w:rPr>
        <w:t>Quillen</w:t>
      </w:r>
      <w:proofErr w:type="spellEnd"/>
      <w:r w:rsidRPr="00BB5B36">
        <w:rPr>
          <w:rFonts w:ascii="Calibri" w:hAnsi="Calibri" w:cs="Calibri"/>
          <w:sz w:val="22"/>
          <w:szCs w:val="22"/>
        </w:rPr>
        <w:t xml:space="preserve"> et al., 2018).</w:t>
      </w:r>
    </w:p>
    <w:p w14:paraId="197D3662" w14:textId="77777777" w:rsidR="006C47E4" w:rsidRDefault="006C47E4" w:rsidP="006C47E4">
      <w:pPr>
        <w:pBdr>
          <w:bottom w:val="single" w:sz="4" w:space="1" w:color="auto"/>
        </w:pBdr>
        <w:jc w:val="center"/>
        <w:rPr>
          <w:rFonts w:ascii="Calibri" w:hAnsi="Calibri"/>
          <w:b/>
          <w:sz w:val="22"/>
          <w:szCs w:val="22"/>
        </w:rPr>
      </w:pPr>
    </w:p>
    <w:p w14:paraId="739C0293" w14:textId="77777777" w:rsidR="006C47E4" w:rsidRPr="00A13266" w:rsidRDefault="006C47E4" w:rsidP="006C47E4">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431BAB5A" w14:textId="77777777" w:rsidR="006C47E4" w:rsidRPr="00A13266" w:rsidRDefault="006C47E4" w:rsidP="006C47E4">
      <w:pPr>
        <w:jc w:val="center"/>
        <w:rPr>
          <w:rFonts w:ascii="Calibri" w:hAnsi="Calibri"/>
          <w:b/>
          <w:sz w:val="22"/>
          <w:szCs w:val="22"/>
        </w:rPr>
      </w:pPr>
    </w:p>
    <w:p w14:paraId="17896F8B" w14:textId="77777777" w:rsidR="006C47E4" w:rsidRDefault="006C47E4" w:rsidP="006C47E4">
      <w:pPr>
        <w:jc w:val="center"/>
        <w:rPr>
          <w:rFonts w:ascii="Calibri" w:hAnsi="Calibri"/>
          <w:sz w:val="22"/>
          <w:szCs w:val="22"/>
        </w:rPr>
      </w:pPr>
      <w:r>
        <w:rPr>
          <w:rFonts w:ascii="Calibri" w:hAnsi="Calibri"/>
          <w:noProof/>
          <w:sz w:val="22"/>
          <w:szCs w:val="22"/>
          <w:lang w:val="en-US"/>
        </w:rPr>
        <w:drawing>
          <wp:inline distT="0" distB="0" distL="0" distR="0" wp14:anchorId="4D435DC1" wp14:editId="2C70A056">
            <wp:extent cx="5602705" cy="2057400"/>
            <wp:effectExtent l="0" t="0" r="1079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442" r="2269" b="3159"/>
                    <a:stretch/>
                  </pic:blipFill>
                  <pic:spPr bwMode="auto">
                    <a:xfrm>
                      <a:off x="0" y="0"/>
                      <a:ext cx="5607098" cy="2059013"/>
                    </a:xfrm>
                    <a:prstGeom prst="rect">
                      <a:avLst/>
                    </a:prstGeom>
                    <a:noFill/>
                    <a:ln>
                      <a:noFill/>
                    </a:ln>
                    <a:extLst>
                      <a:ext uri="{53640926-AAD7-44d8-BBD7-CCE9431645EC}">
                        <a14:shadowObscured xmlns:a14="http://schemas.microsoft.com/office/drawing/2010/main"/>
                      </a:ext>
                    </a:extLst>
                  </pic:spPr>
                </pic:pic>
              </a:graphicData>
            </a:graphic>
          </wp:inline>
        </w:drawing>
      </w:r>
    </w:p>
    <w:p w14:paraId="0E88E4CA" w14:textId="77777777" w:rsidR="006C47E4" w:rsidRDefault="006C47E4" w:rsidP="006C47E4">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34BDE330" w14:textId="77777777" w:rsidR="006C47E4" w:rsidRDefault="006C47E4" w:rsidP="006C47E4">
      <w:pPr>
        <w:ind w:firstLine="720"/>
        <w:rPr>
          <w:rFonts w:ascii="Calibri" w:hAnsi="Calibri"/>
          <w:sz w:val="22"/>
          <w:szCs w:val="22"/>
        </w:rPr>
      </w:pPr>
    </w:p>
    <w:p w14:paraId="73C17F0D" w14:textId="77777777" w:rsidR="006C47E4" w:rsidRDefault="006C47E4" w:rsidP="006C47E4">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on the </w:t>
      </w:r>
      <w:proofErr w:type="spellStart"/>
      <w:r>
        <w:rPr>
          <w:rFonts w:ascii="Calibri" w:hAnsi="Calibri"/>
          <w:sz w:val="22"/>
          <w:szCs w:val="22"/>
        </w:rPr>
        <w:t>e</w:t>
      </w:r>
      <w:r w:rsidRPr="004763DD">
        <w:rPr>
          <w:rFonts w:ascii="Calibri" w:hAnsi="Calibri"/>
          <w:sz w:val="22"/>
          <w:szCs w:val="22"/>
        </w:rPr>
        <w:t>nsembl</w:t>
      </w:r>
      <w:proofErr w:type="spellEnd"/>
      <w:r w:rsidRPr="004763DD">
        <w:rPr>
          <w:rFonts w:ascii="Calibri" w:hAnsi="Calibri"/>
          <w:sz w:val="22"/>
          <w:szCs w:val="22"/>
        </w:rPr>
        <w:t xml:space="preserve">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w:t>
      </w:r>
      <w:proofErr w:type="spellStart"/>
      <w:r>
        <w:rPr>
          <w:rFonts w:ascii="Calibri" w:hAnsi="Calibri"/>
          <w:sz w:val="22"/>
          <w:szCs w:val="22"/>
        </w:rPr>
        <w:t>vcfs</w:t>
      </w:r>
      <w:proofErr w:type="spellEnd"/>
      <w:r>
        <w:rPr>
          <w:rFonts w:ascii="Calibri" w:hAnsi="Calibri"/>
          <w:sz w:val="22"/>
          <w:szCs w:val="22"/>
        </w:rPr>
        <w:t xml:space="preserve">) ranged from 459 for the ALDH2 gene to 5583 for OCA2. For each gene and population, allele counts were obtained. The allele counts for each gene were consolidated, and alleles with frequency &lt; 0.001 or frequency = 1 across the entire study population were removed. In particularly, alleles with </w:t>
      </w:r>
      <w:r>
        <w:rPr>
          <w:rFonts w:ascii="Calibri" w:hAnsi="Calibri"/>
          <w:sz w:val="22"/>
          <w:szCs w:val="22"/>
        </w:rPr>
        <w:lastRenderedPageBreak/>
        <w:t>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14:paraId="61341506" w14:textId="77777777" w:rsidR="006C47E4" w:rsidRDefault="006C47E4" w:rsidP="006C47E4">
      <w:pPr>
        <w:rPr>
          <w:rFonts w:ascii="Calibri" w:hAnsi="Calibri"/>
          <w:sz w:val="22"/>
          <w:szCs w:val="22"/>
        </w:rPr>
      </w:pPr>
    </w:p>
    <w:p w14:paraId="26177866" w14:textId="77777777" w:rsidR="006C47E4" w:rsidRPr="00A13266" w:rsidRDefault="006C47E4" w:rsidP="006C47E4">
      <w:pPr>
        <w:pBdr>
          <w:bottom w:val="single" w:sz="4" w:space="1" w:color="auto"/>
        </w:pBdr>
        <w:jc w:val="center"/>
        <w:rPr>
          <w:rFonts w:ascii="Calibri" w:hAnsi="Calibri"/>
          <w:b/>
          <w:sz w:val="22"/>
          <w:szCs w:val="22"/>
        </w:rPr>
      </w:pPr>
      <w:r w:rsidRPr="00A13266">
        <w:rPr>
          <w:rFonts w:ascii="Calibri" w:hAnsi="Calibri"/>
          <w:b/>
          <w:sz w:val="22"/>
          <w:szCs w:val="22"/>
        </w:rPr>
        <w:t>DETAIL OF DATA ANALYSIS METHODS</w:t>
      </w:r>
    </w:p>
    <w:p w14:paraId="6D72A623" w14:textId="77777777" w:rsidR="006C47E4" w:rsidRDefault="006C47E4" w:rsidP="006C47E4">
      <w:pPr>
        <w:rPr>
          <w:rFonts w:ascii="Calibri" w:hAnsi="Calibri"/>
          <w:sz w:val="22"/>
          <w:szCs w:val="22"/>
        </w:rPr>
      </w:pPr>
    </w:p>
    <w:p w14:paraId="625C78AF" w14:textId="77777777" w:rsidR="006C47E4" w:rsidRPr="00786955" w:rsidRDefault="006C47E4" w:rsidP="006C47E4">
      <w:pPr>
        <w:rPr>
          <w:rFonts w:ascii="Calibri" w:hAnsi="Calibri"/>
          <w:b/>
          <w:sz w:val="22"/>
          <w:szCs w:val="22"/>
        </w:rPr>
      </w:pPr>
      <w:r w:rsidRPr="00786955">
        <w:rPr>
          <w:rFonts w:ascii="Calibri" w:hAnsi="Calibri"/>
          <w:b/>
          <w:sz w:val="22"/>
          <w:szCs w:val="22"/>
        </w:rPr>
        <w:t>PCA &amp; Unsupervised Clustering</w:t>
      </w:r>
    </w:p>
    <w:p w14:paraId="0A3C5AA8" w14:textId="77777777" w:rsidR="00FF6743" w:rsidRPr="00786955" w:rsidRDefault="00FF6743" w:rsidP="00FF6743">
      <w:pPr>
        <w:rPr>
          <w:rFonts w:ascii="Calibri" w:hAnsi="Calibri"/>
          <w:sz w:val="22"/>
          <w:szCs w:val="22"/>
        </w:rPr>
      </w:pPr>
      <w:r w:rsidRPr="00786955">
        <w:rPr>
          <w:rFonts w:ascii="Calibri" w:hAnsi="Calibri"/>
          <w:sz w:val="22"/>
          <w:szCs w:val="22"/>
        </w:rPr>
        <w:tab/>
        <w:t>Principal Component Analysis (PCA) was used to reduce the dimensionality of the data for downstream analysis and visualize potential clustering of samples. Exploratory data analysis was then furthered using agglomerative hierarchical clustering and k-mean clustering. Agglomerative hierarchical clustering was performed on the original variant counts using binary distance and complete linkage which has previously performed well for two well-separated clusters of binary data (</w:t>
      </w:r>
      <w:proofErr w:type="spellStart"/>
      <w:r w:rsidRPr="00786955">
        <w:rPr>
          <w:rFonts w:ascii="Calibri" w:hAnsi="Calibri"/>
          <w:sz w:val="22"/>
          <w:szCs w:val="22"/>
        </w:rPr>
        <w:t>Tamasauskas</w:t>
      </w:r>
      <w:proofErr w:type="spellEnd"/>
      <w:r w:rsidRPr="00786955">
        <w:rPr>
          <w:rFonts w:ascii="Calibri" w:hAnsi="Calibri"/>
          <w:sz w:val="22"/>
          <w:szCs w:val="22"/>
        </w:rPr>
        <w:t xml:space="preserve"> et al., 2012). Agglomerative hierarchical clustering was also performed </w:t>
      </w:r>
      <w:proofErr w:type="spellStart"/>
      <w:r w:rsidRPr="00786955">
        <w:rPr>
          <w:rFonts w:ascii="Calibri" w:hAnsi="Calibri"/>
          <w:sz w:val="22"/>
          <w:szCs w:val="22"/>
        </w:rPr>
        <w:t>performed</w:t>
      </w:r>
      <w:proofErr w:type="spellEnd"/>
      <w:r w:rsidRPr="00786955">
        <w:rPr>
          <w:rFonts w:ascii="Calibri" w:hAnsi="Calibri"/>
          <w:sz w:val="22"/>
          <w:szCs w:val="22"/>
        </w:rPr>
        <w:t xml:space="preserve"> on the top three principal components using </w:t>
      </w:r>
      <w:proofErr w:type="spellStart"/>
      <w:r w:rsidRPr="00786955">
        <w:rPr>
          <w:rFonts w:ascii="Calibri" w:hAnsi="Calibri"/>
          <w:sz w:val="22"/>
          <w:szCs w:val="22"/>
        </w:rPr>
        <w:t>euclidean</w:t>
      </w:r>
      <w:proofErr w:type="spellEnd"/>
      <w:r w:rsidRPr="00786955">
        <w:rPr>
          <w:rFonts w:ascii="Calibri" w:hAnsi="Calibri"/>
          <w:sz w:val="22"/>
          <w:szCs w:val="22"/>
        </w:rPr>
        <w:t xml:space="preserve"> distance and average linkage (to reduce sensitivity to outliers) as previously employed for variant analysis (</w:t>
      </w:r>
      <w:proofErr w:type="spellStart"/>
      <w:r w:rsidRPr="00786955">
        <w:rPr>
          <w:rFonts w:ascii="Calibri" w:hAnsi="Calibri"/>
          <w:sz w:val="22"/>
          <w:szCs w:val="22"/>
        </w:rPr>
        <w:t>Spuesens</w:t>
      </w:r>
      <w:proofErr w:type="spellEnd"/>
      <w:r w:rsidRPr="00786955">
        <w:rPr>
          <w:rFonts w:ascii="Calibri" w:hAnsi="Calibri"/>
          <w:sz w:val="22"/>
          <w:szCs w:val="22"/>
        </w:rPr>
        <w:t xml:space="preserve"> et al., 2016). K-means, which was chosen over k-</w:t>
      </w:r>
      <w:proofErr w:type="spellStart"/>
      <w:r w:rsidRPr="00786955">
        <w:rPr>
          <w:rFonts w:ascii="Calibri" w:hAnsi="Calibri"/>
          <w:sz w:val="22"/>
          <w:szCs w:val="22"/>
        </w:rPr>
        <w:t>medoids</w:t>
      </w:r>
      <w:proofErr w:type="spellEnd"/>
      <w:r w:rsidRPr="00786955">
        <w:rPr>
          <w:rFonts w:ascii="Calibri" w:hAnsi="Calibri"/>
          <w:sz w:val="22"/>
          <w:szCs w:val="22"/>
        </w:rPr>
        <w:t xml:space="preserve"> because the former scales better to large datasets, was performed on the top 3 PCs. 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by dividing the data into 5 folds and excluding one fold from each clustering analysis.</w:t>
      </w:r>
    </w:p>
    <w:p w14:paraId="509CE1C7" w14:textId="77777777" w:rsidR="006C47E4" w:rsidRDefault="006C47E4" w:rsidP="006C47E4">
      <w:pPr>
        <w:rPr>
          <w:rFonts w:ascii="Calibri" w:hAnsi="Calibri"/>
          <w:b/>
          <w:sz w:val="22"/>
          <w:szCs w:val="22"/>
        </w:rPr>
      </w:pPr>
    </w:p>
    <w:p w14:paraId="2D8E6756" w14:textId="77777777" w:rsidR="006C47E4" w:rsidRDefault="006C47E4" w:rsidP="006C47E4">
      <w:pPr>
        <w:rPr>
          <w:rFonts w:ascii="Calibri" w:hAnsi="Calibri"/>
          <w:b/>
          <w:sz w:val="22"/>
          <w:szCs w:val="22"/>
        </w:rPr>
      </w:pPr>
      <w:r>
        <w:rPr>
          <w:rFonts w:ascii="Calibri" w:hAnsi="Calibri"/>
          <w:b/>
          <w:sz w:val="22"/>
          <w:szCs w:val="22"/>
        </w:rPr>
        <w:t>Logistic Regression</w:t>
      </w:r>
    </w:p>
    <w:p w14:paraId="4B1F1220" w14:textId="77777777" w:rsidR="006C47E4" w:rsidRPr="00786955" w:rsidRDefault="006C47E4" w:rsidP="006C47E4">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14:paraId="02074533" w14:textId="77777777" w:rsidR="006C47E4" w:rsidRDefault="006C47E4" w:rsidP="006C47E4">
      <w:pPr>
        <w:rPr>
          <w:rFonts w:ascii="Calibri" w:hAnsi="Calibri"/>
          <w:sz w:val="22"/>
          <w:szCs w:val="22"/>
        </w:rPr>
      </w:pPr>
    </w:p>
    <w:p w14:paraId="6BF65465" w14:textId="77777777" w:rsidR="006C47E4" w:rsidRPr="00786955" w:rsidRDefault="006C47E4" w:rsidP="006C47E4">
      <w:pPr>
        <w:rPr>
          <w:rFonts w:ascii="Calibri" w:hAnsi="Calibri"/>
          <w:b/>
          <w:sz w:val="22"/>
          <w:szCs w:val="22"/>
        </w:rPr>
      </w:pPr>
      <w:r w:rsidRPr="00786955">
        <w:rPr>
          <w:rFonts w:ascii="Calibri" w:hAnsi="Calibri"/>
          <w:b/>
          <w:sz w:val="22"/>
          <w:szCs w:val="22"/>
        </w:rPr>
        <w:t>Decision Trees</w:t>
      </w:r>
    </w:p>
    <w:p w14:paraId="6410A09A" w14:textId="77777777" w:rsidR="006C47E4" w:rsidRPr="00786955" w:rsidRDefault="006C47E4" w:rsidP="006C47E4">
      <w:pPr>
        <w:ind w:firstLine="720"/>
        <w:rPr>
          <w:rFonts w:ascii="Calibri" w:hAnsi="Calibri"/>
          <w:sz w:val="22"/>
          <w:szCs w:val="22"/>
        </w:rPr>
      </w:pPr>
      <w:r w:rsidRPr="00786955">
        <w:rPr>
          <w:rFonts w:ascii="Calibri" w:hAnsi="Calibri"/>
          <w:sz w:val="22"/>
          <w:szCs w:val="22"/>
        </w:rPr>
        <w:t xml:space="preserve">To perform classification, we implemented decision trees and bagging. Each of the decision trees used the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was set aside as training data, and the remainder of the observations were used during the prediction stage. Bagging was used to increase accuracy and ensure the overall model was a suitable classifier on new data. For this analysis, 300 different trees were generated, and the average predictive performance was represented by a receiver operating curve (ROC) and the resulting area under the curve (AUC). </w:t>
      </w:r>
    </w:p>
    <w:p w14:paraId="6CEE12BA" w14:textId="77777777" w:rsidR="006C47E4" w:rsidRDefault="006C47E4" w:rsidP="006C47E4">
      <w:pPr>
        <w:rPr>
          <w:rFonts w:ascii="Calibri" w:hAnsi="Calibri"/>
          <w:sz w:val="22"/>
          <w:szCs w:val="22"/>
        </w:rPr>
      </w:pPr>
    </w:p>
    <w:p w14:paraId="04516129" w14:textId="77777777" w:rsidR="006C47E4" w:rsidRPr="00A13266" w:rsidRDefault="006C47E4" w:rsidP="006C47E4">
      <w:pPr>
        <w:pBdr>
          <w:bottom w:val="single" w:sz="6" w:space="1" w:color="auto"/>
        </w:pBdr>
        <w:jc w:val="center"/>
        <w:rPr>
          <w:rFonts w:ascii="Calibri" w:hAnsi="Calibri"/>
          <w:b/>
          <w:sz w:val="22"/>
          <w:szCs w:val="22"/>
        </w:rPr>
      </w:pPr>
      <w:r>
        <w:rPr>
          <w:rFonts w:ascii="Calibri" w:hAnsi="Calibri"/>
          <w:b/>
          <w:sz w:val="22"/>
          <w:szCs w:val="22"/>
        </w:rPr>
        <w:t>RESULTS</w:t>
      </w:r>
    </w:p>
    <w:p w14:paraId="41091179" w14:textId="77777777" w:rsidR="006C47E4" w:rsidRPr="00A13266" w:rsidRDefault="006C47E4" w:rsidP="006C47E4">
      <w:pPr>
        <w:rPr>
          <w:rFonts w:ascii="Calibri" w:hAnsi="Calibri"/>
          <w:sz w:val="22"/>
          <w:szCs w:val="22"/>
        </w:rPr>
      </w:pPr>
    </w:p>
    <w:p w14:paraId="13F035E9" w14:textId="77777777" w:rsidR="006C47E4" w:rsidRDefault="006C47E4" w:rsidP="006C47E4">
      <w:pPr>
        <w:rPr>
          <w:rFonts w:ascii="Calibri" w:hAnsi="Calibri"/>
          <w:b/>
          <w:sz w:val="22"/>
          <w:szCs w:val="22"/>
        </w:rPr>
      </w:pPr>
      <w:r w:rsidRPr="00786955">
        <w:rPr>
          <w:rFonts w:ascii="Calibri" w:hAnsi="Calibri"/>
          <w:b/>
          <w:sz w:val="22"/>
          <w:szCs w:val="22"/>
        </w:rPr>
        <w:t>PCA &amp; Unsupervised Clustering</w:t>
      </w:r>
    </w:p>
    <w:p w14:paraId="0150F527" w14:textId="77777777" w:rsidR="006C47E4" w:rsidRDefault="006C47E4" w:rsidP="006C47E4">
      <w:pPr>
        <w:rPr>
          <w:rFonts w:ascii="Calibri" w:hAnsi="Calibri"/>
          <w:b/>
          <w:sz w:val="22"/>
          <w:szCs w:val="22"/>
        </w:rPr>
      </w:pPr>
      <w:r w:rsidRPr="00CD3E17">
        <w:rPr>
          <w:rFonts w:ascii="Calibri" w:hAnsi="Calibri"/>
          <w:sz w:val="22"/>
          <w:szCs w:val="22"/>
        </w:rPr>
        <w:tab/>
        <w:t xml:space="preserve">The resulting </w:t>
      </w:r>
      <w:proofErr w:type="spellStart"/>
      <w:r w:rsidRPr="00CD3E17">
        <w:rPr>
          <w:rFonts w:ascii="Calibri" w:hAnsi="Calibri"/>
          <w:sz w:val="22"/>
          <w:szCs w:val="22"/>
        </w:rPr>
        <w:t>biplot</w:t>
      </w:r>
      <w:proofErr w:type="spellEnd"/>
      <w:r w:rsidRPr="00CD3E17">
        <w:rPr>
          <w:rFonts w:ascii="Calibri" w:hAnsi="Calibri"/>
          <w:sz w:val="22"/>
          <w:szCs w:val="22"/>
        </w:rPr>
        <w:t xml:space="preserve"> from principal components anal</w:t>
      </w:r>
      <w:r>
        <w:rPr>
          <w:rFonts w:ascii="Calibri" w:hAnsi="Calibri"/>
          <w:sz w:val="22"/>
          <w:szCs w:val="22"/>
        </w:rPr>
        <w:t>ysis (PCA) are shown in Figure 2</w:t>
      </w:r>
      <w:r w:rsidRPr="00CD3E17">
        <w:rPr>
          <w:rFonts w:ascii="Calibri" w:hAnsi="Calibri"/>
          <w:sz w:val="22"/>
          <w:szCs w:val="22"/>
        </w:rPr>
        <w:t xml:space="preserve">A. </w:t>
      </w:r>
      <w:r w:rsidRPr="009654E4">
        <w:rPr>
          <w:rFonts w:ascii="Calibri" w:hAnsi="Calibri" w:cs="Calibri"/>
          <w:bCs/>
          <w:sz w:val="22"/>
          <w:szCs w:val="22"/>
        </w:rPr>
        <w:t xml:space="preserve">When agglomerative clustering was </w:t>
      </w:r>
      <w:r w:rsidRPr="009654E4">
        <w:rPr>
          <w:rFonts w:ascii="Calibri" w:hAnsi="Calibri" w:cs="Calibri"/>
          <w:sz w:val="22"/>
          <w:szCs w:val="22"/>
        </w:rPr>
        <w:t xml:space="preserve">performed on the original counts, the resulting </w:t>
      </w:r>
      <w:proofErr w:type="spellStart"/>
      <w:r w:rsidRPr="009654E4">
        <w:rPr>
          <w:rFonts w:ascii="Calibri" w:hAnsi="Calibri" w:cs="Calibri"/>
          <w:sz w:val="22"/>
          <w:szCs w:val="22"/>
        </w:rPr>
        <w:t>dendrogram</w:t>
      </w:r>
      <w:proofErr w:type="spellEnd"/>
      <w:r w:rsidRPr="009654E4">
        <w:rPr>
          <w:rFonts w:ascii="Calibri" w:hAnsi="Calibri" w:cs="Calibri"/>
          <w:sz w:val="22"/>
          <w:szCs w:val="22"/>
        </w:rPr>
        <w:t xml:space="preserve"> had to be split </w:t>
      </w:r>
    </w:p>
    <w:p w14:paraId="19D993EA" w14:textId="77777777" w:rsidR="006C47E4" w:rsidRDefault="006C47E4" w:rsidP="006C47E4">
      <w:pPr>
        <w:rPr>
          <w:rFonts w:ascii="Calibri" w:hAnsi="Calibri"/>
          <w:b/>
          <w:sz w:val="22"/>
          <w:szCs w:val="22"/>
        </w:rPr>
      </w:pPr>
      <w:r>
        <w:rPr>
          <w:rFonts w:ascii="Calibri" w:hAnsi="Calibri"/>
          <w:b/>
          <w:sz w:val="22"/>
          <w:szCs w:val="22"/>
        </w:rPr>
        <w:lastRenderedPageBreak/>
        <w:t>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b/>
          <w:sz w:val="22"/>
          <w:szCs w:val="22"/>
        </w:rPr>
        <w:tab/>
        <w:t xml:space="preserve">      </w:t>
      </w:r>
      <w:r>
        <w:rPr>
          <w:rFonts w:ascii="Calibri" w:hAnsi="Calibri"/>
          <w:b/>
          <w:sz w:val="22"/>
          <w:szCs w:val="22"/>
        </w:rPr>
        <w:tab/>
      </w:r>
      <w:r>
        <w:rPr>
          <w:rFonts w:ascii="Calibri" w:hAnsi="Calibri"/>
          <w:b/>
          <w:sz w:val="22"/>
          <w:szCs w:val="22"/>
        </w:rPr>
        <w:tab/>
        <w:t xml:space="preserve">        B</w:t>
      </w:r>
    </w:p>
    <w:p w14:paraId="4B0C3B12" w14:textId="77777777" w:rsidR="006C47E4" w:rsidRDefault="006C47E4" w:rsidP="006C47E4">
      <w:pPr>
        <w:jc w:val="center"/>
        <w:rPr>
          <w:rFonts w:ascii="Calibri" w:hAnsi="Calibri"/>
          <w:b/>
          <w:sz w:val="22"/>
          <w:szCs w:val="22"/>
        </w:rPr>
      </w:pPr>
      <w:r>
        <w:rPr>
          <w:rFonts w:ascii="Calibri" w:hAnsi="Calibri" w:cs="Calibri"/>
          <w:noProof/>
          <w:sz w:val="22"/>
          <w:szCs w:val="22"/>
          <w:lang w:val="en-US"/>
        </w:rPr>
        <w:drawing>
          <wp:inline distT="0" distB="0" distL="0" distR="0" wp14:anchorId="77C3DA4E" wp14:editId="2F9AE516">
            <wp:extent cx="3380850" cy="1666240"/>
            <wp:effectExtent l="0" t="0" r="0" b="1016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8">
                      <a:extLst>
                        <a:ext uri="{28A0092B-C50C-407E-A947-70E740481C1C}">
                          <a14:useLocalDpi xmlns:a14="http://schemas.microsoft.com/office/drawing/2010/main" val="0"/>
                        </a:ext>
                      </a:extLst>
                    </a:blip>
                    <a:srcRect l="4552" t="16811" r="5396" b="15786"/>
                    <a:stretch/>
                  </pic:blipFill>
                  <pic:spPr bwMode="auto">
                    <a:xfrm>
                      <a:off x="0" y="0"/>
                      <a:ext cx="3381569" cy="1666594"/>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noProof/>
          <w:sz w:val="22"/>
          <w:szCs w:val="22"/>
          <w:lang w:val="en-US"/>
        </w:rPr>
        <w:drawing>
          <wp:inline distT="0" distB="0" distL="0" distR="0" wp14:anchorId="6453557B" wp14:editId="6C033D60">
            <wp:extent cx="2520000" cy="183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520000" cy="1838198"/>
                    </a:xfrm>
                    <a:prstGeom prst="rect">
                      <a:avLst/>
                    </a:prstGeom>
                  </pic:spPr>
                </pic:pic>
              </a:graphicData>
            </a:graphic>
          </wp:inline>
        </w:drawing>
      </w:r>
    </w:p>
    <w:p w14:paraId="2F42F652" w14:textId="77777777" w:rsidR="006C47E4" w:rsidRDefault="006C47E4" w:rsidP="006C47E4">
      <w:pPr>
        <w:rPr>
          <w:rFonts w:ascii="Calibri" w:hAnsi="Calibri"/>
          <w:sz w:val="22"/>
          <w:szCs w:val="22"/>
        </w:rPr>
      </w:pPr>
      <w:r w:rsidRPr="00C86BBA">
        <w:rPr>
          <w:rFonts w:ascii="Calibri" w:hAnsi="Calibri"/>
          <w:sz w:val="22"/>
          <w:szCs w:val="22"/>
        </w:rPr>
        <w:t xml:space="preserve">Figure </w:t>
      </w:r>
      <w:r>
        <w:rPr>
          <w:rFonts w:ascii="Calibri" w:hAnsi="Calibri"/>
          <w:sz w:val="22"/>
          <w:szCs w:val="22"/>
        </w:rPr>
        <w:t xml:space="preserve">2. </w:t>
      </w:r>
      <w:r w:rsidRPr="00786955">
        <w:rPr>
          <w:rFonts w:ascii="Calibri" w:hAnsi="Calibri"/>
          <w:b/>
          <w:sz w:val="22"/>
          <w:szCs w:val="22"/>
        </w:rPr>
        <w:t>A</w:t>
      </w:r>
      <w:r>
        <w:rPr>
          <w:rFonts w:ascii="Calibri" w:hAnsi="Calibri"/>
          <w:sz w:val="22"/>
          <w:szCs w:val="22"/>
        </w:rPr>
        <w:t xml:space="preserve">) </w:t>
      </w:r>
      <w:proofErr w:type="spellStart"/>
      <w:r>
        <w:rPr>
          <w:rFonts w:ascii="Calibri" w:hAnsi="Calibri"/>
          <w:sz w:val="22"/>
          <w:szCs w:val="22"/>
        </w:rPr>
        <w:t>Dendrogram</w:t>
      </w:r>
      <w:proofErr w:type="spellEnd"/>
      <w:r>
        <w:rPr>
          <w:rFonts w:ascii="Calibri" w:hAnsi="Calibri"/>
          <w:sz w:val="22"/>
          <w:szCs w:val="22"/>
        </w:rPr>
        <w:t xml:space="preserve"> of samples coloured by population for agglomerative hierarchical clustering performed on the top 3 principal components. </w:t>
      </w:r>
      <w:r w:rsidRPr="00786955">
        <w:rPr>
          <w:rFonts w:ascii="Calibri" w:hAnsi="Calibri"/>
          <w:b/>
          <w:sz w:val="22"/>
          <w:szCs w:val="22"/>
        </w:rPr>
        <w:t>B</w:t>
      </w:r>
      <w:r>
        <w:rPr>
          <w:rFonts w:ascii="Calibri" w:hAnsi="Calibri"/>
          <w:sz w:val="22"/>
          <w:szCs w:val="22"/>
        </w:rPr>
        <w:t xml:space="preserve">) PCA </w:t>
      </w:r>
      <w:proofErr w:type="spellStart"/>
      <w:r>
        <w:rPr>
          <w:rFonts w:ascii="Calibri" w:hAnsi="Calibri"/>
          <w:sz w:val="22"/>
          <w:szCs w:val="22"/>
        </w:rPr>
        <w:t>biplot</w:t>
      </w:r>
      <w:proofErr w:type="spellEnd"/>
      <w:r>
        <w:rPr>
          <w:rFonts w:ascii="Calibri" w:hAnsi="Calibri"/>
          <w:sz w:val="22"/>
          <w:szCs w:val="22"/>
        </w:rPr>
        <w:t xml:space="preserve"> of Samples coloured by Population. reflective of clusters produced with k-means clustering with k=2.</w:t>
      </w:r>
    </w:p>
    <w:p w14:paraId="36F0829A" w14:textId="77777777" w:rsidR="006C47E4" w:rsidRPr="00786955" w:rsidRDefault="006C47E4" w:rsidP="006C47E4">
      <w:pPr>
        <w:rPr>
          <w:rFonts w:ascii="Calibri" w:hAnsi="Calibri"/>
          <w:sz w:val="22"/>
          <w:szCs w:val="22"/>
        </w:rPr>
      </w:pPr>
    </w:p>
    <w:p w14:paraId="43CF2D7B" w14:textId="77777777" w:rsidR="006C47E4" w:rsidRPr="00BF4EB1" w:rsidRDefault="006C47E4" w:rsidP="006C47E4">
      <w:pPr>
        <w:rPr>
          <w:rFonts w:ascii="Calibri" w:hAnsi="Calibri" w:cs="Calibri"/>
          <w:sz w:val="22"/>
          <w:szCs w:val="22"/>
        </w:rPr>
      </w:pPr>
      <w:r w:rsidRPr="009654E4">
        <w:rPr>
          <w:rFonts w:ascii="Calibri" w:hAnsi="Calibri" w:cs="Calibri"/>
          <w:sz w:val="22"/>
          <w:szCs w:val="22"/>
        </w:rPr>
        <w:t>into a greater number of branches in order to obtain clusters predominantly composed of a given population</w:t>
      </w:r>
      <w:r>
        <w:rPr>
          <w:rFonts w:ascii="Calibri" w:hAnsi="Calibri" w:cs="Calibri"/>
          <w:sz w:val="22"/>
          <w:szCs w:val="22"/>
        </w:rPr>
        <w:t xml:space="preserve"> (figure not shown). </w:t>
      </w:r>
      <w:r w:rsidRPr="009654E4">
        <w:rPr>
          <w:rFonts w:ascii="Calibri" w:hAnsi="Calibri" w:cs="Calibri"/>
          <w:sz w:val="22"/>
          <w:szCs w:val="22"/>
        </w:rPr>
        <w:t xml:space="preserve">When agglomerative clustering was performed on the </w:t>
      </w:r>
      <w:r>
        <w:rPr>
          <w:rFonts w:ascii="Calibri" w:hAnsi="Calibri" w:cs="Calibri"/>
          <w:sz w:val="22"/>
          <w:szCs w:val="22"/>
        </w:rPr>
        <w:t>PCs</w:t>
      </w:r>
      <w:r w:rsidRPr="009654E4">
        <w:rPr>
          <w:rFonts w:ascii="Calibri" w:hAnsi="Calibri" w:cs="Calibri"/>
          <w:sz w:val="22"/>
          <w:szCs w:val="22"/>
        </w:rPr>
        <w:t>, the</w:t>
      </w:r>
      <w:r>
        <w:rPr>
          <w:rFonts w:ascii="Calibri" w:hAnsi="Calibri" w:cs="Calibri"/>
          <w:sz w:val="22"/>
          <w:szCs w:val="22"/>
        </w:rPr>
        <w:t xml:space="preserve"> </w:t>
      </w:r>
      <w:proofErr w:type="spellStart"/>
      <w:r w:rsidRPr="009654E4">
        <w:rPr>
          <w:rFonts w:ascii="Calibri" w:hAnsi="Calibri" w:cs="Calibri"/>
          <w:sz w:val="22"/>
          <w:szCs w:val="22"/>
        </w:rPr>
        <w:t>dendrogram</w:t>
      </w:r>
      <w:proofErr w:type="spellEnd"/>
      <w:r w:rsidRPr="009654E4">
        <w:rPr>
          <w:rFonts w:ascii="Calibri" w:hAnsi="Calibri" w:cs="Calibri"/>
          <w:sz w:val="22"/>
          <w:szCs w:val="22"/>
        </w:rPr>
        <w:t xml:space="preserve"> </w:t>
      </w:r>
      <w:r>
        <w:rPr>
          <w:rFonts w:ascii="Calibri" w:hAnsi="Calibri" w:cs="Calibri"/>
          <w:sz w:val="22"/>
          <w:szCs w:val="22"/>
        </w:rPr>
        <w:t xml:space="preserve">yielded only </w:t>
      </w:r>
      <w:r w:rsidRPr="009654E4">
        <w:rPr>
          <w:rFonts w:ascii="Calibri" w:hAnsi="Calibri" w:cs="Calibri"/>
          <w:sz w:val="22"/>
          <w:szCs w:val="22"/>
        </w:rPr>
        <w:t>two branches</w:t>
      </w:r>
      <w:r>
        <w:rPr>
          <w:rFonts w:ascii="Calibri" w:hAnsi="Calibri" w:cs="Calibri"/>
          <w:sz w:val="22"/>
          <w:szCs w:val="22"/>
        </w:rPr>
        <w:t>,</w:t>
      </w:r>
      <w:r w:rsidRPr="009654E4">
        <w:rPr>
          <w:rFonts w:ascii="Calibri" w:hAnsi="Calibri" w:cs="Calibri"/>
          <w:sz w:val="22"/>
          <w:szCs w:val="22"/>
        </w:rPr>
        <w:t xml:space="preserve"> each of which was predominantly composed of one of the two populations (98.2% EAS, and 96% EUR, respectively</w:t>
      </w:r>
      <w:r>
        <w:rPr>
          <w:rFonts w:ascii="Calibri" w:hAnsi="Calibri" w:cs="Calibri"/>
          <w:sz w:val="22"/>
          <w:szCs w:val="22"/>
        </w:rPr>
        <w:t>; Fig. 2A</w:t>
      </w:r>
      <w:r w:rsidRPr="009654E4">
        <w:rPr>
          <w:rFonts w:ascii="Calibri" w:hAnsi="Calibri" w:cs="Calibri"/>
          <w:sz w:val="22"/>
          <w:szCs w:val="22"/>
        </w:rPr>
        <w:t>).</w:t>
      </w:r>
      <w:r>
        <w:rPr>
          <w:rFonts w:ascii="Calibri" w:hAnsi="Calibri" w:cs="Calibri"/>
          <w:sz w:val="22"/>
          <w:szCs w:val="22"/>
        </w:rPr>
        <w:t xml:space="preserve"> This implies the original count data included noise, which hindered clustering, whereas dimensionality reduction by PCA “cleaned up” the data in a way that improved the clustering process. </w:t>
      </w:r>
      <w:r w:rsidRPr="009654E4">
        <w:rPr>
          <w:rFonts w:ascii="Calibri" w:hAnsi="Calibri" w:cs="Calibri"/>
          <w:sz w:val="22"/>
          <w:szCs w:val="22"/>
        </w:rPr>
        <w:t xml:space="preserve">For k-means clustering, k=2 largely clustered samples by population with an overall sensitivity of 0.98 and specificity of 0.99. The cluster containing predominantly EUR samples was split </w:t>
      </w:r>
      <w:r w:rsidRPr="00BF4EB1">
        <w:rPr>
          <w:rFonts w:ascii="Calibri" w:hAnsi="Calibri" w:cs="Calibri"/>
          <w:sz w:val="22"/>
          <w:szCs w:val="22"/>
        </w:rPr>
        <w:t>when k was increased to 3, and the cluster containing predominantly EAS samples was split when k was further increased to 4</w:t>
      </w:r>
      <w:r>
        <w:rPr>
          <w:rFonts w:ascii="Calibri" w:hAnsi="Calibri" w:cs="Calibri"/>
          <w:sz w:val="22"/>
          <w:szCs w:val="22"/>
        </w:rPr>
        <w:t>; this suggests there is more variability in the EUR population compared to the EAS population</w:t>
      </w:r>
      <w:r w:rsidRPr="00BF4EB1">
        <w:rPr>
          <w:rFonts w:ascii="Calibri" w:hAnsi="Calibri" w:cs="Calibri"/>
          <w:sz w:val="22"/>
          <w:szCs w:val="22"/>
        </w:rPr>
        <w:t>. When plotted on the first two PCs, k=2 appeared to result in the best separation between clusters</w:t>
      </w:r>
      <w:r>
        <w:rPr>
          <w:rFonts w:ascii="Calibri" w:hAnsi="Calibri" w:cs="Calibri"/>
          <w:sz w:val="22"/>
          <w:szCs w:val="22"/>
        </w:rPr>
        <w:t xml:space="preserve">, reflecting the results of the PCA </w:t>
      </w:r>
      <w:proofErr w:type="spellStart"/>
      <w:r>
        <w:rPr>
          <w:rFonts w:ascii="Calibri" w:hAnsi="Calibri" w:cs="Calibri"/>
          <w:sz w:val="22"/>
          <w:szCs w:val="22"/>
        </w:rPr>
        <w:t>biplot</w:t>
      </w:r>
      <w:proofErr w:type="spellEnd"/>
      <w:r>
        <w:rPr>
          <w:rFonts w:ascii="Calibri" w:hAnsi="Calibri" w:cs="Calibri"/>
          <w:sz w:val="22"/>
          <w:szCs w:val="22"/>
        </w:rPr>
        <w:t xml:space="preserve"> (Fig. 2B)</w:t>
      </w:r>
      <w:r w:rsidRPr="00BF4EB1">
        <w:rPr>
          <w:rFonts w:ascii="Calibri" w:hAnsi="Calibri" w:cs="Calibri"/>
          <w:sz w:val="22"/>
          <w:szCs w:val="22"/>
        </w:rPr>
        <w:t xml:space="preserve">. These findings were corroborated by the optimal number of clusters predicted by the gap statistic and elbow methods, and also by what was observed in the </w:t>
      </w:r>
      <w:proofErr w:type="spellStart"/>
      <w:r w:rsidRPr="00BF4EB1">
        <w:rPr>
          <w:rFonts w:ascii="Calibri" w:hAnsi="Calibri" w:cs="Calibri"/>
          <w:sz w:val="22"/>
          <w:szCs w:val="22"/>
        </w:rPr>
        <w:t>dendrogram</w:t>
      </w:r>
      <w:proofErr w:type="spellEnd"/>
      <w:r w:rsidRPr="00BF4EB1">
        <w:rPr>
          <w:rFonts w:ascii="Calibri" w:hAnsi="Calibri" w:cs="Calibri"/>
          <w:sz w:val="22"/>
          <w:szCs w:val="22"/>
        </w:rPr>
        <w:t xml:space="preserve"> for top 3 PCs</w:t>
      </w:r>
      <w:r>
        <w:rPr>
          <w:rFonts w:ascii="Calibri" w:hAnsi="Calibri" w:cs="Calibri"/>
          <w:sz w:val="22"/>
          <w:szCs w:val="22"/>
        </w:rPr>
        <w:t xml:space="preserve"> (Fig. 2A)</w:t>
      </w:r>
      <w:r w:rsidRPr="00BF4EB1">
        <w:rPr>
          <w:rFonts w:ascii="Calibri" w:hAnsi="Calibri" w:cs="Calibri"/>
          <w:sz w:val="22"/>
          <w:szCs w:val="22"/>
        </w:rPr>
        <w:t xml:space="preserve">. </w:t>
      </w:r>
      <w:r w:rsidRPr="00BF4EB1">
        <w:rPr>
          <w:rFonts w:ascii="Calibri" w:hAnsi="Calibri"/>
          <w:sz w:val="22"/>
          <w:szCs w:val="22"/>
        </w:rPr>
        <w:t>The k=2 clusters were also found to be highly stable; when the analysis was repeated on 5 sets of perturbed observations, for all sets sensitivity was between 0.984 and 0.986, specificity was between 0.991 and 0.995, and the number of misclassifications for each class was similar (7-8 for EAS and 2-4 for EUR).</w:t>
      </w:r>
    </w:p>
    <w:p w14:paraId="7E1091DC" w14:textId="77777777" w:rsidR="006C47E4" w:rsidRDefault="006C47E4" w:rsidP="006C47E4">
      <w:pPr>
        <w:rPr>
          <w:rFonts w:ascii="Calibri" w:hAnsi="Calibri"/>
          <w:b/>
          <w:sz w:val="22"/>
          <w:szCs w:val="22"/>
        </w:rPr>
      </w:pPr>
    </w:p>
    <w:p w14:paraId="5CB89E61" w14:textId="77777777" w:rsidR="006C47E4" w:rsidRDefault="006C47E4" w:rsidP="006C47E4">
      <w:pPr>
        <w:rPr>
          <w:rFonts w:ascii="Calibri" w:hAnsi="Calibri"/>
          <w:b/>
          <w:sz w:val="22"/>
          <w:szCs w:val="22"/>
        </w:rPr>
      </w:pPr>
      <w:r>
        <w:rPr>
          <w:rFonts w:ascii="Calibri" w:hAnsi="Calibri"/>
          <w:b/>
          <w:sz w:val="22"/>
          <w:szCs w:val="22"/>
        </w:rPr>
        <w:t>Logistic Regression</w:t>
      </w:r>
    </w:p>
    <w:p w14:paraId="31A0DA03" w14:textId="77777777" w:rsidR="006C47E4" w:rsidRDefault="006C47E4" w:rsidP="006C47E4">
      <w:pPr>
        <w:ind w:firstLine="720"/>
        <w:rPr>
          <w:rFonts w:ascii="Calibri" w:hAnsi="Calibri"/>
          <w:sz w:val="22"/>
          <w:szCs w:val="22"/>
          <w:lang w:val="en-US"/>
        </w:rPr>
      </w:pPr>
      <w:r w:rsidRPr="00A13266">
        <w:rPr>
          <w:rFonts w:ascii="Calibri" w:hAnsi="Calibri"/>
          <w:sz w:val="22"/>
          <w:szCs w:val="22"/>
        </w:rPr>
        <w:t xml:space="preserve">The logistic regression model fitted on the training data reported a </w:t>
      </w:r>
      <w:proofErr w:type="spellStart"/>
      <w:r w:rsidRPr="00A13266">
        <w:rPr>
          <w:rFonts w:ascii="Calibri" w:hAnsi="Calibri"/>
          <w:sz w:val="22"/>
          <w:szCs w:val="22"/>
        </w:rPr>
        <w:t>lambda.min</w:t>
      </w:r>
      <w:proofErr w:type="spellEnd"/>
      <w:r w:rsidRPr="00A13266">
        <w:rPr>
          <w:rFonts w:ascii="Calibri" w:hAnsi="Calibri"/>
          <w:sz w:val="22"/>
          <w:szCs w:val="22"/>
        </w:rPr>
        <w:t xml:space="preserve"> of 0.03092 (AUC = 0.9997; # features = 26), and a lambda.1se of 0.04923 (AUC  = 0.9996; # features = 11). Overall, there was very good model performance for lambda values bet</w:t>
      </w:r>
      <w:r>
        <w:rPr>
          <w:rFonts w:ascii="Calibri" w:hAnsi="Calibri"/>
          <w:sz w:val="22"/>
          <w:szCs w:val="22"/>
        </w:rPr>
        <w:t>ween log(-1) and log(-5) (Fig. 3A</w:t>
      </w:r>
      <w:r w:rsidRPr="00A13266">
        <w:rPr>
          <w:rFonts w:ascii="Calibri" w:hAnsi="Calibri"/>
          <w:sz w:val="22"/>
          <w:szCs w:val="22"/>
        </w:rPr>
        <w:t xml:space="preserve">). The fitted model was applied to the validation set using </w:t>
      </w:r>
      <w:proofErr w:type="spellStart"/>
      <w:r w:rsidRPr="00A13266">
        <w:rPr>
          <w:rFonts w:ascii="Calibri" w:hAnsi="Calibri"/>
          <w:sz w:val="22"/>
          <w:szCs w:val="22"/>
        </w:rPr>
        <w:t>lambda.min</w:t>
      </w:r>
      <w:proofErr w:type="spellEnd"/>
      <w:r w:rsidRPr="00A13266">
        <w:rPr>
          <w:rFonts w:ascii="Calibri" w:hAnsi="Calibri"/>
          <w:sz w:val="22"/>
          <w:szCs w:val="22"/>
        </w:rPr>
        <w:t xml:space="preserve"> or lamba.1se to find that both yielded AUCs of 0.9999 (Sensitivity = 0.9952, Specificity = 0.9948, Balanced accuracy = 0.9950</w:t>
      </w:r>
      <w:r>
        <w:rPr>
          <w:rFonts w:ascii="Calibri" w:hAnsi="Calibri"/>
          <w:sz w:val="22"/>
          <w:szCs w:val="22"/>
        </w:rPr>
        <w:t>; Fig. 3B</w:t>
      </w:r>
      <w:r w:rsidRPr="00A13266">
        <w:rPr>
          <w:rFonts w:ascii="Calibri" w:hAnsi="Calibri"/>
          <w:sz w:val="22"/>
          <w:szCs w:val="22"/>
        </w:rPr>
        <w:t>), using an un-optimized classification threshold of 0.5. An optimal value of 0.47 was determined on the validation set, which did not change performance. The model using lambda.1se incorporated a sm</w:t>
      </w:r>
      <w:r>
        <w:rPr>
          <w:rFonts w:ascii="Calibri" w:hAnsi="Calibri"/>
          <w:sz w:val="22"/>
          <w:szCs w:val="22"/>
        </w:rPr>
        <w:t>aller number of features</w:t>
      </w:r>
      <w:r w:rsidRPr="00A13266">
        <w:rPr>
          <w:rFonts w:ascii="Calibri" w:hAnsi="Calibri"/>
          <w:sz w:val="22"/>
          <w:szCs w:val="22"/>
        </w:rPr>
        <w:t>.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w:t>
      </w:r>
      <w:r>
        <w:rPr>
          <w:rFonts w:ascii="Calibri" w:hAnsi="Calibri"/>
          <w:sz w:val="22"/>
          <w:szCs w:val="22"/>
        </w:rPr>
        <w:t>; Fig. 3C</w:t>
      </w:r>
      <w:r w:rsidRPr="00A13266">
        <w:rPr>
          <w:rFonts w:ascii="Calibri" w:hAnsi="Calibri"/>
          <w:sz w:val="22"/>
          <w:szCs w:val="22"/>
        </w:rPr>
        <w:t>), using the optimized classification threshold of 0.47.</w:t>
      </w:r>
      <w:r w:rsidRPr="00A13266">
        <w:rPr>
          <w:rFonts w:ascii="Calibri" w:hAnsi="Calibri"/>
          <w:sz w:val="22"/>
          <w:szCs w:val="22"/>
          <w:lang w:val="en-US"/>
        </w:rPr>
        <w:t xml:space="preserve"> Although the inclusion of feature interactions was considered, given the already-near-perfect performance, the analysis was concluded with single features. </w:t>
      </w:r>
      <w:r w:rsidRPr="00A13266">
        <w:rPr>
          <w:rFonts w:ascii="Calibri" w:hAnsi="Calibri"/>
          <w:b/>
          <w:sz w:val="22"/>
          <w:szCs w:val="22"/>
          <w:lang w:val="en-US"/>
        </w:rPr>
        <w:t>X5</w:t>
      </w:r>
      <w:r w:rsidRPr="00A13266">
        <w:rPr>
          <w:rFonts w:ascii="Calibri" w:hAnsi="Calibri"/>
          <w:sz w:val="22"/>
          <w:szCs w:val="22"/>
          <w:lang w:val="en-US"/>
        </w:rPr>
        <w:t>_33951693_207.0 was determined to be the most important features by far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-2.3193), followed by </w:t>
      </w:r>
      <w:r w:rsidRPr="00A13266">
        <w:rPr>
          <w:rFonts w:ascii="Calibri" w:hAnsi="Calibri"/>
          <w:b/>
          <w:sz w:val="22"/>
          <w:szCs w:val="22"/>
          <w:lang w:val="en-US"/>
        </w:rPr>
        <w:t>X12</w:t>
      </w:r>
      <w:r w:rsidRPr="00A13266">
        <w:rPr>
          <w:rFonts w:ascii="Calibri" w:hAnsi="Calibri"/>
          <w:sz w:val="22"/>
          <w:szCs w:val="22"/>
          <w:lang w:val="en-US"/>
        </w:rPr>
        <w:t xml:space="preserve">_111778178_313.0, </w:t>
      </w:r>
      <w:r w:rsidRPr="00A13266">
        <w:rPr>
          <w:rFonts w:ascii="Calibri" w:hAnsi="Calibri"/>
          <w:b/>
          <w:sz w:val="22"/>
          <w:szCs w:val="22"/>
          <w:lang w:val="en-US"/>
        </w:rPr>
        <w:t>X15</w:t>
      </w:r>
      <w:r w:rsidRPr="00A13266">
        <w:rPr>
          <w:rFonts w:ascii="Calibri" w:hAnsi="Calibri"/>
          <w:sz w:val="22"/>
          <w:szCs w:val="22"/>
          <w:lang w:val="en-US"/>
        </w:rPr>
        <w:t xml:space="preserve">_27926499_6975.0, and </w:t>
      </w:r>
      <w:r w:rsidRPr="00A13266">
        <w:rPr>
          <w:rFonts w:ascii="Calibri" w:hAnsi="Calibri"/>
          <w:b/>
          <w:sz w:val="22"/>
          <w:szCs w:val="22"/>
          <w:lang w:val="en-US"/>
        </w:rPr>
        <w:t>X2</w:t>
      </w:r>
      <w:r w:rsidRPr="00A13266">
        <w:rPr>
          <w:rFonts w:ascii="Calibri" w:hAnsi="Calibri"/>
          <w:sz w:val="22"/>
          <w:szCs w:val="22"/>
          <w:lang w:val="en-US"/>
        </w:rPr>
        <w:t>_207578440_1487.0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0.2041; -0.1226; 0.1101; respectively).</w:t>
      </w:r>
    </w:p>
    <w:p w14:paraId="02D878B7" w14:textId="77777777" w:rsidR="006C47E4" w:rsidRDefault="006C47E4" w:rsidP="006C47E4">
      <w:pPr>
        <w:ind w:firstLine="720"/>
        <w:rPr>
          <w:rFonts w:ascii="Calibri" w:hAnsi="Calibri"/>
          <w:sz w:val="22"/>
          <w:szCs w:val="22"/>
          <w:lang w:val="en-US"/>
        </w:rPr>
      </w:pPr>
    </w:p>
    <w:p w14:paraId="459BACDE" w14:textId="77777777" w:rsidR="006C47E4" w:rsidRPr="00A13266" w:rsidRDefault="006C47E4" w:rsidP="006C47E4">
      <w:pPr>
        <w:rPr>
          <w:rFonts w:ascii="Calibri" w:hAnsi="Calibri"/>
          <w:b/>
          <w:sz w:val="22"/>
          <w:szCs w:val="22"/>
        </w:rPr>
      </w:pPr>
      <w:r>
        <w:rPr>
          <w:rFonts w:ascii="Calibri" w:hAnsi="Calibri"/>
          <w:b/>
          <w:sz w:val="22"/>
          <w:szCs w:val="22"/>
        </w:rPr>
        <w:tab/>
      </w: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004396D3" w14:textId="77777777" w:rsidR="006C47E4" w:rsidRPr="00A13266" w:rsidRDefault="006C47E4" w:rsidP="006C47E4">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53568914" wp14:editId="39D5B230">
            <wp:extent cx="1832805" cy="1900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a14="http://schemas.microsoft.com/office/drawing/2010/main"/>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5621A0D2" wp14:editId="632379C5">
            <wp:extent cx="1979100" cy="184684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63036078" wp14:editId="1398B6A2">
            <wp:extent cx="1979100" cy="187065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3BFDBC6C" w14:textId="77777777" w:rsidR="006C47E4" w:rsidRPr="00A13266" w:rsidRDefault="006C47E4" w:rsidP="006C47E4">
      <w:pPr>
        <w:rPr>
          <w:rFonts w:ascii="Calibri" w:hAnsi="Calibri"/>
          <w:sz w:val="22"/>
          <w:szCs w:val="22"/>
        </w:rPr>
      </w:pPr>
      <w:r>
        <w:rPr>
          <w:rFonts w:ascii="Calibri" w:hAnsi="Calibri"/>
          <w:sz w:val="22"/>
          <w:szCs w:val="22"/>
        </w:rPr>
        <w:t>Figure 3</w:t>
      </w:r>
      <w:r w:rsidRPr="00A13266">
        <w:rPr>
          <w:rFonts w:ascii="Calibri" w:hAnsi="Calibri"/>
          <w:sz w:val="22"/>
          <w:szCs w:val="22"/>
        </w:rPr>
        <w:t xml:space="preserve">. </w:t>
      </w:r>
      <w:r w:rsidRPr="00A13266">
        <w:rPr>
          <w:rFonts w:ascii="Calibri" w:hAnsi="Calibri"/>
          <w:b/>
          <w:sz w:val="22"/>
          <w:szCs w:val="22"/>
        </w:rPr>
        <w:t>A</w:t>
      </w:r>
      <w:r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14:paraId="103255AD" w14:textId="77777777" w:rsidR="006C47E4" w:rsidRDefault="006C47E4" w:rsidP="006C47E4">
      <w:pPr>
        <w:rPr>
          <w:rFonts w:ascii="Calibri" w:hAnsi="Calibri" w:cs="Calibri"/>
          <w:sz w:val="22"/>
          <w:szCs w:val="22"/>
        </w:rPr>
      </w:pPr>
    </w:p>
    <w:p w14:paraId="760D98EC" w14:textId="77777777" w:rsidR="006C47E4" w:rsidRPr="00786955" w:rsidRDefault="006C47E4" w:rsidP="006C47E4">
      <w:pPr>
        <w:rPr>
          <w:rFonts w:ascii="Calibri" w:hAnsi="Calibri" w:cs="Calibri"/>
          <w:b/>
          <w:sz w:val="22"/>
          <w:szCs w:val="22"/>
        </w:rPr>
      </w:pPr>
      <w:r w:rsidRPr="00786955">
        <w:rPr>
          <w:rFonts w:ascii="Calibri" w:hAnsi="Calibri" w:cs="Calibri"/>
          <w:b/>
          <w:sz w:val="22"/>
          <w:szCs w:val="22"/>
        </w:rPr>
        <w:t>Decision Trees</w:t>
      </w:r>
    </w:p>
    <w:p w14:paraId="02B09617" w14:textId="77777777" w:rsidR="006C47E4" w:rsidRDefault="006C47E4" w:rsidP="006C47E4">
      <w:pPr>
        <w:rPr>
          <w:rFonts w:ascii="Calibri" w:hAnsi="Calibri" w:cs="Calibri"/>
          <w:noProof/>
          <w:sz w:val="22"/>
          <w:szCs w:val="22"/>
        </w:rPr>
      </w:pPr>
      <w:r w:rsidRPr="00786955">
        <w:rPr>
          <w:rFonts w:ascii="Calibri" w:hAnsi="Calibri" w:cs="Calibri"/>
          <w:b/>
          <w:noProof/>
          <w:sz w:val="22"/>
          <w:szCs w:val="22"/>
        </w:rPr>
        <w:tab/>
      </w:r>
      <w:r w:rsidRPr="00786955">
        <w:rPr>
          <w:rFonts w:ascii="Calibri" w:hAnsi="Calibri" w:cs="Calibri"/>
          <w:noProof/>
          <w:sz w:val="22"/>
          <w:szCs w:val="22"/>
        </w:rPr>
        <w:t>Bagging generated 300 trees, examples</w:t>
      </w:r>
      <w:r>
        <w:rPr>
          <w:rFonts w:ascii="Calibri" w:hAnsi="Calibri" w:cs="Calibri"/>
          <w:noProof/>
          <w:sz w:val="22"/>
          <w:szCs w:val="22"/>
        </w:rPr>
        <w:t xml:space="preserve"> of which are visualized in Fig. 4A</w:t>
      </w:r>
      <w:r w:rsidRPr="00786955">
        <w:rPr>
          <w:rFonts w:ascii="Calibri" w:hAnsi="Calibri" w:cs="Calibri"/>
          <w:noProof/>
          <w:sz w:val="22"/>
          <w:szCs w:val="22"/>
        </w:rPr>
        <w:t xml:space="preserve">. Additionally, a singular tree was generated for comparison purposes. Interestingly, many of these trees had 3 or more SNPs when a tree generated without bagging only used 1 SNP for classification.  After rounding the average bagging predictions to fit within the binary classification, bagging resulted in 4 misclassifications. To visualize prediction abilities an ROC plot was used, as seen in </w:t>
      </w:r>
      <w:r>
        <w:rPr>
          <w:rFonts w:ascii="Calibri" w:hAnsi="Calibri" w:cs="Calibri"/>
          <w:noProof/>
          <w:sz w:val="22"/>
          <w:szCs w:val="22"/>
        </w:rPr>
        <w:t>Fig.</w:t>
      </w:r>
      <w:r w:rsidRPr="00786955">
        <w:rPr>
          <w:rFonts w:ascii="Calibri" w:hAnsi="Calibri" w:cs="Calibri"/>
          <w:noProof/>
          <w:sz w:val="22"/>
          <w:szCs w:val="22"/>
        </w:rPr>
        <w:t xml:space="preserve"> </w:t>
      </w:r>
      <w:r>
        <w:rPr>
          <w:rFonts w:ascii="Calibri" w:hAnsi="Calibri" w:cs="Calibri"/>
          <w:noProof/>
          <w:sz w:val="22"/>
          <w:szCs w:val="22"/>
        </w:rPr>
        <w:t>4B</w:t>
      </w:r>
      <w:r w:rsidRPr="00786955">
        <w:rPr>
          <w:rFonts w:ascii="Calibri" w:hAnsi="Calibri" w:cs="Calibri"/>
          <w:noProof/>
          <w:sz w:val="22"/>
          <w:szCs w:val="22"/>
        </w:rPr>
        <w:t>. Bagging had a great trade-off between sensitivity and specificity with an AUC value of 0.9998. Overall, given the nature of the data, a singular decision tree would be an acceptable way to classify this data; however, the bagging trees provided a higher AUC value and therefore are considered a better classifier. Bagging is also a good practice to implement as it improves accuracy and reduces the chances of overfitting to a given set of data.</w:t>
      </w:r>
    </w:p>
    <w:p w14:paraId="4B7AA9AD" w14:textId="77777777" w:rsidR="006C47E4" w:rsidRPr="00786955" w:rsidRDefault="006C47E4" w:rsidP="006C47E4">
      <w:pPr>
        <w:rPr>
          <w:rFonts w:ascii="Calibri" w:hAnsi="Calibri" w:cs="Calibri"/>
          <w:noProof/>
          <w:sz w:val="22"/>
          <w:szCs w:val="22"/>
        </w:rPr>
      </w:pPr>
    </w:p>
    <w:p w14:paraId="3BCC29F7" w14:textId="77777777" w:rsidR="006C47E4" w:rsidRPr="00CD3E17" w:rsidRDefault="006C47E4" w:rsidP="006C47E4">
      <w:pPr>
        <w:rPr>
          <w:rFonts w:ascii="Calibri" w:hAnsi="Calibri" w:cs="Calibri"/>
          <w:b/>
          <w:bCs/>
          <w:sz w:val="22"/>
          <w:szCs w:val="22"/>
        </w:rPr>
      </w:pPr>
      <w:r w:rsidRPr="00E35B80">
        <w:rPr>
          <w:rFonts w:ascii="Calibri" w:hAnsi="Calibri" w:cs="Calibri"/>
          <w:b/>
          <w:bCs/>
          <w:sz w:val="22"/>
          <w:szCs w:val="22"/>
        </w:rPr>
        <w:t>A</w:t>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t>B</w:t>
      </w:r>
    </w:p>
    <w:p w14:paraId="2272CA97" w14:textId="77777777" w:rsidR="006C47E4" w:rsidRDefault="006C47E4" w:rsidP="006C47E4">
      <w:pPr>
        <w:rPr>
          <w:rFonts w:ascii="Calibri" w:hAnsi="Calibri"/>
          <w:b/>
          <w:sz w:val="22"/>
          <w:szCs w:val="22"/>
        </w:rPr>
      </w:pPr>
      <w:r>
        <w:rPr>
          <w:noProof/>
          <w:lang w:val="en-US"/>
        </w:rPr>
        <w:drawing>
          <wp:inline distT="0" distB="0" distL="0" distR="0" wp14:anchorId="64A332ED" wp14:editId="63E59246">
            <wp:extent cx="2974340" cy="1854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3"/>
                    <a:srcRect l="3984" t="3391" r="-1" b="3199"/>
                    <a:stretch/>
                  </pic:blipFill>
                  <pic:spPr bwMode="auto">
                    <a:xfrm>
                      <a:off x="0" y="0"/>
                      <a:ext cx="3019222" cy="1882179"/>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9298202" wp14:editId="486D8D39">
            <wp:extent cx="3058511" cy="1911372"/>
            <wp:effectExtent l="0" t="0" r="254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3018" cy="1926687"/>
                    </a:xfrm>
                    <a:prstGeom prst="rect">
                      <a:avLst/>
                    </a:prstGeom>
                  </pic:spPr>
                </pic:pic>
              </a:graphicData>
            </a:graphic>
          </wp:inline>
        </w:drawing>
      </w:r>
    </w:p>
    <w:p w14:paraId="28D2BEE0" w14:textId="77777777" w:rsidR="006C47E4" w:rsidRPr="00C86BBA" w:rsidRDefault="006C47E4" w:rsidP="006C47E4">
      <w:pPr>
        <w:rPr>
          <w:rFonts w:ascii="Calibri" w:hAnsi="Calibri"/>
          <w:sz w:val="22"/>
          <w:szCs w:val="22"/>
        </w:rPr>
      </w:pPr>
      <w:r>
        <w:rPr>
          <w:rFonts w:ascii="Calibri" w:hAnsi="Calibri"/>
          <w:sz w:val="22"/>
          <w:szCs w:val="22"/>
        </w:rPr>
        <w:t>Figure 4</w:t>
      </w:r>
      <w:r w:rsidRPr="00C86BBA">
        <w:rPr>
          <w:rFonts w:ascii="Calibri" w:hAnsi="Calibri"/>
          <w:sz w:val="22"/>
          <w:szCs w:val="22"/>
        </w:rPr>
        <w:t xml:space="preserve">. </w:t>
      </w:r>
      <w:r w:rsidRPr="00786955">
        <w:rPr>
          <w:rFonts w:ascii="Calibri" w:hAnsi="Calibri"/>
          <w:b/>
          <w:sz w:val="22"/>
          <w:szCs w:val="22"/>
        </w:rPr>
        <w:t>A</w:t>
      </w:r>
      <w:r>
        <w:rPr>
          <w:rFonts w:ascii="Calibri" w:hAnsi="Calibri"/>
          <w:sz w:val="22"/>
          <w:szCs w:val="22"/>
        </w:rPr>
        <w:t>) Example decision tree</w:t>
      </w:r>
      <w:r w:rsidRPr="00C86BBA">
        <w:rPr>
          <w:rFonts w:ascii="Calibri" w:hAnsi="Calibri"/>
          <w:sz w:val="22"/>
          <w:szCs w:val="22"/>
        </w:rPr>
        <w:t xml:space="preserve"> generated during the bagging procedure</w:t>
      </w:r>
      <w:r>
        <w:rPr>
          <w:rFonts w:ascii="Calibri" w:hAnsi="Calibri"/>
          <w:sz w:val="22"/>
          <w:szCs w:val="22"/>
        </w:rPr>
        <w:t xml:space="preserve">, </w:t>
      </w:r>
      <w:r w:rsidRPr="00786955">
        <w:rPr>
          <w:rFonts w:ascii="Calibri" w:hAnsi="Calibri"/>
          <w:b/>
          <w:sz w:val="22"/>
          <w:szCs w:val="22"/>
        </w:rPr>
        <w:t>B</w:t>
      </w:r>
      <w:r>
        <w:rPr>
          <w:rFonts w:ascii="Calibri" w:hAnsi="Calibri"/>
          <w:sz w:val="22"/>
          <w:szCs w:val="22"/>
        </w:rPr>
        <w:t>) ROC plot for bagging trees which shows the trade-off between sensitivity and specificity for the final predictions.</w:t>
      </w:r>
    </w:p>
    <w:p w14:paraId="37F15DCF" w14:textId="77777777" w:rsidR="006C47E4" w:rsidRDefault="006C47E4" w:rsidP="006C47E4">
      <w:pPr>
        <w:rPr>
          <w:rFonts w:ascii="Calibri" w:hAnsi="Calibri"/>
          <w:b/>
          <w:sz w:val="22"/>
          <w:szCs w:val="22"/>
        </w:rPr>
      </w:pPr>
    </w:p>
    <w:p w14:paraId="41A89E26" w14:textId="77777777" w:rsidR="006C47E4" w:rsidRDefault="006C47E4" w:rsidP="006C47E4">
      <w:pPr>
        <w:pBdr>
          <w:bottom w:val="single" w:sz="4" w:space="1" w:color="auto"/>
        </w:pBdr>
        <w:jc w:val="center"/>
        <w:rPr>
          <w:rFonts w:ascii="Calibri" w:hAnsi="Calibri"/>
          <w:b/>
          <w:sz w:val="22"/>
          <w:szCs w:val="22"/>
        </w:rPr>
      </w:pPr>
      <w:r>
        <w:rPr>
          <w:rFonts w:ascii="Calibri" w:hAnsi="Calibri"/>
          <w:b/>
          <w:sz w:val="22"/>
          <w:szCs w:val="22"/>
        </w:rPr>
        <w:t>CONCLUSIONS AND DISCUSSION</w:t>
      </w:r>
    </w:p>
    <w:p w14:paraId="7CC7EA5F" w14:textId="77777777" w:rsidR="006C47E4" w:rsidRPr="00A13266" w:rsidRDefault="006C47E4" w:rsidP="006C47E4">
      <w:pPr>
        <w:rPr>
          <w:rFonts w:ascii="Calibri" w:hAnsi="Calibri"/>
          <w:sz w:val="22"/>
          <w:szCs w:val="22"/>
        </w:rPr>
      </w:pPr>
    </w:p>
    <w:p w14:paraId="1C774529" w14:textId="77777777" w:rsidR="006C47E4" w:rsidRDefault="006C47E4" w:rsidP="006C47E4">
      <w:pPr>
        <w:rPr>
          <w:rFonts w:ascii="Calibri" w:hAnsi="Calibri"/>
          <w:sz w:val="22"/>
          <w:szCs w:val="22"/>
        </w:rPr>
      </w:pPr>
      <w:r w:rsidRPr="00A13266">
        <w:rPr>
          <w:rFonts w:ascii="Calibri" w:hAnsi="Calibri"/>
          <w:sz w:val="22"/>
          <w:szCs w:val="22"/>
        </w:rPr>
        <w:tab/>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w:t>
      </w:r>
      <w:r w:rsidRPr="00A13266">
        <w:rPr>
          <w:rFonts w:ascii="Calibri" w:hAnsi="Calibri"/>
          <w:sz w:val="22"/>
          <w:szCs w:val="22"/>
        </w:rPr>
        <w:lastRenderedPageBreak/>
        <w:t xml:space="preserve">classifying individuals to super-populations, and 2) the data are linearly separable, making logistic regression is an effective method for handling this data. If performing similar types of analyses in the future, logistic regression via lasso could be recommended as a starting algorithm. Finally, the </w:t>
      </w:r>
      <w:r w:rsidRPr="00A13266">
        <w:rPr>
          <w:rFonts w:ascii="Calibri" w:hAnsi="Calibri"/>
          <w:b/>
          <w:sz w:val="22"/>
          <w:szCs w:val="22"/>
        </w:rPr>
        <w:t>X5</w:t>
      </w:r>
      <w:r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14:paraId="26A4F91B" w14:textId="77777777" w:rsidR="006C47E4" w:rsidRDefault="006C47E4" w:rsidP="006C47E4">
      <w:pPr>
        <w:rPr>
          <w:rFonts w:ascii="Calibri" w:hAnsi="Calibri"/>
          <w:sz w:val="22"/>
          <w:szCs w:val="22"/>
        </w:rPr>
      </w:pPr>
    </w:p>
    <w:p w14:paraId="21F55807" w14:textId="77777777" w:rsidR="006C47E4" w:rsidRDefault="006C47E4" w:rsidP="006C47E4">
      <w:pPr>
        <w:ind w:firstLine="720"/>
        <w:rPr>
          <w:rFonts w:ascii="Calibri" w:hAnsi="Calibri"/>
          <w:sz w:val="22"/>
          <w:szCs w:val="22"/>
        </w:rPr>
      </w:pPr>
      <w:r>
        <w:rPr>
          <w:rFonts w:ascii="Calibri" w:hAnsi="Calibri"/>
          <w:sz w:val="22"/>
          <w:szCs w:val="22"/>
        </w:rPr>
        <w:t>Although the results of unsupervised learning methods, such as the clustering and blind signal separation (e.g. PCA) approach used in this analysis, can be more subjective than their supervised counterparts, they are parti</w:t>
      </w:r>
      <w:bookmarkStart w:id="0" w:name="_GoBack"/>
      <w:bookmarkEnd w:id="0"/>
      <w:r>
        <w:rPr>
          <w:rFonts w:ascii="Calibri" w:hAnsi="Calibri"/>
          <w:sz w:val="22"/>
          <w:szCs w:val="22"/>
        </w:rPr>
        <w:t xml:space="preserve">cularly (though non-exclusively) valuable for identifying underlying patterns in the data. Here, using the first three principal components, agglomerative and k-means clustering enabled accurate visualization of subgroups within the observations and the relatedness between them. </w:t>
      </w:r>
      <w:r w:rsidRPr="009654E4">
        <w:rPr>
          <w:rFonts w:ascii="Calibri" w:hAnsi="Calibri" w:cs="Calibri"/>
          <w:sz w:val="22"/>
          <w:szCs w:val="22"/>
        </w:rPr>
        <w:t xml:space="preserve">For k-means clustering, k=2 largely clustered samples with </w:t>
      </w:r>
      <w:r>
        <w:rPr>
          <w:rFonts w:ascii="Calibri" w:hAnsi="Calibri" w:cs="Calibri"/>
          <w:sz w:val="22"/>
          <w:szCs w:val="22"/>
        </w:rPr>
        <w:t xml:space="preserve">98% sensitivity and </w:t>
      </w:r>
      <w:r w:rsidRPr="009654E4">
        <w:rPr>
          <w:rFonts w:ascii="Calibri" w:hAnsi="Calibri" w:cs="Calibri"/>
          <w:sz w:val="22"/>
          <w:szCs w:val="22"/>
        </w:rPr>
        <w:t>99</w:t>
      </w:r>
      <w:r>
        <w:rPr>
          <w:rFonts w:ascii="Calibri" w:hAnsi="Calibri" w:cs="Calibri"/>
          <w:sz w:val="22"/>
          <w:szCs w:val="22"/>
        </w:rPr>
        <w:t>% specificity, which is comparable with the results of logistic regression</w:t>
      </w:r>
      <w:r w:rsidRPr="009654E4">
        <w:rPr>
          <w:rFonts w:ascii="Calibri" w:hAnsi="Calibri" w:cs="Calibri"/>
          <w:sz w:val="22"/>
          <w:szCs w:val="22"/>
        </w:rPr>
        <w:t xml:space="preserve">. </w:t>
      </w:r>
      <w:r>
        <w:rPr>
          <w:rFonts w:ascii="Calibri" w:hAnsi="Calibri" w:cs="Calibri"/>
          <w:sz w:val="22"/>
          <w:szCs w:val="22"/>
        </w:rPr>
        <w:t xml:space="preserve">There were also two groups (corresponding to each population) formed by complete-linkage clustering, </w:t>
      </w:r>
      <w:r>
        <w:rPr>
          <w:rFonts w:ascii="Calibri" w:hAnsi="Calibri"/>
          <w:sz w:val="22"/>
          <w:szCs w:val="22"/>
        </w:rPr>
        <w:t xml:space="preserve">which further proved to be stable when observations were perturbed. </w:t>
      </w:r>
    </w:p>
    <w:p w14:paraId="5C3EC880" w14:textId="77777777" w:rsidR="006C47E4" w:rsidRDefault="006C47E4" w:rsidP="006C47E4">
      <w:pPr>
        <w:rPr>
          <w:rFonts w:ascii="Calibri" w:hAnsi="Calibri"/>
          <w:sz w:val="22"/>
          <w:szCs w:val="22"/>
        </w:rPr>
      </w:pPr>
    </w:p>
    <w:p w14:paraId="6F9ECD09" w14:textId="77777777" w:rsidR="006C47E4" w:rsidRDefault="006C47E4" w:rsidP="006C47E4">
      <w:pPr>
        <w:ind w:firstLine="720"/>
        <w:rPr>
          <w:rFonts w:ascii="Calibri" w:hAnsi="Calibri" w:cs="Calibri"/>
          <w:sz w:val="22"/>
          <w:szCs w:val="22"/>
        </w:rPr>
      </w:pPr>
      <w:r w:rsidRPr="00F14451">
        <w:rPr>
          <w:rFonts w:ascii="Calibri" w:hAnsi="Calibri" w:cs="Calibri"/>
          <w:sz w:val="22"/>
          <w:szCs w:val="22"/>
        </w:rPr>
        <w:t xml:space="preserve">Decision trees with bagging are a very </w:t>
      </w:r>
      <w:r>
        <w:rPr>
          <w:rFonts w:ascii="Calibri" w:hAnsi="Calibri" w:cs="Calibri"/>
          <w:sz w:val="22"/>
          <w:szCs w:val="22"/>
        </w:rPr>
        <w:t>easy</w:t>
      </w:r>
      <w:r w:rsidRPr="00F14451">
        <w:rPr>
          <w:rFonts w:ascii="Calibri" w:hAnsi="Calibri" w:cs="Calibri"/>
          <w:sz w:val="22"/>
          <w:szCs w:val="22"/>
        </w:rPr>
        <w:t xml:space="preserve"> and effective way to perform classification as they use a simple yes/no format to classify new data into given groups. This is a very intuitive way to classify, especially genotype data. Genotypes are one of three possibilities: homozygous dominant, heterozygous, or homozygous recessive. This provides the decision tree with very clear boundaries for branches and makes identification of influential SNPs more straight forward. Unfortunately, with very large datasets, which is common with genotypes, bagging is very computationally expensive. This being said, bagging provided good results and in theory would be a great application for population clustering based on SNPs. Overall, decision trees and bagging are a great tool, but logistic regression and other clustering techniques are able to identify similar patterns within the data, with </w:t>
      </w:r>
      <w:r>
        <w:rPr>
          <w:rFonts w:ascii="Calibri" w:hAnsi="Calibri" w:cs="Calibri"/>
          <w:sz w:val="22"/>
          <w:szCs w:val="22"/>
        </w:rPr>
        <w:t>far less computational effort.</w:t>
      </w:r>
    </w:p>
    <w:p w14:paraId="3A2CB9BF" w14:textId="77777777" w:rsidR="006C47E4" w:rsidRDefault="006C47E4" w:rsidP="006C47E4">
      <w:pPr>
        <w:ind w:firstLine="720"/>
        <w:rPr>
          <w:rFonts w:ascii="Calibri" w:hAnsi="Calibri" w:cs="Calibri"/>
          <w:sz w:val="22"/>
          <w:szCs w:val="22"/>
        </w:rPr>
      </w:pPr>
    </w:p>
    <w:p w14:paraId="60DEA861" w14:textId="77777777" w:rsidR="006C47E4" w:rsidRDefault="006C47E4" w:rsidP="006C47E4">
      <w:pPr>
        <w:ind w:firstLine="720"/>
        <w:rPr>
          <w:rFonts w:ascii="Calibri" w:hAnsi="Calibri"/>
          <w:sz w:val="22"/>
          <w:szCs w:val="22"/>
        </w:rPr>
      </w:pPr>
      <w:r>
        <w:rPr>
          <w:rFonts w:ascii="Calibri" w:hAnsi="Calibri"/>
          <w:sz w:val="22"/>
          <w:szCs w:val="22"/>
        </w:rPr>
        <w:t>A</w:t>
      </w:r>
      <w:r w:rsidRPr="00A13266">
        <w:rPr>
          <w:rFonts w:ascii="Calibri" w:hAnsi="Calibri"/>
          <w:sz w:val="22"/>
          <w:szCs w:val="22"/>
        </w:rPr>
        <w:t xml:space="preserve"> </w:t>
      </w:r>
      <w:r>
        <w:rPr>
          <w:rFonts w:ascii="Calibri" w:hAnsi="Calibri"/>
          <w:sz w:val="22"/>
          <w:szCs w:val="22"/>
        </w:rPr>
        <w:t xml:space="preserve">major </w:t>
      </w:r>
      <w:r w:rsidRPr="00A13266">
        <w:rPr>
          <w:rFonts w:ascii="Calibri" w:hAnsi="Calibri"/>
          <w:sz w:val="22"/>
          <w:szCs w:val="22"/>
        </w:rPr>
        <w:t>advantage of logistic regression via lasso</w:t>
      </w:r>
      <w:r>
        <w:rPr>
          <w:rFonts w:ascii="Calibri" w:hAnsi="Calibri"/>
          <w:sz w:val="22"/>
          <w:szCs w:val="22"/>
        </w:rPr>
        <w:t>, over PCA/clustering and decision trees,</w:t>
      </w:r>
      <w:r w:rsidRPr="00A13266">
        <w:rPr>
          <w:rFonts w:ascii="Calibri" w:hAnsi="Calibri"/>
          <w:sz w:val="22"/>
          <w:szCs w:val="22"/>
        </w:rPr>
        <w:t xml:space="preserve"> </w:t>
      </w:r>
      <w:r>
        <w:rPr>
          <w:rFonts w:ascii="Calibri" w:hAnsi="Calibri"/>
          <w:sz w:val="22"/>
          <w:szCs w:val="22"/>
        </w:rPr>
        <w:t xml:space="preserve">is that it is computationally inexpensive. It </w:t>
      </w:r>
      <w:r w:rsidRPr="00A13266">
        <w:rPr>
          <w:rFonts w:ascii="Calibri" w:hAnsi="Calibri"/>
          <w:sz w:val="22"/>
          <w:szCs w:val="22"/>
        </w:rPr>
        <w:t>includes built-in variable selection</w:t>
      </w:r>
      <w:r>
        <w:rPr>
          <w:rFonts w:ascii="Calibri" w:hAnsi="Calibri"/>
          <w:sz w:val="22"/>
          <w:szCs w:val="22"/>
        </w:rPr>
        <w:t xml:space="preserve"> such that </w:t>
      </w:r>
      <w:r w:rsidRPr="00A13266">
        <w:rPr>
          <w:rFonts w:ascii="Calibri" w:hAnsi="Calibri"/>
          <w:sz w:val="22"/>
          <w:szCs w:val="22"/>
        </w:rPr>
        <w:t>dimensionality reduction via</w:t>
      </w:r>
      <w:r>
        <w:rPr>
          <w:rFonts w:ascii="Calibri" w:hAnsi="Calibri"/>
          <w:sz w:val="22"/>
          <w:szCs w:val="22"/>
        </w:rPr>
        <w:t xml:space="preserve"> principal components analysis (PCA) is not necessary</w:t>
      </w:r>
      <w:r w:rsidRPr="00A13266">
        <w:rPr>
          <w:rFonts w:ascii="Calibri" w:hAnsi="Calibri"/>
          <w:sz w:val="22"/>
          <w:szCs w:val="22"/>
        </w:rPr>
        <w:t xml:space="preserve">. </w:t>
      </w:r>
      <w:r>
        <w:rPr>
          <w:rFonts w:ascii="Calibri" w:hAnsi="Calibri"/>
          <w:sz w:val="22"/>
          <w:szCs w:val="22"/>
        </w:rPr>
        <w:t xml:space="preserve">Although PCA was shown to improve clustering results in this analysis, the process may not be as straightforward or transparent. </w:t>
      </w:r>
      <w:r w:rsidRPr="00A13266">
        <w:rPr>
          <w:rFonts w:ascii="Calibri" w:hAnsi="Calibri"/>
          <w:sz w:val="22"/>
          <w:szCs w:val="22"/>
        </w:rPr>
        <w:t>Logistic regression, an extension of linear regression, is also relatively easy to implement and visualize. The algorithm is robust when data is linearly separable, and presents helpful information on feature importance via model coefficients.</w:t>
      </w:r>
      <w:r>
        <w:rPr>
          <w:rFonts w:ascii="Calibri" w:hAnsi="Calibri"/>
          <w:sz w:val="22"/>
          <w:szCs w:val="22"/>
        </w:rPr>
        <w:t xml:space="preserve"> If the data were not linearly separable, decision trees, though more computationally expensive, may have offered a significant advantage. In conclusion, logistic regression could be determined as the most efficient algorithm for classification of individuals to super-populations based on ALDH1, CREB1, OCA2, and SLC45A2 SNP data.</w:t>
      </w:r>
    </w:p>
    <w:p w14:paraId="58EE82D4" w14:textId="77777777" w:rsidR="006C47E4" w:rsidRDefault="006C47E4" w:rsidP="006C47E4">
      <w:pPr>
        <w:ind w:firstLine="720"/>
      </w:pPr>
    </w:p>
    <w:p w14:paraId="511DE6F1" w14:textId="77777777" w:rsidR="006C47E4" w:rsidRPr="00E16B39" w:rsidRDefault="006C47E4" w:rsidP="006C47E4">
      <w:pPr>
        <w:pBdr>
          <w:bottom w:val="single" w:sz="4" w:space="1" w:color="auto"/>
        </w:pBdr>
        <w:jc w:val="center"/>
        <w:rPr>
          <w:rFonts w:ascii="Calibri" w:hAnsi="Calibri"/>
          <w:b/>
          <w:sz w:val="22"/>
          <w:szCs w:val="22"/>
        </w:rPr>
      </w:pPr>
      <w:r>
        <w:rPr>
          <w:rFonts w:ascii="Calibri" w:hAnsi="Calibri"/>
          <w:b/>
          <w:sz w:val="22"/>
          <w:szCs w:val="22"/>
        </w:rPr>
        <w:t>REFERENCES</w:t>
      </w:r>
    </w:p>
    <w:p w14:paraId="033182EC"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Chen, C. H., Ferreira, J. C. B., Joshi, A. U., Stevens, M. C., Li, S. J., Hsu, J. H. M., Maclean, R., Ferreira, N. D., Cervantes, P. R., Martinez, D. D., </w:t>
      </w:r>
      <w:proofErr w:type="spellStart"/>
      <w:r w:rsidRPr="006C47E4">
        <w:rPr>
          <w:rFonts w:ascii="Calibri" w:hAnsi="Calibri"/>
          <w:sz w:val="22"/>
          <w:szCs w:val="22"/>
        </w:rPr>
        <w:t>Barrientos</w:t>
      </w:r>
      <w:proofErr w:type="spellEnd"/>
      <w:r w:rsidRPr="006C47E4">
        <w:rPr>
          <w:rFonts w:ascii="Calibri" w:hAnsi="Calibri"/>
          <w:sz w:val="22"/>
          <w:szCs w:val="22"/>
        </w:rPr>
        <w:t xml:space="preserve">, F. L., </w:t>
      </w:r>
      <w:proofErr w:type="spellStart"/>
      <w:r w:rsidRPr="006C47E4">
        <w:rPr>
          <w:rFonts w:ascii="Calibri" w:hAnsi="Calibri"/>
          <w:sz w:val="22"/>
          <w:szCs w:val="22"/>
        </w:rPr>
        <w:t>Quintanares</w:t>
      </w:r>
      <w:proofErr w:type="spellEnd"/>
      <w:r w:rsidRPr="006C47E4">
        <w:rPr>
          <w:rFonts w:ascii="Calibri" w:hAnsi="Calibri"/>
          <w:sz w:val="22"/>
          <w:szCs w:val="22"/>
        </w:rPr>
        <w:t xml:space="preserve">, G. H. R., &amp; </w:t>
      </w:r>
      <w:proofErr w:type="spellStart"/>
      <w:r w:rsidRPr="006C47E4">
        <w:rPr>
          <w:rFonts w:ascii="Calibri" w:hAnsi="Calibri"/>
          <w:sz w:val="22"/>
          <w:szCs w:val="22"/>
        </w:rPr>
        <w:t>Mochly</w:t>
      </w:r>
      <w:proofErr w:type="spellEnd"/>
      <w:r w:rsidRPr="006C47E4">
        <w:rPr>
          <w:rFonts w:ascii="Calibri" w:hAnsi="Calibri"/>
          <w:sz w:val="22"/>
          <w:szCs w:val="22"/>
        </w:rPr>
        <w:t xml:space="preserve">-Rosen, D. (2020). Novel and prevalent non-East Asian ALDH2 variants; Implications for global susceptibility to aldehydes’ toxicity. </w:t>
      </w:r>
      <w:proofErr w:type="spellStart"/>
      <w:r w:rsidRPr="006C47E4">
        <w:rPr>
          <w:rFonts w:ascii="Calibri" w:hAnsi="Calibri"/>
          <w:i/>
          <w:iCs/>
          <w:sz w:val="22"/>
          <w:szCs w:val="22"/>
        </w:rPr>
        <w:t>EBioMedicine</w:t>
      </w:r>
      <w:proofErr w:type="spellEnd"/>
      <w:r w:rsidRPr="006C47E4">
        <w:rPr>
          <w:rFonts w:ascii="Calibri" w:hAnsi="Calibri"/>
          <w:sz w:val="22"/>
          <w:szCs w:val="22"/>
        </w:rPr>
        <w:t xml:space="preserve">, </w:t>
      </w:r>
      <w:r w:rsidRPr="006C47E4">
        <w:rPr>
          <w:rFonts w:ascii="Calibri" w:hAnsi="Calibri"/>
          <w:i/>
          <w:iCs/>
          <w:sz w:val="22"/>
          <w:szCs w:val="22"/>
        </w:rPr>
        <w:t>55</w:t>
      </w:r>
      <w:r w:rsidRPr="006C47E4">
        <w:rPr>
          <w:rFonts w:ascii="Calibri" w:hAnsi="Calibri"/>
          <w:sz w:val="22"/>
          <w:szCs w:val="22"/>
        </w:rPr>
        <w:t>. https://doi.org/10.1016/j.ebiom.2020.102753</w:t>
      </w:r>
    </w:p>
    <w:p w14:paraId="1D784345"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Fang, Z., Lin, A., Chen, J., Zhang, X., Liu, H., Li, H., Hu, Y., Zhang, X., Zhang, J., </w:t>
      </w:r>
      <w:proofErr w:type="spellStart"/>
      <w:r w:rsidRPr="006C47E4">
        <w:rPr>
          <w:rFonts w:ascii="Calibri" w:hAnsi="Calibri"/>
          <w:sz w:val="22"/>
          <w:szCs w:val="22"/>
        </w:rPr>
        <w:t>Qiu</w:t>
      </w:r>
      <w:proofErr w:type="spellEnd"/>
      <w:r w:rsidRPr="006C47E4">
        <w:rPr>
          <w:rFonts w:ascii="Calibri" w:hAnsi="Calibri"/>
          <w:sz w:val="22"/>
          <w:szCs w:val="22"/>
        </w:rPr>
        <w:t xml:space="preserve">, L., Mei, L., Shao, J., &amp; Chen, X. (2016). CREB1 directly activates the transcription of </w:t>
      </w:r>
      <w:proofErr w:type="spellStart"/>
      <w:r w:rsidRPr="006C47E4">
        <w:rPr>
          <w:rFonts w:ascii="Calibri" w:hAnsi="Calibri"/>
          <w:sz w:val="22"/>
          <w:szCs w:val="22"/>
        </w:rPr>
        <w:t>ribonucleotide</w:t>
      </w:r>
      <w:proofErr w:type="spellEnd"/>
      <w:r w:rsidRPr="006C47E4">
        <w:rPr>
          <w:rFonts w:ascii="Calibri" w:hAnsi="Calibri"/>
          <w:sz w:val="22"/>
          <w:szCs w:val="22"/>
        </w:rPr>
        <w:t xml:space="preserve"> </w:t>
      </w:r>
      <w:proofErr w:type="spellStart"/>
      <w:r w:rsidRPr="006C47E4">
        <w:rPr>
          <w:rFonts w:ascii="Calibri" w:hAnsi="Calibri"/>
          <w:sz w:val="22"/>
          <w:szCs w:val="22"/>
        </w:rPr>
        <w:t>reductase</w:t>
      </w:r>
      <w:proofErr w:type="spellEnd"/>
      <w:r w:rsidRPr="006C47E4">
        <w:rPr>
          <w:rFonts w:ascii="Calibri" w:hAnsi="Calibri"/>
          <w:sz w:val="22"/>
          <w:szCs w:val="22"/>
        </w:rPr>
        <w:t xml:space="preserve"> small subunit M2 and promotes the aggressiveness of human colorectal cancer. </w:t>
      </w:r>
      <w:proofErr w:type="spellStart"/>
      <w:r w:rsidRPr="006C47E4">
        <w:rPr>
          <w:rFonts w:ascii="Calibri" w:hAnsi="Calibri"/>
          <w:i/>
          <w:iCs/>
          <w:sz w:val="22"/>
          <w:szCs w:val="22"/>
        </w:rPr>
        <w:t>Oncotarget</w:t>
      </w:r>
      <w:proofErr w:type="spellEnd"/>
      <w:r w:rsidRPr="006C47E4">
        <w:rPr>
          <w:rFonts w:ascii="Calibri" w:hAnsi="Calibri"/>
          <w:sz w:val="22"/>
          <w:szCs w:val="22"/>
        </w:rPr>
        <w:t xml:space="preserve">, </w:t>
      </w:r>
      <w:r w:rsidRPr="006C47E4">
        <w:rPr>
          <w:rFonts w:ascii="Calibri" w:hAnsi="Calibri"/>
          <w:i/>
          <w:iCs/>
          <w:sz w:val="22"/>
          <w:szCs w:val="22"/>
        </w:rPr>
        <w:t>7</w:t>
      </w:r>
      <w:r w:rsidRPr="006C47E4">
        <w:rPr>
          <w:rFonts w:ascii="Calibri" w:hAnsi="Calibri"/>
          <w:sz w:val="22"/>
          <w:szCs w:val="22"/>
        </w:rPr>
        <w:t>(47), 78055–78068. https://doi.org/10.18632/oncotarget.12938</w:t>
      </w:r>
    </w:p>
    <w:p w14:paraId="29B97600"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lastRenderedPageBreak/>
        <w:t xml:space="preserve">Li, M., </w:t>
      </w:r>
      <w:proofErr w:type="spellStart"/>
      <w:r w:rsidRPr="006C47E4">
        <w:rPr>
          <w:rFonts w:ascii="Calibri" w:hAnsi="Calibri"/>
          <w:sz w:val="22"/>
          <w:szCs w:val="22"/>
        </w:rPr>
        <w:t>Luo</w:t>
      </w:r>
      <w:proofErr w:type="spellEnd"/>
      <w:r w:rsidRPr="006C47E4">
        <w:rPr>
          <w:rFonts w:ascii="Calibri" w:hAnsi="Calibri"/>
          <w:sz w:val="22"/>
          <w:szCs w:val="22"/>
        </w:rPr>
        <w:t xml:space="preserve">, X. J., </w:t>
      </w:r>
      <w:proofErr w:type="spellStart"/>
      <w:r w:rsidRPr="006C47E4">
        <w:rPr>
          <w:rFonts w:ascii="Calibri" w:hAnsi="Calibri"/>
          <w:sz w:val="22"/>
          <w:szCs w:val="22"/>
        </w:rPr>
        <w:t>Rietschel</w:t>
      </w:r>
      <w:proofErr w:type="spellEnd"/>
      <w:r w:rsidRPr="006C47E4">
        <w:rPr>
          <w:rFonts w:ascii="Calibri" w:hAnsi="Calibri"/>
          <w:sz w:val="22"/>
          <w:szCs w:val="22"/>
        </w:rPr>
        <w:t xml:space="preserve">, M., Lewis, C. M., </w:t>
      </w:r>
      <w:proofErr w:type="spellStart"/>
      <w:r w:rsidRPr="006C47E4">
        <w:rPr>
          <w:rFonts w:ascii="Calibri" w:hAnsi="Calibri"/>
          <w:sz w:val="22"/>
          <w:szCs w:val="22"/>
        </w:rPr>
        <w:t>Mattheisen</w:t>
      </w:r>
      <w:proofErr w:type="spellEnd"/>
      <w:r w:rsidRPr="006C47E4">
        <w:rPr>
          <w:rFonts w:ascii="Calibri" w:hAnsi="Calibri"/>
          <w:sz w:val="22"/>
          <w:szCs w:val="22"/>
        </w:rPr>
        <w:t>, M., Müller-</w:t>
      </w:r>
      <w:proofErr w:type="spellStart"/>
      <w:r w:rsidRPr="006C47E4">
        <w:rPr>
          <w:rFonts w:ascii="Calibri" w:hAnsi="Calibri"/>
          <w:sz w:val="22"/>
          <w:szCs w:val="22"/>
        </w:rPr>
        <w:t>Myhsok</w:t>
      </w:r>
      <w:proofErr w:type="spellEnd"/>
      <w:r w:rsidRPr="006C47E4">
        <w:rPr>
          <w:rFonts w:ascii="Calibri" w:hAnsi="Calibri"/>
          <w:sz w:val="22"/>
          <w:szCs w:val="22"/>
        </w:rPr>
        <w:t xml:space="preserve">, B., </w:t>
      </w:r>
      <w:proofErr w:type="spellStart"/>
      <w:r w:rsidRPr="006C47E4">
        <w:rPr>
          <w:rFonts w:ascii="Calibri" w:hAnsi="Calibri"/>
          <w:sz w:val="22"/>
          <w:szCs w:val="22"/>
        </w:rPr>
        <w:t>Jamain</w:t>
      </w:r>
      <w:proofErr w:type="spellEnd"/>
      <w:r w:rsidRPr="006C47E4">
        <w:rPr>
          <w:rFonts w:ascii="Calibri" w:hAnsi="Calibri"/>
          <w:sz w:val="22"/>
          <w:szCs w:val="22"/>
        </w:rPr>
        <w:t xml:space="preserve">, S., </w:t>
      </w:r>
      <w:proofErr w:type="spellStart"/>
      <w:r w:rsidRPr="006C47E4">
        <w:rPr>
          <w:rFonts w:ascii="Calibri" w:hAnsi="Calibri"/>
          <w:sz w:val="22"/>
          <w:szCs w:val="22"/>
        </w:rPr>
        <w:t>Leboyer</w:t>
      </w:r>
      <w:proofErr w:type="spellEnd"/>
      <w:r w:rsidRPr="006C47E4">
        <w:rPr>
          <w:rFonts w:ascii="Calibri" w:hAnsi="Calibri"/>
          <w:sz w:val="22"/>
          <w:szCs w:val="22"/>
        </w:rPr>
        <w:t xml:space="preserve">, M., </w:t>
      </w:r>
      <w:proofErr w:type="spellStart"/>
      <w:r w:rsidRPr="006C47E4">
        <w:rPr>
          <w:rFonts w:ascii="Calibri" w:hAnsi="Calibri"/>
          <w:sz w:val="22"/>
          <w:szCs w:val="22"/>
        </w:rPr>
        <w:t>Landén</w:t>
      </w:r>
      <w:proofErr w:type="spellEnd"/>
      <w:r w:rsidRPr="006C47E4">
        <w:rPr>
          <w:rFonts w:ascii="Calibri" w:hAnsi="Calibri"/>
          <w:sz w:val="22"/>
          <w:szCs w:val="22"/>
        </w:rPr>
        <w:t xml:space="preserve">, M., Thompson, P. M., </w:t>
      </w:r>
      <w:proofErr w:type="spellStart"/>
      <w:r w:rsidRPr="006C47E4">
        <w:rPr>
          <w:rFonts w:ascii="Calibri" w:hAnsi="Calibri"/>
          <w:sz w:val="22"/>
          <w:szCs w:val="22"/>
        </w:rPr>
        <w:t>Cichon</w:t>
      </w:r>
      <w:proofErr w:type="spellEnd"/>
      <w:r w:rsidRPr="006C47E4">
        <w:rPr>
          <w:rFonts w:ascii="Calibri" w:hAnsi="Calibri"/>
          <w:sz w:val="22"/>
          <w:szCs w:val="22"/>
        </w:rPr>
        <w:t xml:space="preserve">, S., </w:t>
      </w:r>
      <w:proofErr w:type="spellStart"/>
      <w:r w:rsidRPr="006C47E4">
        <w:rPr>
          <w:rFonts w:ascii="Calibri" w:hAnsi="Calibri"/>
          <w:sz w:val="22"/>
          <w:szCs w:val="22"/>
        </w:rPr>
        <w:t>Nöthen</w:t>
      </w:r>
      <w:proofErr w:type="spellEnd"/>
      <w:r w:rsidRPr="006C47E4">
        <w:rPr>
          <w:rFonts w:ascii="Calibri" w:hAnsi="Calibri"/>
          <w:sz w:val="22"/>
          <w:szCs w:val="22"/>
        </w:rPr>
        <w:t xml:space="preserve">, M. M., Schulze, T. G., Sullivan, P. F., Bergen, S. E., </w:t>
      </w:r>
      <w:proofErr w:type="spellStart"/>
      <w:r w:rsidRPr="006C47E4">
        <w:rPr>
          <w:rFonts w:ascii="Calibri" w:hAnsi="Calibri"/>
          <w:sz w:val="22"/>
          <w:szCs w:val="22"/>
        </w:rPr>
        <w:t>Donohoe</w:t>
      </w:r>
      <w:proofErr w:type="spellEnd"/>
      <w:r w:rsidRPr="006C47E4">
        <w:rPr>
          <w:rFonts w:ascii="Calibri" w:hAnsi="Calibri"/>
          <w:sz w:val="22"/>
          <w:szCs w:val="22"/>
        </w:rPr>
        <w:t xml:space="preserve">, G., Morris, D. W., Hargreaves, A., Gill, M., … Su, B. (2014). Allelic differences between Europeans and Chinese for CREB1 SNPs and their implications in gene expression regulation, hippocampal structure and function, and bipolar disorder susceptibility. </w:t>
      </w:r>
      <w:r w:rsidRPr="006C47E4">
        <w:rPr>
          <w:rFonts w:ascii="Calibri" w:hAnsi="Calibri"/>
          <w:i/>
          <w:iCs/>
          <w:sz w:val="22"/>
          <w:szCs w:val="22"/>
        </w:rPr>
        <w:t>Molecular Psychiatry</w:t>
      </w:r>
      <w:r w:rsidRPr="006C47E4">
        <w:rPr>
          <w:rFonts w:ascii="Calibri" w:hAnsi="Calibri"/>
          <w:sz w:val="22"/>
          <w:szCs w:val="22"/>
        </w:rPr>
        <w:t xml:space="preserve">, </w:t>
      </w:r>
      <w:r w:rsidRPr="006C47E4">
        <w:rPr>
          <w:rFonts w:ascii="Calibri" w:hAnsi="Calibri"/>
          <w:i/>
          <w:iCs/>
          <w:sz w:val="22"/>
          <w:szCs w:val="22"/>
        </w:rPr>
        <w:t>19</w:t>
      </w:r>
      <w:r w:rsidRPr="006C47E4">
        <w:rPr>
          <w:rFonts w:ascii="Calibri" w:hAnsi="Calibri"/>
          <w:sz w:val="22"/>
          <w:szCs w:val="22"/>
        </w:rPr>
        <w:t>(4), 452–461. https://doi.org/10.1038/mp.2013.37</w:t>
      </w:r>
    </w:p>
    <w:p w14:paraId="4AF0B6DD"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Murray, N., Norton, H. L., &amp; Parra, E. J. (2015). Distribution of two OCA2 polymorphisms associated with pigmentation in East-Asian populations. </w:t>
      </w:r>
      <w:r w:rsidRPr="006C47E4">
        <w:rPr>
          <w:rFonts w:ascii="Calibri" w:hAnsi="Calibri"/>
          <w:i/>
          <w:iCs/>
          <w:sz w:val="22"/>
          <w:szCs w:val="22"/>
        </w:rPr>
        <w:t>Human Genome Variation</w:t>
      </w:r>
      <w:r w:rsidRPr="006C47E4">
        <w:rPr>
          <w:rFonts w:ascii="Calibri" w:hAnsi="Calibri"/>
          <w:sz w:val="22"/>
          <w:szCs w:val="22"/>
        </w:rPr>
        <w:t xml:space="preserve">, </w:t>
      </w:r>
      <w:r w:rsidRPr="006C47E4">
        <w:rPr>
          <w:rFonts w:ascii="Calibri" w:hAnsi="Calibri"/>
          <w:i/>
          <w:iCs/>
          <w:sz w:val="22"/>
          <w:szCs w:val="22"/>
        </w:rPr>
        <w:t>2</w:t>
      </w:r>
      <w:r w:rsidRPr="006C47E4">
        <w:rPr>
          <w:rFonts w:ascii="Calibri" w:hAnsi="Calibri"/>
          <w:sz w:val="22"/>
          <w:szCs w:val="22"/>
        </w:rPr>
        <w:t>(1), 1–5. https://doi.org/10.1038/hgv.2015.58</w:t>
      </w:r>
    </w:p>
    <w:p w14:paraId="0FA42676" w14:textId="77777777" w:rsidR="006C47E4" w:rsidRPr="006C47E4" w:rsidRDefault="006C47E4" w:rsidP="006C47E4">
      <w:pPr>
        <w:pStyle w:val="NormalWeb"/>
        <w:ind w:left="480" w:hanging="480"/>
        <w:rPr>
          <w:rFonts w:ascii="Calibri" w:hAnsi="Calibri"/>
          <w:sz w:val="22"/>
          <w:szCs w:val="22"/>
        </w:rPr>
      </w:pPr>
      <w:proofErr w:type="spellStart"/>
      <w:r w:rsidRPr="006C47E4">
        <w:rPr>
          <w:rFonts w:ascii="Calibri" w:hAnsi="Calibri"/>
          <w:sz w:val="22"/>
          <w:szCs w:val="22"/>
        </w:rPr>
        <w:t>Quillen</w:t>
      </w:r>
      <w:proofErr w:type="spellEnd"/>
      <w:r w:rsidRPr="006C47E4">
        <w:rPr>
          <w:rFonts w:ascii="Calibri" w:hAnsi="Calibri"/>
          <w:sz w:val="22"/>
          <w:szCs w:val="22"/>
        </w:rPr>
        <w:t xml:space="preserve">, E. E., Norton, H. L., Parra, E. J., </w:t>
      </w:r>
      <w:proofErr w:type="spellStart"/>
      <w:r w:rsidRPr="006C47E4">
        <w:rPr>
          <w:rFonts w:ascii="Calibri" w:hAnsi="Calibri"/>
          <w:sz w:val="22"/>
          <w:szCs w:val="22"/>
        </w:rPr>
        <w:t>Lona-Durazo</w:t>
      </w:r>
      <w:proofErr w:type="spellEnd"/>
      <w:r w:rsidRPr="006C47E4">
        <w:rPr>
          <w:rFonts w:ascii="Calibri" w:hAnsi="Calibri"/>
          <w:sz w:val="22"/>
          <w:szCs w:val="22"/>
        </w:rPr>
        <w:t xml:space="preserve">, F., </w:t>
      </w:r>
      <w:proofErr w:type="spellStart"/>
      <w:r w:rsidRPr="006C47E4">
        <w:rPr>
          <w:rFonts w:ascii="Calibri" w:hAnsi="Calibri"/>
          <w:sz w:val="22"/>
          <w:szCs w:val="22"/>
        </w:rPr>
        <w:t>Ang</w:t>
      </w:r>
      <w:proofErr w:type="spellEnd"/>
      <w:r w:rsidRPr="006C47E4">
        <w:rPr>
          <w:rFonts w:ascii="Calibri" w:hAnsi="Calibri"/>
          <w:sz w:val="22"/>
          <w:szCs w:val="22"/>
        </w:rPr>
        <w:t xml:space="preserve">, K. C., </w:t>
      </w:r>
      <w:proofErr w:type="spellStart"/>
      <w:r w:rsidRPr="006C47E4">
        <w:rPr>
          <w:rFonts w:ascii="Calibri" w:hAnsi="Calibri"/>
          <w:sz w:val="22"/>
          <w:szCs w:val="22"/>
        </w:rPr>
        <w:t>Illiescu</w:t>
      </w:r>
      <w:proofErr w:type="spellEnd"/>
      <w:r w:rsidRPr="006C47E4">
        <w:rPr>
          <w:rFonts w:ascii="Calibri" w:hAnsi="Calibri"/>
          <w:sz w:val="22"/>
          <w:szCs w:val="22"/>
        </w:rPr>
        <w:t xml:space="preserve">, F. M., Pearson, L. N., Shriver, M. D., </w:t>
      </w:r>
      <w:proofErr w:type="spellStart"/>
      <w:r w:rsidRPr="006C47E4">
        <w:rPr>
          <w:rFonts w:ascii="Calibri" w:hAnsi="Calibri"/>
          <w:sz w:val="22"/>
          <w:szCs w:val="22"/>
        </w:rPr>
        <w:t>Lasisi</w:t>
      </w:r>
      <w:proofErr w:type="spellEnd"/>
      <w:r w:rsidRPr="006C47E4">
        <w:rPr>
          <w:rFonts w:ascii="Calibri" w:hAnsi="Calibri"/>
          <w:sz w:val="22"/>
          <w:szCs w:val="22"/>
        </w:rPr>
        <w:t xml:space="preserve">, T., </w:t>
      </w:r>
      <w:proofErr w:type="spellStart"/>
      <w:r w:rsidRPr="006C47E4">
        <w:rPr>
          <w:rFonts w:ascii="Calibri" w:hAnsi="Calibri"/>
          <w:sz w:val="22"/>
          <w:szCs w:val="22"/>
        </w:rPr>
        <w:t>Gokcumen</w:t>
      </w:r>
      <w:proofErr w:type="spellEnd"/>
      <w:r w:rsidRPr="006C47E4">
        <w:rPr>
          <w:rFonts w:ascii="Calibri" w:hAnsi="Calibri"/>
          <w:sz w:val="22"/>
          <w:szCs w:val="22"/>
        </w:rPr>
        <w:t xml:space="preserve">, O., Starr, I., Lin, Y. L., Martin, A. R., &amp; </w:t>
      </w:r>
      <w:proofErr w:type="spellStart"/>
      <w:r w:rsidRPr="006C47E4">
        <w:rPr>
          <w:rFonts w:ascii="Calibri" w:hAnsi="Calibri"/>
          <w:sz w:val="22"/>
          <w:szCs w:val="22"/>
        </w:rPr>
        <w:t>Jablonski</w:t>
      </w:r>
      <w:proofErr w:type="spellEnd"/>
      <w:r w:rsidRPr="006C47E4">
        <w:rPr>
          <w:rFonts w:ascii="Calibri" w:hAnsi="Calibri"/>
          <w:sz w:val="22"/>
          <w:szCs w:val="22"/>
        </w:rPr>
        <w:t xml:space="preserve">, N. G. (2019). Shades of complexity: New perspectives on the evolution and genetic architecture of human skin. </w:t>
      </w:r>
      <w:r w:rsidRPr="006C47E4">
        <w:rPr>
          <w:rFonts w:ascii="Calibri" w:hAnsi="Calibri"/>
          <w:i/>
          <w:iCs/>
          <w:sz w:val="22"/>
          <w:szCs w:val="22"/>
        </w:rPr>
        <w:t>American Journal of Physical Anthropology</w:t>
      </w:r>
      <w:r w:rsidRPr="006C47E4">
        <w:rPr>
          <w:rFonts w:ascii="Calibri" w:hAnsi="Calibri"/>
          <w:sz w:val="22"/>
          <w:szCs w:val="22"/>
        </w:rPr>
        <w:t xml:space="preserve">, </w:t>
      </w:r>
      <w:r w:rsidRPr="006C47E4">
        <w:rPr>
          <w:rFonts w:ascii="Calibri" w:hAnsi="Calibri"/>
          <w:i/>
          <w:iCs/>
          <w:sz w:val="22"/>
          <w:szCs w:val="22"/>
        </w:rPr>
        <w:t>168</w:t>
      </w:r>
      <w:r w:rsidRPr="006C47E4">
        <w:rPr>
          <w:rFonts w:ascii="Calibri" w:hAnsi="Calibri"/>
          <w:sz w:val="22"/>
          <w:szCs w:val="22"/>
        </w:rPr>
        <w:t>, 4–26. https://doi.org/10.1002/ajpa.23737</w:t>
      </w:r>
    </w:p>
    <w:p w14:paraId="27643F1B" w14:textId="77777777" w:rsidR="006C47E4" w:rsidRPr="006C47E4" w:rsidRDefault="006C47E4" w:rsidP="006C47E4">
      <w:pPr>
        <w:pStyle w:val="NormalWeb"/>
        <w:ind w:left="480" w:hanging="480"/>
        <w:rPr>
          <w:rFonts w:ascii="Calibri" w:hAnsi="Calibri"/>
          <w:sz w:val="22"/>
          <w:szCs w:val="22"/>
        </w:rPr>
      </w:pPr>
      <w:proofErr w:type="spellStart"/>
      <w:r w:rsidRPr="006C47E4">
        <w:rPr>
          <w:rFonts w:ascii="Calibri" w:hAnsi="Calibri"/>
          <w:sz w:val="22"/>
          <w:szCs w:val="22"/>
        </w:rPr>
        <w:t>Spuesens</w:t>
      </w:r>
      <w:proofErr w:type="spellEnd"/>
      <w:r w:rsidRPr="006C47E4">
        <w:rPr>
          <w:rFonts w:ascii="Calibri" w:hAnsi="Calibri"/>
          <w:sz w:val="22"/>
          <w:szCs w:val="22"/>
        </w:rPr>
        <w:t xml:space="preserve">, E. B. M., </w:t>
      </w:r>
      <w:proofErr w:type="spellStart"/>
      <w:r w:rsidRPr="006C47E4">
        <w:rPr>
          <w:rFonts w:ascii="Calibri" w:hAnsi="Calibri"/>
          <w:sz w:val="22"/>
          <w:szCs w:val="22"/>
        </w:rPr>
        <w:t>Brouwer</w:t>
      </w:r>
      <w:proofErr w:type="spellEnd"/>
      <w:r w:rsidRPr="006C47E4">
        <w:rPr>
          <w:rFonts w:ascii="Calibri" w:hAnsi="Calibri"/>
          <w:sz w:val="22"/>
          <w:szCs w:val="22"/>
        </w:rPr>
        <w:t xml:space="preserve">, R. W. W., </w:t>
      </w:r>
      <w:proofErr w:type="spellStart"/>
      <w:r w:rsidRPr="006C47E4">
        <w:rPr>
          <w:rFonts w:ascii="Calibri" w:hAnsi="Calibri"/>
          <w:sz w:val="22"/>
          <w:szCs w:val="22"/>
        </w:rPr>
        <w:t>Mol</w:t>
      </w:r>
      <w:proofErr w:type="spellEnd"/>
      <w:r w:rsidRPr="006C47E4">
        <w:rPr>
          <w:rFonts w:ascii="Calibri" w:hAnsi="Calibri"/>
          <w:sz w:val="22"/>
          <w:szCs w:val="22"/>
        </w:rPr>
        <w:t xml:space="preserve">, K. H. J. M., </w:t>
      </w:r>
      <w:proofErr w:type="spellStart"/>
      <w:r w:rsidRPr="006C47E4">
        <w:rPr>
          <w:rFonts w:ascii="Calibri" w:hAnsi="Calibri"/>
          <w:sz w:val="22"/>
          <w:szCs w:val="22"/>
        </w:rPr>
        <w:t>Hoogenboezem</w:t>
      </w:r>
      <w:proofErr w:type="spellEnd"/>
      <w:r w:rsidRPr="006C47E4">
        <w:rPr>
          <w:rFonts w:ascii="Calibri" w:hAnsi="Calibri"/>
          <w:sz w:val="22"/>
          <w:szCs w:val="22"/>
        </w:rPr>
        <w:t xml:space="preserve">, T., </w:t>
      </w:r>
      <w:proofErr w:type="spellStart"/>
      <w:r w:rsidRPr="006C47E4">
        <w:rPr>
          <w:rFonts w:ascii="Calibri" w:hAnsi="Calibri"/>
          <w:sz w:val="22"/>
          <w:szCs w:val="22"/>
        </w:rPr>
        <w:t>Kockx</w:t>
      </w:r>
      <w:proofErr w:type="spellEnd"/>
      <w:r w:rsidRPr="006C47E4">
        <w:rPr>
          <w:rFonts w:ascii="Calibri" w:hAnsi="Calibri"/>
          <w:sz w:val="22"/>
          <w:szCs w:val="22"/>
        </w:rPr>
        <w:t xml:space="preserve">, C. E. M., Jansen, R., Van </w:t>
      </w:r>
      <w:proofErr w:type="spellStart"/>
      <w:r w:rsidRPr="006C47E4">
        <w:rPr>
          <w:rFonts w:ascii="Calibri" w:hAnsi="Calibri"/>
          <w:sz w:val="22"/>
          <w:szCs w:val="22"/>
        </w:rPr>
        <w:t>IJcken</w:t>
      </w:r>
      <w:proofErr w:type="spellEnd"/>
      <w:r w:rsidRPr="006C47E4">
        <w:rPr>
          <w:rFonts w:ascii="Calibri" w:hAnsi="Calibri"/>
          <w:sz w:val="22"/>
          <w:szCs w:val="22"/>
        </w:rPr>
        <w:t xml:space="preserve">, W. F. J., Van </w:t>
      </w:r>
      <w:proofErr w:type="spellStart"/>
      <w:r w:rsidRPr="006C47E4">
        <w:rPr>
          <w:rFonts w:ascii="Calibri" w:hAnsi="Calibri"/>
          <w:sz w:val="22"/>
          <w:szCs w:val="22"/>
        </w:rPr>
        <w:t>Rossum</w:t>
      </w:r>
      <w:proofErr w:type="spellEnd"/>
      <w:r w:rsidRPr="006C47E4">
        <w:rPr>
          <w:rFonts w:ascii="Calibri" w:hAnsi="Calibri"/>
          <w:sz w:val="22"/>
          <w:szCs w:val="22"/>
        </w:rPr>
        <w:t xml:space="preserve">, A. M. C., &amp; </w:t>
      </w:r>
      <w:proofErr w:type="spellStart"/>
      <w:r w:rsidRPr="006C47E4">
        <w:rPr>
          <w:rFonts w:ascii="Calibri" w:hAnsi="Calibri"/>
          <w:sz w:val="22"/>
          <w:szCs w:val="22"/>
        </w:rPr>
        <w:t>Vink</w:t>
      </w:r>
      <w:proofErr w:type="spellEnd"/>
      <w:r w:rsidRPr="006C47E4">
        <w:rPr>
          <w:rFonts w:ascii="Calibri" w:hAnsi="Calibri"/>
          <w:sz w:val="22"/>
          <w:szCs w:val="22"/>
        </w:rPr>
        <w:t xml:space="preserve">, C. (2016). Comparison of mycoplasma </w:t>
      </w:r>
      <w:proofErr w:type="spellStart"/>
      <w:r w:rsidRPr="006C47E4">
        <w:rPr>
          <w:rFonts w:ascii="Calibri" w:hAnsi="Calibri"/>
          <w:sz w:val="22"/>
          <w:szCs w:val="22"/>
        </w:rPr>
        <w:t>pneumoniae</w:t>
      </w:r>
      <w:proofErr w:type="spellEnd"/>
      <w:r w:rsidRPr="006C47E4">
        <w:rPr>
          <w:rFonts w:ascii="Calibri" w:hAnsi="Calibri"/>
          <w:sz w:val="22"/>
          <w:szCs w:val="22"/>
        </w:rPr>
        <w:t xml:space="preserve"> genome sequences from strains isolated from symptomatic and asymptomatic patients. </w:t>
      </w:r>
      <w:r w:rsidRPr="006C47E4">
        <w:rPr>
          <w:rFonts w:ascii="Calibri" w:hAnsi="Calibri"/>
          <w:i/>
          <w:iCs/>
          <w:sz w:val="22"/>
          <w:szCs w:val="22"/>
        </w:rPr>
        <w:t>Frontiers in Microbiology</w:t>
      </w:r>
      <w:r w:rsidRPr="006C47E4">
        <w:rPr>
          <w:rFonts w:ascii="Calibri" w:hAnsi="Calibri"/>
          <w:sz w:val="22"/>
          <w:szCs w:val="22"/>
        </w:rPr>
        <w:t xml:space="preserve">, </w:t>
      </w:r>
      <w:r w:rsidRPr="006C47E4">
        <w:rPr>
          <w:rFonts w:ascii="Calibri" w:hAnsi="Calibri"/>
          <w:i/>
          <w:iCs/>
          <w:sz w:val="22"/>
          <w:szCs w:val="22"/>
        </w:rPr>
        <w:t>7</w:t>
      </w:r>
      <w:r w:rsidRPr="006C47E4">
        <w:rPr>
          <w:rFonts w:ascii="Calibri" w:hAnsi="Calibri"/>
          <w:sz w:val="22"/>
          <w:szCs w:val="22"/>
        </w:rPr>
        <w:t>(OCT), 1701. https://doi.org/10.3389/fmicb.2016.01701</w:t>
      </w:r>
    </w:p>
    <w:p w14:paraId="4BD5B82A" w14:textId="77777777" w:rsidR="006C47E4" w:rsidRPr="006C47E4" w:rsidRDefault="006C47E4" w:rsidP="006C47E4">
      <w:pPr>
        <w:pStyle w:val="NormalWeb"/>
        <w:ind w:left="480" w:hanging="480"/>
        <w:rPr>
          <w:rFonts w:ascii="Calibri" w:hAnsi="Calibri"/>
          <w:sz w:val="22"/>
          <w:szCs w:val="22"/>
        </w:rPr>
      </w:pPr>
      <w:proofErr w:type="spellStart"/>
      <w:r w:rsidRPr="006C47E4">
        <w:rPr>
          <w:rFonts w:ascii="Calibri" w:hAnsi="Calibri"/>
          <w:sz w:val="22"/>
          <w:szCs w:val="22"/>
        </w:rPr>
        <w:t>Tamasauskas</w:t>
      </w:r>
      <w:proofErr w:type="spellEnd"/>
      <w:r w:rsidRPr="006C47E4">
        <w:rPr>
          <w:rFonts w:ascii="Calibri" w:hAnsi="Calibri"/>
          <w:sz w:val="22"/>
          <w:szCs w:val="22"/>
        </w:rPr>
        <w:t xml:space="preserve">, D., </w:t>
      </w:r>
      <w:proofErr w:type="spellStart"/>
      <w:r w:rsidRPr="006C47E4">
        <w:rPr>
          <w:rFonts w:ascii="Calibri" w:hAnsi="Calibri"/>
          <w:sz w:val="22"/>
          <w:szCs w:val="22"/>
        </w:rPr>
        <w:t>Sakalauskas</w:t>
      </w:r>
      <w:proofErr w:type="spellEnd"/>
      <w:r w:rsidRPr="006C47E4">
        <w:rPr>
          <w:rFonts w:ascii="Calibri" w:hAnsi="Calibri"/>
          <w:sz w:val="22"/>
          <w:szCs w:val="22"/>
        </w:rPr>
        <w:t xml:space="preserve">, V., &amp; </w:t>
      </w:r>
      <w:proofErr w:type="spellStart"/>
      <w:r w:rsidRPr="006C47E4">
        <w:rPr>
          <w:rFonts w:ascii="Calibri" w:hAnsi="Calibri"/>
          <w:sz w:val="22"/>
          <w:szCs w:val="22"/>
        </w:rPr>
        <w:t>Kriksciuniene</w:t>
      </w:r>
      <w:proofErr w:type="spellEnd"/>
      <w:r w:rsidRPr="006C47E4">
        <w:rPr>
          <w:rFonts w:ascii="Calibri" w:hAnsi="Calibri"/>
          <w:sz w:val="22"/>
          <w:szCs w:val="22"/>
        </w:rPr>
        <w:t xml:space="preserve">, D. (2012). Evaluation framework of hierarchical clustering methods for binary data. </w:t>
      </w:r>
      <w:r w:rsidRPr="006C47E4">
        <w:rPr>
          <w:rFonts w:ascii="Calibri" w:hAnsi="Calibri"/>
          <w:i/>
          <w:iCs/>
          <w:sz w:val="22"/>
          <w:szCs w:val="22"/>
        </w:rPr>
        <w:t>Proceedings of the 2012 12th International Conference on Hybrid Intelligent Systems, HIS 2012</w:t>
      </w:r>
      <w:r w:rsidRPr="006C47E4">
        <w:rPr>
          <w:rFonts w:ascii="Calibri" w:hAnsi="Calibri"/>
          <w:sz w:val="22"/>
          <w:szCs w:val="22"/>
        </w:rPr>
        <w:t>, 421–426. https://doi.org/10.1109/HIS.2012.6421371</w:t>
      </w:r>
    </w:p>
    <w:p w14:paraId="6106F66D" w14:textId="77777777" w:rsidR="006C47E4" w:rsidRPr="00A13266" w:rsidRDefault="006C47E4" w:rsidP="006C47E4">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lastRenderedPageBreak/>
        <w:t>SUMMARY OF WORK</w:t>
      </w:r>
    </w:p>
    <w:p w14:paraId="6328A543" w14:textId="77777777" w:rsidR="006C47E4" w:rsidRPr="00A13266" w:rsidRDefault="006C47E4" w:rsidP="006C47E4">
      <w:pPr>
        <w:rPr>
          <w:rFonts w:ascii="Calibri" w:hAnsi="Calibri"/>
          <w:b/>
          <w:sz w:val="22"/>
          <w:szCs w:val="22"/>
        </w:rPr>
      </w:pPr>
    </w:p>
    <w:p w14:paraId="2958EA3C" w14:textId="77777777" w:rsidR="006C47E4" w:rsidRPr="00A13266" w:rsidRDefault="006C47E4" w:rsidP="006C47E4">
      <w:pPr>
        <w:rPr>
          <w:rFonts w:ascii="Calibri" w:hAnsi="Calibri"/>
          <w:sz w:val="22"/>
          <w:szCs w:val="22"/>
        </w:rPr>
      </w:pPr>
      <w:r w:rsidRPr="00A13266">
        <w:rPr>
          <w:rFonts w:ascii="Calibri" w:hAnsi="Calibri"/>
          <w:sz w:val="22"/>
          <w:szCs w:val="22"/>
        </w:rPr>
        <w:t>Task 1: Background and objective</w:t>
      </w:r>
    </w:p>
    <w:p w14:paraId="531ED30B" w14:textId="77777777" w:rsidR="006C47E4" w:rsidRPr="00A13266" w:rsidRDefault="006C47E4" w:rsidP="006C47E4">
      <w:pPr>
        <w:rPr>
          <w:rFonts w:ascii="Calibri" w:hAnsi="Calibri"/>
          <w:sz w:val="22"/>
          <w:szCs w:val="22"/>
        </w:rPr>
      </w:pPr>
    </w:p>
    <w:p w14:paraId="60931F44" w14:textId="77777777" w:rsidR="006C47E4" w:rsidRPr="00A13266" w:rsidRDefault="006C47E4" w:rsidP="006C47E4">
      <w:pPr>
        <w:rPr>
          <w:rFonts w:ascii="Calibri" w:hAnsi="Calibri"/>
          <w:sz w:val="22"/>
          <w:szCs w:val="22"/>
        </w:rPr>
      </w:pPr>
      <w:r w:rsidRPr="00A13266">
        <w:rPr>
          <w:rFonts w:ascii="Calibri" w:hAnsi="Calibri"/>
          <w:sz w:val="22"/>
          <w:szCs w:val="22"/>
        </w:rPr>
        <w:t>Task 2: Detail and description of data</w:t>
      </w:r>
    </w:p>
    <w:p w14:paraId="07235E7B" w14:textId="77777777" w:rsidR="006C47E4" w:rsidRPr="00A13266" w:rsidRDefault="006C47E4" w:rsidP="006C47E4">
      <w:pPr>
        <w:rPr>
          <w:rFonts w:ascii="Calibri" w:hAnsi="Calibri"/>
          <w:sz w:val="22"/>
          <w:szCs w:val="22"/>
        </w:rPr>
      </w:pPr>
    </w:p>
    <w:p w14:paraId="72EC41F0" w14:textId="77777777" w:rsidR="006C47E4" w:rsidRPr="00A13266" w:rsidRDefault="006C47E4" w:rsidP="006C47E4">
      <w:pPr>
        <w:rPr>
          <w:rFonts w:ascii="Calibri" w:hAnsi="Calibri"/>
          <w:sz w:val="22"/>
          <w:szCs w:val="22"/>
        </w:rPr>
      </w:pPr>
      <w:r w:rsidRPr="00A13266">
        <w:rPr>
          <w:rFonts w:ascii="Calibri" w:hAnsi="Calibri"/>
          <w:sz w:val="22"/>
          <w:szCs w:val="22"/>
        </w:rPr>
        <w:t>Task 3: Detail of data analysis methods</w:t>
      </w:r>
    </w:p>
    <w:p w14:paraId="6CAA894C" w14:textId="77777777" w:rsidR="006C47E4" w:rsidRPr="00A13266" w:rsidRDefault="006C47E4" w:rsidP="006C47E4">
      <w:pPr>
        <w:rPr>
          <w:rFonts w:ascii="Calibri" w:hAnsi="Calibri"/>
          <w:sz w:val="22"/>
          <w:szCs w:val="22"/>
        </w:rPr>
      </w:pPr>
    </w:p>
    <w:p w14:paraId="65622537" w14:textId="77777777" w:rsidR="006C47E4" w:rsidRPr="00A13266" w:rsidRDefault="006C47E4" w:rsidP="006C47E4">
      <w:pPr>
        <w:rPr>
          <w:rFonts w:ascii="Calibri" w:hAnsi="Calibri"/>
          <w:sz w:val="22"/>
          <w:szCs w:val="22"/>
        </w:rPr>
      </w:pPr>
      <w:r w:rsidRPr="00A13266">
        <w:rPr>
          <w:rFonts w:ascii="Calibri" w:hAnsi="Calibri"/>
          <w:sz w:val="22"/>
          <w:szCs w:val="22"/>
        </w:rPr>
        <w:t>Task 4: Summary of results</w:t>
      </w:r>
    </w:p>
    <w:p w14:paraId="013A8B85" w14:textId="77777777" w:rsidR="006C47E4" w:rsidRPr="00A13266" w:rsidRDefault="006C47E4" w:rsidP="006C47E4">
      <w:pPr>
        <w:rPr>
          <w:rFonts w:ascii="Calibri" w:hAnsi="Calibri"/>
          <w:sz w:val="22"/>
          <w:szCs w:val="22"/>
        </w:rPr>
      </w:pPr>
    </w:p>
    <w:p w14:paraId="3E072D4E" w14:textId="77777777" w:rsidR="006C47E4" w:rsidRPr="00A13266" w:rsidRDefault="006C47E4" w:rsidP="006C47E4">
      <w:pPr>
        <w:rPr>
          <w:rFonts w:ascii="Calibri" w:hAnsi="Calibri"/>
          <w:sz w:val="22"/>
          <w:szCs w:val="22"/>
        </w:rPr>
      </w:pPr>
      <w:r w:rsidRPr="00A13266">
        <w:rPr>
          <w:rFonts w:ascii="Calibri" w:hAnsi="Calibri"/>
          <w:sz w:val="22"/>
          <w:szCs w:val="22"/>
        </w:rPr>
        <w:t>Task 5: Conclusions and discussions</w:t>
      </w:r>
    </w:p>
    <w:p w14:paraId="3461E7D3" w14:textId="77777777" w:rsidR="006C47E4" w:rsidRPr="00A13266" w:rsidRDefault="006C47E4" w:rsidP="006C47E4">
      <w:pPr>
        <w:rPr>
          <w:rFonts w:ascii="Calibri" w:hAnsi="Calibri"/>
          <w:sz w:val="22"/>
          <w:szCs w:val="22"/>
        </w:rPr>
      </w:pPr>
    </w:p>
    <w:p w14:paraId="2B074A78" w14:textId="77777777" w:rsidR="006C47E4" w:rsidRPr="00A13266" w:rsidRDefault="006C47E4" w:rsidP="006C47E4">
      <w:pPr>
        <w:rPr>
          <w:rFonts w:ascii="Calibri" w:hAnsi="Calibri"/>
          <w:sz w:val="22"/>
          <w:szCs w:val="22"/>
        </w:rPr>
      </w:pPr>
      <w:r w:rsidRPr="00A13266">
        <w:rPr>
          <w:rFonts w:ascii="Calibri" w:hAnsi="Calibri"/>
          <w:sz w:val="22"/>
          <w:szCs w:val="22"/>
        </w:rPr>
        <w:t>Task 6: Appendix</w:t>
      </w:r>
    </w:p>
    <w:p w14:paraId="51C095A4" w14:textId="77777777" w:rsidR="006C47E4" w:rsidRPr="00A13266" w:rsidRDefault="006C47E4" w:rsidP="006C47E4">
      <w:pPr>
        <w:rPr>
          <w:rFonts w:ascii="Calibri" w:hAnsi="Calibri"/>
          <w:sz w:val="22"/>
          <w:szCs w:val="22"/>
        </w:rPr>
      </w:pPr>
    </w:p>
    <w:p w14:paraId="64398952" w14:textId="77777777" w:rsidR="006C47E4" w:rsidRPr="00A13266" w:rsidRDefault="006C47E4" w:rsidP="006C47E4">
      <w:pPr>
        <w:rPr>
          <w:rFonts w:ascii="Calibri" w:hAnsi="Calibri"/>
          <w:sz w:val="22"/>
          <w:szCs w:val="22"/>
        </w:rPr>
      </w:pPr>
      <w:r w:rsidRPr="00A13266">
        <w:rPr>
          <w:rFonts w:ascii="Calibri" w:hAnsi="Calibri"/>
          <w:sz w:val="22"/>
          <w:szCs w:val="22"/>
        </w:rPr>
        <w:t>Task 7: Report compilation</w:t>
      </w:r>
    </w:p>
    <w:p w14:paraId="0E55F957" w14:textId="77777777" w:rsidR="006C47E4" w:rsidRPr="00A13266" w:rsidRDefault="006C47E4" w:rsidP="006C47E4">
      <w:pPr>
        <w:rPr>
          <w:rFonts w:ascii="Calibri" w:hAnsi="Calibri"/>
          <w:sz w:val="22"/>
          <w:szCs w:val="22"/>
        </w:rPr>
      </w:pPr>
    </w:p>
    <w:p w14:paraId="134B3D53" w14:textId="77777777" w:rsidR="006C47E4" w:rsidRPr="00A13266" w:rsidRDefault="006C47E4" w:rsidP="006C47E4">
      <w:pPr>
        <w:rPr>
          <w:rFonts w:ascii="Calibri" w:hAnsi="Calibri"/>
          <w:sz w:val="22"/>
          <w:szCs w:val="22"/>
        </w:rPr>
      </w:pPr>
    </w:p>
    <w:tbl>
      <w:tblPr>
        <w:tblStyle w:val="TableGrid"/>
        <w:tblW w:w="0" w:type="auto"/>
        <w:tblLook w:val="04A0" w:firstRow="1" w:lastRow="0" w:firstColumn="1" w:lastColumn="0" w:noHBand="0" w:noVBand="1"/>
      </w:tblPr>
      <w:tblGrid>
        <w:gridCol w:w="1384"/>
        <w:gridCol w:w="2730"/>
        <w:gridCol w:w="2731"/>
        <w:gridCol w:w="2731"/>
      </w:tblGrid>
      <w:tr w:rsidR="006C47E4" w:rsidRPr="00A13266" w14:paraId="3DF1F26A" w14:textId="77777777" w:rsidTr="00464523">
        <w:tc>
          <w:tcPr>
            <w:tcW w:w="1384" w:type="dxa"/>
          </w:tcPr>
          <w:p w14:paraId="487C4DE7"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63C56BF6"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27CB9C6D"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493CD631"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Kerry</w:t>
            </w:r>
          </w:p>
        </w:tc>
      </w:tr>
      <w:tr w:rsidR="006C47E4" w:rsidRPr="00A13266" w14:paraId="5E92EB5F" w14:textId="77777777" w:rsidTr="00464523">
        <w:tc>
          <w:tcPr>
            <w:tcW w:w="1384" w:type="dxa"/>
          </w:tcPr>
          <w:p w14:paraId="05ED937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063F1699"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3D52A14E"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2603103E"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(80%)</w:t>
            </w:r>
          </w:p>
        </w:tc>
      </w:tr>
      <w:tr w:rsidR="006C47E4" w:rsidRPr="00A13266" w14:paraId="1B231E55" w14:textId="77777777" w:rsidTr="00464523">
        <w:tc>
          <w:tcPr>
            <w:tcW w:w="1384" w:type="dxa"/>
          </w:tcPr>
          <w:p w14:paraId="455C74FA"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07007005"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36D61116"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Editing(10%)</w:t>
            </w:r>
          </w:p>
        </w:tc>
        <w:tc>
          <w:tcPr>
            <w:tcW w:w="2731" w:type="dxa"/>
          </w:tcPr>
          <w:p w14:paraId="4D5A455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Editing(10%)</w:t>
            </w:r>
          </w:p>
        </w:tc>
      </w:tr>
      <w:tr w:rsidR="006C47E4" w:rsidRPr="00A13266" w14:paraId="5704133E" w14:textId="77777777" w:rsidTr="00464523">
        <w:tc>
          <w:tcPr>
            <w:tcW w:w="1384" w:type="dxa"/>
          </w:tcPr>
          <w:p w14:paraId="2D4F62CB"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598DDD43"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26E332D"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48AE0509"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6C47E4" w:rsidRPr="00A13266" w14:paraId="66D11E1A" w14:textId="77777777" w:rsidTr="00464523">
        <w:tc>
          <w:tcPr>
            <w:tcW w:w="1384" w:type="dxa"/>
          </w:tcPr>
          <w:p w14:paraId="52631DB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3F7800C6"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9C2791A"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4ACDE1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6C47E4" w:rsidRPr="00A13266" w14:paraId="7703563A" w14:textId="77777777" w:rsidTr="00464523">
        <w:tc>
          <w:tcPr>
            <w:tcW w:w="1384" w:type="dxa"/>
          </w:tcPr>
          <w:p w14:paraId="7F7CAE0C"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6D2E040F"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195E9D7A"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5DCC05B2"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6C47E4" w:rsidRPr="00A13266" w14:paraId="6EE69239" w14:textId="77777777" w:rsidTr="00464523">
        <w:tc>
          <w:tcPr>
            <w:tcW w:w="1384" w:type="dxa"/>
          </w:tcPr>
          <w:p w14:paraId="560FE3BC"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3AA07618"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14:paraId="38DF458B"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14:paraId="687BC2A1"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6C47E4" w:rsidRPr="00A13266" w14:paraId="05E9EEA6" w14:textId="77777777" w:rsidTr="00464523">
        <w:tc>
          <w:tcPr>
            <w:tcW w:w="1384" w:type="dxa"/>
          </w:tcPr>
          <w:p w14:paraId="1E847897"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5B12F146"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Editing (33%)</w:t>
            </w:r>
          </w:p>
        </w:tc>
        <w:tc>
          <w:tcPr>
            <w:tcW w:w="2731" w:type="dxa"/>
          </w:tcPr>
          <w:p w14:paraId="00BF0205"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Compilation (33%)</w:t>
            </w:r>
          </w:p>
        </w:tc>
        <w:tc>
          <w:tcPr>
            <w:tcW w:w="2731" w:type="dxa"/>
          </w:tcPr>
          <w:p w14:paraId="3ABD2966"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Compilation( 33%)</w:t>
            </w:r>
          </w:p>
        </w:tc>
      </w:tr>
    </w:tbl>
    <w:p w14:paraId="7A7504E8" w14:textId="77777777" w:rsidR="006C47E4" w:rsidRPr="00A13266" w:rsidRDefault="006C47E4" w:rsidP="006C47E4">
      <w:pPr>
        <w:rPr>
          <w:rFonts w:ascii="Calibri" w:hAnsi="Calibri"/>
          <w:sz w:val="22"/>
          <w:szCs w:val="22"/>
        </w:rPr>
      </w:pPr>
    </w:p>
    <w:p w14:paraId="764A37BB" w14:textId="77777777" w:rsidR="006C47E4" w:rsidRDefault="006C47E4" w:rsidP="006C47E4"/>
    <w:p w14:paraId="18490017" w14:textId="77777777" w:rsidR="006C47E4" w:rsidRDefault="006C47E4" w:rsidP="006C47E4"/>
    <w:p w14:paraId="43952F46" w14:textId="77777777" w:rsidR="006C47E4" w:rsidRPr="00CD3E17" w:rsidRDefault="006C47E4" w:rsidP="006C47E4"/>
    <w:p w14:paraId="660726F0" w14:textId="77777777" w:rsidR="009A586C" w:rsidRPr="006C47E4" w:rsidRDefault="00FF6743" w:rsidP="006C47E4"/>
    <w:sectPr w:rsidR="009A586C" w:rsidRPr="006C47E4" w:rsidSect="00CD3E17">
      <w:headerReference w:type="first" r:id="rId15"/>
      <w:pgSz w:w="12240" w:h="15840"/>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5963B" w14:textId="77777777" w:rsidR="00000000" w:rsidRDefault="00FF6743">
      <w:r>
        <w:separator/>
      </w:r>
    </w:p>
  </w:endnote>
  <w:endnote w:type="continuationSeparator" w:id="0">
    <w:p w14:paraId="49397C10" w14:textId="77777777" w:rsidR="00000000" w:rsidRDefault="00FF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A70A6" w14:textId="77777777" w:rsidR="00000000" w:rsidRDefault="00FF6743">
      <w:r>
        <w:separator/>
      </w:r>
    </w:p>
  </w:footnote>
  <w:footnote w:type="continuationSeparator" w:id="0">
    <w:p w14:paraId="37459030" w14:textId="77777777" w:rsidR="00000000" w:rsidRDefault="00FF67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F9F59" w14:textId="77777777" w:rsidR="005C5028" w:rsidRDefault="006C47E4" w:rsidP="00786955">
    <w:pPr>
      <w:rPr>
        <w:rFonts w:ascii="Calibri" w:hAnsi="Calibri"/>
        <w:b/>
        <w:sz w:val="22"/>
        <w:szCs w:val="22"/>
      </w:rPr>
    </w:pPr>
    <w:r>
      <w:rPr>
        <w:rFonts w:ascii="Calibri" w:hAnsi="Calibri"/>
        <w:b/>
        <w:sz w:val="22"/>
        <w:szCs w:val="22"/>
      </w:rPr>
      <w:t>BINF6970: Project 4</w:t>
    </w:r>
  </w:p>
  <w:p w14:paraId="1120D26E" w14:textId="77777777" w:rsidR="005C5028" w:rsidRDefault="006C47E4" w:rsidP="00786955">
    <w:pPr>
      <w:rPr>
        <w:rFonts w:ascii="Calibri" w:hAnsi="Calibri"/>
        <w:b/>
        <w:sz w:val="22"/>
        <w:szCs w:val="22"/>
      </w:rPr>
    </w:pPr>
    <w:r>
      <w:rPr>
        <w:rFonts w:ascii="Calibri" w:hAnsi="Calibri"/>
        <w:b/>
        <w:sz w:val="22"/>
        <w:szCs w:val="22"/>
      </w:rPr>
      <w:t xml:space="preserve">Kerry </w:t>
    </w:r>
    <w:proofErr w:type="spellStart"/>
    <w:r>
      <w:rPr>
        <w:rFonts w:ascii="Calibri" w:hAnsi="Calibri"/>
        <w:b/>
        <w:sz w:val="22"/>
        <w:szCs w:val="22"/>
      </w:rPr>
      <w:t>Woolnough</w:t>
    </w:r>
    <w:proofErr w:type="spellEnd"/>
    <w:r>
      <w:rPr>
        <w:rFonts w:ascii="Calibri" w:hAnsi="Calibri"/>
        <w:b/>
        <w:sz w:val="22"/>
        <w:szCs w:val="22"/>
      </w:rPr>
      <w:t xml:space="preserve">, Heather </w:t>
    </w:r>
    <w:proofErr w:type="spellStart"/>
    <w:r>
      <w:rPr>
        <w:rFonts w:ascii="Calibri" w:hAnsi="Calibri"/>
        <w:b/>
        <w:sz w:val="22"/>
        <w:szCs w:val="22"/>
      </w:rPr>
      <w:t>Treleaven</w:t>
    </w:r>
    <w:proofErr w:type="spellEnd"/>
    <w:r>
      <w:rPr>
        <w:rFonts w:ascii="Calibri" w:hAnsi="Calibri"/>
        <w:b/>
        <w:sz w:val="22"/>
        <w:szCs w:val="22"/>
      </w:rPr>
      <w:t>, Natalie Kim</w:t>
    </w:r>
  </w:p>
  <w:p w14:paraId="3335892C" w14:textId="77777777" w:rsidR="005C5028" w:rsidRPr="00786955" w:rsidRDefault="006C47E4" w:rsidP="00786955">
    <w:pPr>
      <w:rPr>
        <w:rFonts w:ascii="Calibri" w:hAnsi="Calibri"/>
        <w:b/>
        <w:sz w:val="22"/>
        <w:szCs w:val="22"/>
      </w:rPr>
    </w:pPr>
    <w:r>
      <w:rPr>
        <w:rFonts w:ascii="Calibri" w:hAnsi="Calibri"/>
        <w:b/>
        <w:sz w:val="22"/>
        <w:szCs w:val="22"/>
      </w:rPr>
      <w:t>Due: Apr. 14, 2021 @ 11:59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B36"/>
    <w:rsid w:val="00271AC2"/>
    <w:rsid w:val="0029568B"/>
    <w:rsid w:val="00301CC0"/>
    <w:rsid w:val="004D475B"/>
    <w:rsid w:val="006A0350"/>
    <w:rsid w:val="006B344D"/>
    <w:rsid w:val="006C47E4"/>
    <w:rsid w:val="00894FC6"/>
    <w:rsid w:val="009341DC"/>
    <w:rsid w:val="009654E4"/>
    <w:rsid w:val="00A700DC"/>
    <w:rsid w:val="00BB5B36"/>
    <w:rsid w:val="00C86BBA"/>
    <w:rsid w:val="00FF67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01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B3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5B36"/>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86BB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C47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7E4"/>
    <w:rPr>
      <w:rFonts w:ascii="Lucida Grande" w:eastAsiaTheme="minorEastAsia" w:hAnsi="Lucida Grande" w:cs="Lucida Grande"/>
      <w:sz w:val="18"/>
      <w:szCs w:val="18"/>
    </w:rPr>
  </w:style>
  <w:style w:type="paragraph" w:styleId="NormalWeb">
    <w:name w:val="Normal (Web)"/>
    <w:basedOn w:val="Normal"/>
    <w:uiPriority w:val="99"/>
    <w:semiHidden/>
    <w:unhideWhenUsed/>
    <w:rsid w:val="006C47E4"/>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B3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5B36"/>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86BB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C47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7E4"/>
    <w:rPr>
      <w:rFonts w:ascii="Lucida Grande" w:eastAsiaTheme="minorEastAsia" w:hAnsi="Lucida Grande" w:cs="Lucida Grande"/>
      <w:sz w:val="18"/>
      <w:szCs w:val="18"/>
    </w:rPr>
  </w:style>
  <w:style w:type="paragraph" w:styleId="NormalWeb">
    <w:name w:val="Normal (Web)"/>
    <w:basedOn w:val="Normal"/>
    <w:uiPriority w:val="99"/>
    <w:semiHidden/>
    <w:unhideWhenUsed/>
    <w:rsid w:val="006C47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2709</Words>
  <Characters>15445</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woolnough</dc:creator>
  <cp:keywords/>
  <dc:description/>
  <cp:lastModifiedBy>Natalie Kim</cp:lastModifiedBy>
  <cp:revision>4</cp:revision>
  <dcterms:created xsi:type="dcterms:W3CDTF">2021-04-14T19:29:00Z</dcterms:created>
  <dcterms:modified xsi:type="dcterms:W3CDTF">2021-04-15T01:06:00Z</dcterms:modified>
</cp:coreProperties>
</file>