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3312" w14:textId="77777777" w:rsidR="00786955" w:rsidRDefault="00786955" w:rsidP="00786955">
      <w:pPr>
        <w:pBdr>
          <w:bottom w:val="single" w:sz="4" w:space="1" w:color="auto"/>
        </w:pBdr>
        <w:jc w:val="center"/>
        <w:rPr>
          <w:rFonts w:ascii="Calibri" w:hAnsi="Calibri"/>
          <w:b/>
          <w:sz w:val="22"/>
          <w:szCs w:val="22"/>
        </w:rPr>
      </w:pPr>
    </w:p>
    <w:p w14:paraId="1BD6F915" w14:textId="77777777"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14:paraId="211E4F4E" w14:textId="77777777" w:rsidR="00786955" w:rsidRDefault="00786955" w:rsidP="00786955">
      <w:pPr>
        <w:rPr>
          <w:rFonts w:ascii="Calibri" w:hAnsi="Calibri" w:cs="Calibri"/>
          <w:sz w:val="22"/>
          <w:szCs w:val="22"/>
        </w:rPr>
      </w:pPr>
    </w:p>
    <w:p w14:paraId="22D5316A" w14:textId="0C6C7BDC"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w:t>
      </w:r>
      <w:r w:rsidR="00525ADE">
        <w:rPr>
          <w:rFonts w:ascii="Calibri" w:hAnsi="Calibri" w:cs="Calibri"/>
          <w:sz w:val="22"/>
          <w:szCs w:val="22"/>
        </w:rPr>
        <w:t>G</w:t>
      </w:r>
      <w:r w:rsidRPr="00BB5B36">
        <w:rPr>
          <w:rFonts w:ascii="Calibri" w:hAnsi="Calibri" w:cs="Calibri"/>
          <w:sz w:val="22"/>
          <w:szCs w:val="22"/>
        </w:rPr>
        <w:t>enome</w:t>
      </w:r>
      <w:r w:rsidR="00525ADE">
        <w:rPr>
          <w:rFonts w:ascii="Calibri" w:hAnsi="Calibri" w:cs="Calibri"/>
          <w:sz w:val="22"/>
          <w:szCs w:val="22"/>
        </w:rPr>
        <w:t>s</w:t>
      </w:r>
      <w:r w:rsidRPr="00BB5B36">
        <w:rPr>
          <w:rFonts w:ascii="Calibri" w:hAnsi="Calibri" w:cs="Calibri"/>
          <w:sz w:val="22"/>
          <w:szCs w:val="22"/>
        </w:rPr>
        <w:t xml:space="preserve"> </w:t>
      </w:r>
      <w:r w:rsidR="00525ADE">
        <w:rPr>
          <w:rFonts w:ascii="Calibri" w:hAnsi="Calibri" w:cs="Calibri"/>
          <w:sz w:val="22"/>
          <w:szCs w:val="22"/>
        </w:rPr>
        <w:t>P</w:t>
      </w:r>
      <w:r w:rsidRPr="00BB5B36">
        <w:rPr>
          <w:rFonts w:ascii="Calibri" w:hAnsi="Calibri" w:cs="Calibri"/>
          <w:sz w:val="22"/>
          <w:szCs w:val="22"/>
        </w:rPr>
        <w:t xml:space="preserve">roject </w:t>
      </w:r>
      <w:r w:rsidR="00525ADE">
        <w:rPr>
          <w:rFonts w:ascii="Calibri" w:hAnsi="Calibri" w:cs="Calibri"/>
          <w:sz w:val="22"/>
          <w:szCs w:val="22"/>
        </w:rPr>
        <w:t>(</w:t>
      </w:r>
      <w:proofErr w:type="spellStart"/>
      <w:r w:rsidR="00525ADE">
        <w:rPr>
          <w:rFonts w:ascii="Calibri" w:hAnsi="Calibri" w:cs="Calibri"/>
          <w:sz w:val="22"/>
          <w:szCs w:val="22"/>
        </w:rPr>
        <w:t>Auton</w:t>
      </w:r>
      <w:proofErr w:type="spellEnd"/>
      <w:r w:rsidR="00525ADE">
        <w:rPr>
          <w:rFonts w:ascii="Calibri" w:hAnsi="Calibri" w:cs="Calibri"/>
          <w:sz w:val="22"/>
          <w:szCs w:val="22"/>
        </w:rPr>
        <w:t xml:space="preserve"> et al., 2015) </w:t>
      </w:r>
      <w:r w:rsidRPr="00BB5B36">
        <w:rPr>
          <w:rFonts w:ascii="Calibri" w:hAnsi="Calibri" w:cs="Calibri"/>
          <w:sz w:val="22"/>
          <w:szCs w:val="22"/>
        </w:rPr>
        <w:t>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67D56D52" w14:textId="77777777" w:rsidR="00786955" w:rsidRDefault="00786955" w:rsidP="00786955">
      <w:pPr>
        <w:pBdr>
          <w:bottom w:val="single" w:sz="4" w:space="1" w:color="auto"/>
        </w:pBdr>
        <w:jc w:val="center"/>
        <w:rPr>
          <w:rFonts w:ascii="Calibri" w:hAnsi="Calibri"/>
          <w:b/>
          <w:sz w:val="22"/>
          <w:szCs w:val="22"/>
        </w:rPr>
      </w:pPr>
    </w:p>
    <w:p w14:paraId="01CFDD60"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1E6C65A6" w14:textId="77777777" w:rsidR="00786955" w:rsidRPr="00A13266" w:rsidRDefault="00786955" w:rsidP="00786955">
      <w:pPr>
        <w:jc w:val="center"/>
        <w:rPr>
          <w:rFonts w:ascii="Calibri" w:hAnsi="Calibri"/>
          <w:b/>
          <w:sz w:val="22"/>
          <w:szCs w:val="22"/>
        </w:rPr>
      </w:pPr>
    </w:p>
    <w:p w14:paraId="3F844682" w14:textId="77777777"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6667A441" wp14:editId="31154454">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091B25B" w14:textId="77777777"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007431B1" w14:textId="77777777" w:rsidR="00786955" w:rsidRDefault="00786955" w:rsidP="00786955">
      <w:pPr>
        <w:ind w:firstLine="720"/>
        <w:rPr>
          <w:rFonts w:ascii="Calibri" w:hAnsi="Calibri"/>
          <w:sz w:val="22"/>
          <w:szCs w:val="22"/>
        </w:rPr>
      </w:pPr>
    </w:p>
    <w:p w14:paraId="04A3049C" w14:textId="77777777" w:rsidR="00786955" w:rsidRDefault="00786955" w:rsidP="00786955">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7CF475B7" w14:textId="77777777" w:rsidR="00786955" w:rsidRDefault="00786955" w:rsidP="00786955">
      <w:pPr>
        <w:rPr>
          <w:rFonts w:ascii="Calibri" w:hAnsi="Calibri"/>
          <w:sz w:val="22"/>
          <w:szCs w:val="22"/>
        </w:rPr>
      </w:pPr>
    </w:p>
    <w:p w14:paraId="4954D6CA"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56C0CDC9" w14:textId="77777777" w:rsidR="00786955" w:rsidRDefault="00786955" w:rsidP="00786955">
      <w:pPr>
        <w:rPr>
          <w:rFonts w:ascii="Calibri" w:hAnsi="Calibri"/>
          <w:sz w:val="22"/>
          <w:szCs w:val="22"/>
        </w:rPr>
      </w:pPr>
    </w:p>
    <w:p w14:paraId="3DA38005" w14:textId="77777777" w:rsidR="00786955" w:rsidRDefault="00786955" w:rsidP="00786955">
      <w:pPr>
        <w:rPr>
          <w:rFonts w:ascii="Calibri" w:hAnsi="Calibri"/>
          <w:b/>
          <w:sz w:val="22"/>
          <w:szCs w:val="22"/>
        </w:rPr>
      </w:pPr>
      <w:r>
        <w:rPr>
          <w:rFonts w:ascii="Calibri" w:hAnsi="Calibri"/>
          <w:b/>
          <w:sz w:val="22"/>
          <w:szCs w:val="22"/>
        </w:rPr>
        <w:t>Logistic Regression</w:t>
      </w:r>
    </w:p>
    <w:p w14:paraId="44731E27" w14:textId="77777777"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F588BF2" w14:textId="77777777" w:rsidR="00786955" w:rsidRDefault="00786955" w:rsidP="00786955">
      <w:pPr>
        <w:rPr>
          <w:rFonts w:ascii="Calibri" w:hAnsi="Calibri"/>
          <w:b/>
          <w:sz w:val="22"/>
          <w:szCs w:val="22"/>
        </w:rPr>
      </w:pPr>
    </w:p>
    <w:p w14:paraId="52FD8B38" w14:textId="77777777"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14:paraId="63D2C80C" w14:textId="77777777" w:rsidR="00786955" w:rsidRPr="00786955" w:rsidRDefault="00786955" w:rsidP="00786955">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performed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285152FF" w14:textId="77777777" w:rsidR="00786955" w:rsidRDefault="00786955" w:rsidP="00786955">
      <w:pPr>
        <w:rPr>
          <w:rFonts w:ascii="Calibri" w:hAnsi="Calibri"/>
          <w:sz w:val="22"/>
          <w:szCs w:val="22"/>
        </w:rPr>
      </w:pPr>
    </w:p>
    <w:p w14:paraId="52E9C3EC" w14:textId="77777777" w:rsidR="00786955" w:rsidRPr="00786955" w:rsidRDefault="00786955" w:rsidP="00786955">
      <w:pPr>
        <w:rPr>
          <w:rFonts w:ascii="Calibri" w:hAnsi="Calibri"/>
          <w:b/>
          <w:sz w:val="22"/>
          <w:szCs w:val="22"/>
        </w:rPr>
      </w:pPr>
      <w:r w:rsidRPr="00786955">
        <w:rPr>
          <w:rFonts w:ascii="Calibri" w:hAnsi="Calibri"/>
          <w:b/>
          <w:sz w:val="22"/>
          <w:szCs w:val="22"/>
        </w:rPr>
        <w:t>Decision Trees</w:t>
      </w:r>
    </w:p>
    <w:p w14:paraId="6D0E12EB" w14:textId="77777777"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4FF8A793" w14:textId="77777777" w:rsidR="00786955" w:rsidRDefault="00786955" w:rsidP="00786955">
      <w:pPr>
        <w:rPr>
          <w:rFonts w:ascii="Calibri" w:hAnsi="Calibri"/>
          <w:sz w:val="22"/>
          <w:szCs w:val="22"/>
        </w:rPr>
      </w:pPr>
    </w:p>
    <w:p w14:paraId="114182F4" w14:textId="77777777"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14:paraId="1949883C" w14:textId="77777777" w:rsidR="00786955" w:rsidRPr="00A13266" w:rsidRDefault="00786955" w:rsidP="00786955">
      <w:pPr>
        <w:rPr>
          <w:rFonts w:ascii="Calibri" w:hAnsi="Calibri"/>
          <w:sz w:val="22"/>
          <w:szCs w:val="22"/>
        </w:rPr>
      </w:pPr>
    </w:p>
    <w:p w14:paraId="34FC251D" w14:textId="77777777" w:rsidR="00786955" w:rsidRDefault="00786955" w:rsidP="00786955">
      <w:pPr>
        <w:rPr>
          <w:rFonts w:ascii="Calibri" w:hAnsi="Calibri"/>
          <w:b/>
          <w:sz w:val="22"/>
          <w:szCs w:val="22"/>
        </w:rPr>
      </w:pPr>
      <w:r>
        <w:rPr>
          <w:rFonts w:ascii="Calibri" w:hAnsi="Calibri"/>
          <w:b/>
          <w:sz w:val="22"/>
          <w:szCs w:val="22"/>
        </w:rPr>
        <w:t>Logistic Regression</w:t>
      </w:r>
    </w:p>
    <w:p w14:paraId="48288FAB" w14:textId="77777777"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w:t>
      </w:r>
      <w:r w:rsidRPr="00A13266">
        <w:rPr>
          <w:rFonts w:ascii="Calibri" w:hAnsi="Calibri"/>
          <w:sz w:val="22"/>
          <w:szCs w:val="22"/>
        </w:rPr>
        <w:lastRenderedPageBreak/>
        <w:t>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2A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571C6D8F" w14:textId="77777777" w:rsidR="00786955" w:rsidRPr="004D475B" w:rsidRDefault="00786955" w:rsidP="00786955">
      <w:pPr>
        <w:rPr>
          <w:rFonts w:ascii="Calibri" w:eastAsia="Batang" w:hAnsi="Calibri" w:cs="Batang"/>
          <w:sz w:val="22"/>
          <w:szCs w:val="22"/>
          <w:lang w:val="en-US" w:eastAsia="ko-KR"/>
        </w:rPr>
      </w:pPr>
    </w:p>
    <w:p w14:paraId="78A3EA00" w14:textId="77777777"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43550726" w14:textId="77777777"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17EB27E1" wp14:editId="3365A2A7">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D1DB82F" wp14:editId="582FC2E8">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3B552456" wp14:editId="4C5FB9DA">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0000E1A" w14:textId="77777777"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0D29D85C" w14:textId="77777777" w:rsidR="00786955" w:rsidRPr="00786955" w:rsidRDefault="00786955" w:rsidP="00786955">
      <w:pPr>
        <w:rPr>
          <w:rFonts w:ascii="Calibri" w:hAnsi="Calibri"/>
          <w:sz w:val="22"/>
          <w:szCs w:val="22"/>
        </w:rPr>
      </w:pPr>
    </w:p>
    <w:p w14:paraId="195DFDE4" w14:textId="77777777" w:rsidR="00786955" w:rsidRDefault="00786955" w:rsidP="00786955">
      <w:pPr>
        <w:rPr>
          <w:rFonts w:ascii="Calibri" w:hAnsi="Calibri"/>
          <w:b/>
          <w:sz w:val="22"/>
          <w:szCs w:val="22"/>
        </w:rPr>
      </w:pPr>
      <w:r w:rsidRPr="00786955">
        <w:rPr>
          <w:rFonts w:ascii="Calibri" w:hAnsi="Calibri"/>
          <w:b/>
          <w:sz w:val="22"/>
          <w:szCs w:val="22"/>
        </w:rPr>
        <w:t>PCA &amp; Unsupervised Clustering</w:t>
      </w:r>
    </w:p>
    <w:p w14:paraId="45E1DDB5" w14:textId="77777777" w:rsidR="00786955" w:rsidRDefault="00786955" w:rsidP="00786955">
      <w:pPr>
        <w:rPr>
          <w:rFonts w:ascii="Calibri" w:hAnsi="Calibri"/>
          <w:b/>
          <w:sz w:val="22"/>
          <w:szCs w:val="22"/>
        </w:rPr>
      </w:pPr>
    </w:p>
    <w:p w14:paraId="05034658" w14:textId="77777777"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14:paraId="69AE4C6C" w14:textId="77777777"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0F69CC65" wp14:editId="68D2FD41">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014A9A28" wp14:editId="2608A775">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EB6BCC0" w14:textId="77777777"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biplot of Samples coloured by Population. </w:t>
      </w:r>
      <w:r w:rsidRPr="00786955">
        <w:rPr>
          <w:rFonts w:ascii="Calibri" w:hAnsi="Calibri"/>
          <w:b/>
          <w:sz w:val="22"/>
          <w:szCs w:val="22"/>
        </w:rPr>
        <w:t>B</w:t>
      </w:r>
      <w:r>
        <w:rPr>
          <w:rFonts w:ascii="Calibri" w:hAnsi="Calibri"/>
          <w:sz w:val="22"/>
          <w:szCs w:val="22"/>
        </w:rPr>
        <w:t>) Dendrograms of samples coloured by population for agglomerative hierarchical clustering performed on the top 3 principal components.</w:t>
      </w:r>
    </w:p>
    <w:p w14:paraId="2373F2B6" w14:textId="77777777" w:rsidR="00786955" w:rsidRPr="00786955" w:rsidRDefault="00786955" w:rsidP="00786955">
      <w:pPr>
        <w:rPr>
          <w:rFonts w:ascii="Calibri" w:hAnsi="Calibri"/>
          <w:sz w:val="22"/>
          <w:szCs w:val="22"/>
        </w:rPr>
      </w:pPr>
    </w:p>
    <w:p w14:paraId="3232E53E" w14:textId="55B043B7" w:rsidR="00786955" w:rsidRDefault="00786955" w:rsidP="00786955">
      <w:pPr>
        <w:rPr>
          <w:rFonts w:ascii="Calibri" w:hAnsi="Calibri" w:cs="Calibri"/>
          <w:sz w:val="22"/>
          <w:szCs w:val="22"/>
        </w:rPr>
      </w:pPr>
      <w:r>
        <w:rPr>
          <w:rFonts w:ascii="Calibri" w:hAnsi="Calibri"/>
          <w:b/>
          <w:sz w:val="22"/>
          <w:szCs w:val="22"/>
        </w:rPr>
        <w:lastRenderedPageBreak/>
        <w:tab/>
      </w:r>
      <w:r w:rsidRPr="009654E4">
        <w:rPr>
          <w:rFonts w:ascii="Calibri" w:hAnsi="Calibri" w:cs="Calibri"/>
          <w:bCs/>
          <w:sz w:val="22"/>
          <w:szCs w:val="22"/>
        </w:rPr>
        <w:t xml:space="preserve">When agglomerative clustering was </w:t>
      </w:r>
      <w:r w:rsidRPr="009654E4">
        <w:rPr>
          <w:rFonts w:ascii="Calibri" w:hAnsi="Calibri" w:cs="Calibri"/>
          <w:sz w:val="22"/>
          <w:szCs w:val="22"/>
        </w:rPr>
        <w:t>performed on the original counts, the resulting dendrogram had to be split into a greater number of branches in order to obtain clusters predominantly composed of a given population</w:t>
      </w:r>
      <w:r w:rsidR="00BA06AC">
        <w:rPr>
          <w:rFonts w:ascii="Calibri" w:hAnsi="Calibri" w:cs="Calibri"/>
          <w:sz w:val="22"/>
          <w:szCs w:val="22"/>
        </w:rPr>
        <w:t xml:space="preserve">. </w:t>
      </w:r>
      <w:r w:rsidRPr="009654E4">
        <w:rPr>
          <w:rFonts w:ascii="Calibri" w:hAnsi="Calibri" w:cs="Calibri"/>
          <w:sz w:val="22"/>
          <w:szCs w:val="22"/>
        </w:rPr>
        <w:t>When agglomerative clustering was performed on the principal components, the dendrogram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w:t>
      </w:r>
      <w:r w:rsidR="00BA06AC">
        <w:rPr>
          <w:rFonts w:ascii="Calibri" w:hAnsi="Calibri" w:cs="Calibri"/>
          <w:sz w:val="22"/>
          <w:szCs w:val="22"/>
        </w:rPr>
        <w:t>s</w:t>
      </w:r>
      <w:r w:rsidRPr="009654E4">
        <w:rPr>
          <w:rFonts w:ascii="Calibri" w:hAnsi="Calibri" w:cs="Calibri"/>
          <w:sz w:val="22"/>
          <w:szCs w:val="22"/>
        </w:rPr>
        <w:t>. These findings</w:t>
      </w:r>
      <w:r w:rsidR="00BA06AC">
        <w:rPr>
          <w:rFonts w:ascii="Calibri" w:hAnsi="Calibri" w:cs="Calibri"/>
          <w:sz w:val="22"/>
          <w:szCs w:val="22"/>
        </w:rPr>
        <w:t xml:space="preserve"> were</w:t>
      </w:r>
      <w:r w:rsidRPr="009654E4">
        <w:rPr>
          <w:rFonts w:ascii="Calibri" w:hAnsi="Calibri" w:cs="Calibri"/>
          <w:sz w:val="22"/>
          <w:szCs w:val="22"/>
        </w:rPr>
        <w:t xml:space="preserve"> corroborated by the optimal number of clusters predicted by the gap statistic and elbow methods, and also by what was observed in the dendrogram for top 3 PCs. </w:t>
      </w:r>
      <w:r w:rsidR="00BA06AC">
        <w:rPr>
          <w:rFonts w:ascii="Calibri" w:hAnsi="Calibri"/>
          <w:sz w:val="22"/>
          <w:szCs w:val="22"/>
        </w:rPr>
        <w:t xml:space="preserve">The k=2 clusters were also found to be highly stable; when the analysis was repeated on 5 sets of perturbed observations, for all sets </w:t>
      </w:r>
      <w:r w:rsidR="00BA06AC">
        <w:rPr>
          <w:rFonts w:ascii="Calibri" w:hAnsi="Calibri"/>
        </w:rPr>
        <w:t>sensitivity was between 0.984 and 0.986, specificity was between 0.991 and 0.995, and the number of misclassifications for each class was similar (7-8 for EAS and 2-4 for EUR).</w:t>
      </w:r>
    </w:p>
    <w:p w14:paraId="65914D0B" w14:textId="77777777" w:rsidR="00786955" w:rsidRDefault="00786955" w:rsidP="00786955">
      <w:pPr>
        <w:rPr>
          <w:rFonts w:ascii="Calibri" w:hAnsi="Calibri" w:cs="Calibri"/>
          <w:sz w:val="22"/>
          <w:szCs w:val="22"/>
        </w:rPr>
      </w:pPr>
    </w:p>
    <w:p w14:paraId="124590D1" w14:textId="77777777"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14:paraId="11D15208" w14:textId="474CA4EC" w:rsidR="00786955" w:rsidRPr="00786955" w:rsidRDefault="00E35B80" w:rsidP="00786955">
      <w:pPr>
        <w:rPr>
          <w:rFonts w:ascii="Calibri" w:hAnsi="Calibri" w:cs="Calibri"/>
          <w:noProof/>
          <w:sz w:val="22"/>
          <w:szCs w:val="22"/>
        </w:rPr>
      </w:pPr>
      <w:r>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232A9E99" wp14:editId="5BE630B1">
                <wp:simplePos x="0" y="0"/>
                <wp:positionH relativeFrom="column">
                  <wp:posOffset>-75477</wp:posOffset>
                </wp:positionH>
                <wp:positionV relativeFrom="paragraph">
                  <wp:posOffset>1520978</wp:posOffset>
                </wp:positionV>
                <wp:extent cx="3762704" cy="28377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62704" cy="283779"/>
                        </a:xfrm>
                        <a:prstGeom prst="rect">
                          <a:avLst/>
                        </a:prstGeom>
                        <a:noFill/>
                        <a:ln w="6350">
                          <a:noFill/>
                        </a:ln>
                      </wps:spPr>
                      <wps:txbx>
                        <w:txbxContent>
                          <w:p w14:paraId="3B15E1AB" w14:textId="4C9008E6" w:rsidR="00E35B80" w:rsidRPr="00E35B80" w:rsidRDefault="00E35B80">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2A9E99" id="_x0000_t202" coordsize="21600,21600" o:spt="202" path="m,l,21600r21600,l21600,xe">
                <v:stroke joinstyle="miter"/>
                <v:path gradientshapeok="t" o:connecttype="rect"/>
              </v:shapetype>
              <v:shape id="Text Box 3" o:spid="_x0000_s1026" type="#_x0000_t202" style="position:absolute;margin-left:-5.95pt;margin-top:119.75pt;width:296.3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" filled="f" stroked="f" strokeweight=".5pt">
                <v:textbox>
                  <w:txbxContent>
                    <w:p w14:paraId="3B15E1AB" w14:textId="4C9008E6" w:rsidR="00E35B80" w:rsidRPr="00E35B80" w:rsidRDefault="00E35B80">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txbxContent>
                </v:textbox>
              </v:shape>
            </w:pict>
          </mc:Fallback>
        </mc:AlternateContent>
      </w:r>
      <w:r w:rsidR="00786955" w:rsidRPr="00786955">
        <w:rPr>
          <w:rFonts w:ascii="Calibri" w:hAnsi="Calibri" w:cs="Calibri"/>
          <w:b/>
          <w:noProof/>
          <w:sz w:val="22"/>
          <w:szCs w:val="22"/>
        </w:rPr>
        <w:tab/>
      </w:r>
      <w:r w:rsidR="00786955" w:rsidRPr="00786955">
        <w:rPr>
          <w:rFonts w:ascii="Calibri" w:hAnsi="Calibri" w:cs="Calibri"/>
          <w:noProof/>
          <w:sz w:val="22"/>
          <w:szCs w:val="22"/>
        </w:rPr>
        <w:t>Bagging generated 300 trees, examples</w:t>
      </w:r>
      <w:r w:rsidR="00786955">
        <w:rPr>
          <w:rFonts w:ascii="Calibri" w:hAnsi="Calibri" w:cs="Calibri"/>
          <w:noProof/>
          <w:sz w:val="22"/>
          <w:szCs w:val="22"/>
        </w:rPr>
        <w:t xml:space="preserve"> of which are visualized in Fig</w:t>
      </w:r>
      <w:r w:rsidR="007F53E1">
        <w:rPr>
          <w:rFonts w:ascii="Calibri" w:hAnsi="Calibri" w:cs="Calibri"/>
          <w:noProof/>
          <w:sz w:val="22"/>
          <w:szCs w:val="22"/>
        </w:rPr>
        <w:t>.</w:t>
      </w:r>
      <w:r w:rsidR="00786955">
        <w:rPr>
          <w:rFonts w:ascii="Calibri" w:hAnsi="Calibri" w:cs="Calibri"/>
          <w:noProof/>
          <w:sz w:val="22"/>
          <w:szCs w:val="22"/>
        </w:rPr>
        <w:t xml:space="preserve"> 4</w:t>
      </w:r>
      <w:r w:rsidR="007F53E1">
        <w:rPr>
          <w:rFonts w:ascii="Calibri" w:hAnsi="Calibri" w:cs="Calibri"/>
          <w:noProof/>
          <w:sz w:val="22"/>
          <w:szCs w:val="22"/>
        </w:rPr>
        <w:t>A</w:t>
      </w:r>
      <w:r w:rsidR="00786955"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sidR="007F53E1">
        <w:rPr>
          <w:rFonts w:ascii="Calibri" w:hAnsi="Calibri" w:cs="Calibri"/>
          <w:noProof/>
          <w:sz w:val="22"/>
          <w:szCs w:val="22"/>
        </w:rPr>
        <w:t>Fig.</w:t>
      </w:r>
      <w:r w:rsidR="00786955" w:rsidRPr="00786955">
        <w:rPr>
          <w:rFonts w:ascii="Calibri" w:hAnsi="Calibri" w:cs="Calibri"/>
          <w:noProof/>
          <w:sz w:val="22"/>
          <w:szCs w:val="22"/>
        </w:rPr>
        <w:t xml:space="preserve"> </w:t>
      </w:r>
      <w:r w:rsidR="007F53E1">
        <w:rPr>
          <w:rFonts w:ascii="Calibri" w:hAnsi="Calibri" w:cs="Calibri"/>
          <w:noProof/>
          <w:sz w:val="22"/>
          <w:szCs w:val="22"/>
        </w:rPr>
        <w:t>4B</w:t>
      </w:r>
      <w:r w:rsidR="00786955"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2644C7E9" w14:textId="03D96D8E" w:rsidR="00786955" w:rsidRDefault="00786955" w:rsidP="00786955">
      <w:pPr>
        <w:rPr>
          <w:rFonts w:ascii="Calibri" w:hAnsi="Calibri" w:cs="Calibri"/>
          <w:noProof/>
          <w:sz w:val="22"/>
          <w:szCs w:val="22"/>
        </w:rPr>
      </w:pPr>
    </w:p>
    <w:p w14:paraId="37B608AA" w14:textId="68C33959" w:rsidR="00786955" w:rsidRDefault="007F53E1" w:rsidP="00786955">
      <w:pPr>
        <w:rPr>
          <w:rFonts w:ascii="Calibri" w:hAnsi="Calibri"/>
          <w:b/>
          <w:sz w:val="22"/>
          <w:szCs w:val="22"/>
        </w:rPr>
      </w:pPr>
      <w:r>
        <w:rPr>
          <w:noProof/>
          <w:lang w:val="en-US"/>
        </w:rPr>
        <w:drawing>
          <wp:inline distT="0" distB="0" distL="0" distR="0" wp14:anchorId="247BF907" wp14:editId="249B3EAA">
            <wp:extent cx="2974428" cy="19177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3"/>
                    <a:srcRect l="3984" t="3391"/>
                    <a:stretch/>
                  </pic:blipFill>
                  <pic:spPr bwMode="auto">
                    <a:xfrm>
                      <a:off x="0" y="0"/>
                      <a:ext cx="3019222" cy="1946635"/>
                    </a:xfrm>
                    <a:prstGeom prst="rect">
                      <a:avLst/>
                    </a:prstGeom>
                    <a:ln>
                      <a:noFill/>
                    </a:ln>
                    <a:extLst>
                      <a:ext uri="{53640926-AAD7-44D8-BBD7-CCE9431645EC}">
                        <a14:shadowObscured xmlns:a14="http://schemas.microsoft.com/office/drawing/2010/main"/>
                      </a:ext>
                    </a:extLst>
                  </pic:spPr>
                </pic:pic>
              </a:graphicData>
            </a:graphic>
          </wp:inline>
        </w:drawing>
      </w:r>
      <w:r w:rsidR="00786955">
        <w:rPr>
          <w:noProof/>
          <w:lang w:val="en-US"/>
        </w:rPr>
        <w:drawing>
          <wp:inline distT="0" distB="0" distL="0" distR="0" wp14:anchorId="338FA51E" wp14:editId="3392989D">
            <wp:extent cx="3058511" cy="1911372"/>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018" cy="1926687"/>
                    </a:xfrm>
                    <a:prstGeom prst="rect">
                      <a:avLst/>
                    </a:prstGeom>
                  </pic:spPr>
                </pic:pic>
              </a:graphicData>
            </a:graphic>
          </wp:inline>
        </w:drawing>
      </w:r>
    </w:p>
    <w:p w14:paraId="5D77457C" w14:textId="77777777"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43B19D2F" w14:textId="77777777" w:rsidR="00786955" w:rsidRDefault="00786955" w:rsidP="00786955">
      <w:pPr>
        <w:rPr>
          <w:rFonts w:ascii="Calibri" w:hAnsi="Calibri"/>
          <w:b/>
          <w:sz w:val="22"/>
          <w:szCs w:val="22"/>
        </w:rPr>
      </w:pPr>
    </w:p>
    <w:p w14:paraId="0FE7E693"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14:paraId="4E85485A" w14:textId="77777777" w:rsidR="00786955" w:rsidRDefault="00786955" w:rsidP="00786955">
      <w:pPr>
        <w:rPr>
          <w:rFonts w:ascii="Calibri" w:hAnsi="Calibri"/>
          <w:b/>
          <w:sz w:val="22"/>
          <w:szCs w:val="22"/>
        </w:rPr>
      </w:pPr>
    </w:p>
    <w:p w14:paraId="24943070" w14:textId="7CAA37AC" w:rsidR="00525ADE" w:rsidRDefault="00525ADE" w:rsidP="00786955">
      <w:pPr>
        <w:ind w:firstLine="720"/>
        <w:rPr>
          <w:rFonts w:ascii="Calibri" w:hAnsi="Calibri"/>
          <w:sz w:val="22"/>
          <w:szCs w:val="22"/>
        </w:rPr>
      </w:pPr>
      <w:r>
        <w:rPr>
          <w:rFonts w:ascii="Calibri" w:hAnsi="Calibri"/>
          <w:sz w:val="22"/>
          <w:szCs w:val="22"/>
        </w:rPr>
        <w:t>The genotype data available from the 1000 genome project for ALDH2, CREB1, OCA2, and SLC45A2 was used to cluster and classify subjects by East Asian and European populations by way of PCA, logistic regression, agglomerative clustering, k-means clustering, and decision trees.</w:t>
      </w:r>
    </w:p>
    <w:p w14:paraId="243AFD4D" w14:textId="4EA16511" w:rsidR="00786955" w:rsidRPr="00A13266" w:rsidRDefault="00786955" w:rsidP="00525ADE">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w:t>
      </w:r>
      <w:r w:rsidRPr="00A13266">
        <w:rPr>
          <w:rFonts w:ascii="Calibri" w:hAnsi="Calibri"/>
          <w:sz w:val="22"/>
          <w:szCs w:val="22"/>
        </w:rPr>
        <w:lastRenderedPageBreak/>
        <w:t xml:space="preserve">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2A5C0B42" w14:textId="454DD754" w:rsidR="00AA6D41" w:rsidRDefault="00786955" w:rsidP="00AA6D41">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564A9817" w14:textId="5E556969" w:rsidR="00147192" w:rsidRDefault="00147192" w:rsidP="00AA6D41">
      <w:pPr>
        <w:rPr>
          <w:rFonts w:ascii="Calibri" w:hAnsi="Calibri"/>
          <w:sz w:val="22"/>
          <w:szCs w:val="22"/>
        </w:rPr>
      </w:pPr>
      <w:r>
        <w:rPr>
          <w:rFonts w:ascii="Calibri" w:hAnsi="Calibri"/>
          <w:sz w:val="22"/>
          <w:szCs w:val="22"/>
        </w:rPr>
        <w:tab/>
      </w:r>
      <w:r>
        <w:rPr>
          <w:rFonts w:ascii="Calibri" w:hAnsi="Calibri"/>
          <w:sz w:val="22"/>
          <w:szCs w:val="22"/>
        </w:rPr>
        <w:t>Although the results of unsupervised learning methods such as clustering and blind signal separation (</w:t>
      </w:r>
      <w:proofErr w:type="gramStart"/>
      <w:r>
        <w:rPr>
          <w:rFonts w:ascii="Calibri" w:hAnsi="Calibri"/>
          <w:sz w:val="22"/>
          <w:szCs w:val="22"/>
        </w:rPr>
        <w:t>e.g.</w:t>
      </w:r>
      <w:proofErr w:type="gramEnd"/>
      <w:r>
        <w:rPr>
          <w:rFonts w:ascii="Calibri" w:hAnsi="Calibri"/>
          <w:sz w:val="22"/>
          <w:szCs w:val="22"/>
        </w:rPr>
        <w:t xml:space="preserve"> PCA) can be more subjective then their supervised counterparts, they are </w:t>
      </w:r>
      <w:r>
        <w:rPr>
          <w:rFonts w:ascii="Calibri" w:hAnsi="Calibri"/>
          <w:sz w:val="22"/>
          <w:szCs w:val="22"/>
        </w:rPr>
        <w:t>particularly</w:t>
      </w:r>
      <w:r>
        <w:rPr>
          <w:rFonts w:ascii="Calibri" w:hAnsi="Calibri"/>
          <w:sz w:val="22"/>
          <w:szCs w:val="22"/>
        </w:rPr>
        <w:t xml:space="preserve"> (though non-exclusively) valuable for identifying underlying patterns in the data the data. Here, using the first three principal components, agglomerative and k-means clustering enabled us to visualize subgroups within the observations and the relative relatedness between them. Samples appeared to form 2 clusters (by population) which further proved to be stable when observations were </w:t>
      </w:r>
      <w:r>
        <w:rPr>
          <w:rFonts w:ascii="Calibri" w:hAnsi="Calibri"/>
          <w:sz w:val="22"/>
          <w:szCs w:val="22"/>
        </w:rPr>
        <w:t>perturbed</w:t>
      </w:r>
      <w:r>
        <w:rPr>
          <w:rFonts w:ascii="Calibri" w:hAnsi="Calibri"/>
          <w:sz w:val="22"/>
          <w:szCs w:val="22"/>
        </w:rPr>
        <w:t>.</w:t>
      </w:r>
    </w:p>
    <w:p w14:paraId="1E008BAD" w14:textId="63F7A954" w:rsidR="00AA6D41" w:rsidRPr="00AA6D41" w:rsidRDefault="00AA6D41" w:rsidP="00107623">
      <w:pPr>
        <w:ind w:firstLine="720"/>
        <w:rPr>
          <w:rFonts w:ascii="Calibri" w:hAnsi="Calibri" w:cs="Calibri"/>
          <w:sz w:val="22"/>
          <w:szCs w:val="22"/>
        </w:rPr>
      </w:pPr>
      <w:r w:rsidRPr="00AA6D41">
        <w:rPr>
          <w:rFonts w:ascii="Calibri" w:hAnsi="Calibri" w:cs="Calibri"/>
          <w:sz w:val="22"/>
          <w:szCs w:val="22"/>
        </w:rPr>
        <w:t xml:space="preserve">Decision trees with bagging are a very simple and effective way to perform classification as they use a simple yes/no format to classify new data into given groups. This is a very intuitive way to classify, especially genotype data. Genotypes are one of three possibilities: homozygous dominant, heterozygous, or homozygous recessive. This provides the decision tree with very clear boundaries for branches and makes identification of influential SNPs more straight forward. Unfortunately, with very large datasets, which is common with genotypes, bagging is very computationally expensive. This being said, bagging provided good results and in theory would be a great application for population clustering based on SNPs. Overall, decision trees and bagging are a great tool, but logistic regression and other clustering techniques are able to identify similar patterns within the data, with far less computational effort.  </w:t>
      </w:r>
    </w:p>
    <w:p w14:paraId="51B171CE" w14:textId="77777777" w:rsidR="00786955" w:rsidRDefault="00786955" w:rsidP="00786955">
      <w:pPr>
        <w:keepNext/>
      </w:pPr>
    </w:p>
    <w:p w14:paraId="1F67D4F6"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14:paraId="6D61B522" w14:textId="77777777" w:rsidR="00786955" w:rsidRDefault="00786955" w:rsidP="00786955">
      <w:pPr>
        <w:jc w:val="center"/>
        <w:rPr>
          <w:rFonts w:ascii="Calibri" w:hAnsi="Calibri"/>
          <w:b/>
          <w:sz w:val="22"/>
          <w:szCs w:val="22"/>
        </w:rPr>
      </w:pPr>
    </w:p>
    <w:p w14:paraId="60CE58AE" w14:textId="78E21245" w:rsidR="00525ADE" w:rsidRPr="00525ADE" w:rsidRDefault="00525ADE" w:rsidP="00140154">
      <w:pPr>
        <w:pStyle w:val="NormalWeb"/>
        <w:ind w:left="480" w:hanging="480"/>
        <w:rPr>
          <w:rFonts w:asciiTheme="majorHAnsi" w:hAnsiTheme="majorHAnsi"/>
          <w:sz w:val="22"/>
          <w:szCs w:val="22"/>
        </w:rPr>
      </w:pPr>
      <w:proofErr w:type="spellStart"/>
      <w:r w:rsidRPr="00525ADE">
        <w:rPr>
          <w:rFonts w:asciiTheme="majorHAnsi" w:hAnsiTheme="majorHAnsi"/>
          <w:sz w:val="22"/>
          <w:szCs w:val="22"/>
        </w:rPr>
        <w:t>Auton</w:t>
      </w:r>
      <w:proofErr w:type="spellEnd"/>
      <w:r w:rsidRPr="00525ADE">
        <w:rPr>
          <w:rFonts w:asciiTheme="majorHAnsi" w:hAnsiTheme="majorHAnsi"/>
          <w:sz w:val="22"/>
          <w:szCs w:val="22"/>
        </w:rPr>
        <w:t xml:space="preserve">, A., </w:t>
      </w:r>
      <w:proofErr w:type="spellStart"/>
      <w:r w:rsidRPr="00525ADE">
        <w:rPr>
          <w:rFonts w:asciiTheme="majorHAnsi" w:hAnsiTheme="majorHAnsi"/>
          <w:sz w:val="22"/>
          <w:szCs w:val="22"/>
        </w:rPr>
        <w:t>Abecasis</w:t>
      </w:r>
      <w:proofErr w:type="spellEnd"/>
      <w:r w:rsidRPr="00525ADE">
        <w:rPr>
          <w:rFonts w:asciiTheme="majorHAnsi" w:hAnsiTheme="majorHAnsi"/>
          <w:sz w:val="22"/>
          <w:szCs w:val="22"/>
        </w:rPr>
        <w:t xml:space="preserve">, G. R., </w:t>
      </w:r>
      <w:proofErr w:type="spellStart"/>
      <w:r w:rsidRPr="00525ADE">
        <w:rPr>
          <w:rFonts w:asciiTheme="majorHAnsi" w:hAnsiTheme="majorHAnsi"/>
          <w:sz w:val="22"/>
          <w:szCs w:val="22"/>
        </w:rPr>
        <w:t>Altshuler</w:t>
      </w:r>
      <w:proofErr w:type="spellEnd"/>
      <w:r w:rsidRPr="00525ADE">
        <w:rPr>
          <w:rFonts w:asciiTheme="majorHAnsi" w:hAnsiTheme="majorHAnsi"/>
          <w:sz w:val="22"/>
          <w:szCs w:val="22"/>
        </w:rPr>
        <w:t xml:space="preserve">, D. M., Durbin, R. M., Bentley, D. R., </w:t>
      </w:r>
      <w:proofErr w:type="spellStart"/>
      <w:r w:rsidRPr="00525ADE">
        <w:rPr>
          <w:rFonts w:asciiTheme="majorHAnsi" w:hAnsiTheme="majorHAnsi"/>
          <w:sz w:val="22"/>
          <w:szCs w:val="22"/>
        </w:rPr>
        <w:t>Chakravarti</w:t>
      </w:r>
      <w:proofErr w:type="spellEnd"/>
      <w:r w:rsidRPr="00525ADE">
        <w:rPr>
          <w:rFonts w:asciiTheme="majorHAnsi" w:hAnsiTheme="majorHAnsi"/>
          <w:sz w:val="22"/>
          <w:szCs w:val="22"/>
        </w:rPr>
        <w:t xml:space="preserve">, A., Clark, A. G., Donnelly, P., Eichler, E. E., </w:t>
      </w:r>
      <w:proofErr w:type="spellStart"/>
      <w:r w:rsidRPr="00525ADE">
        <w:rPr>
          <w:rFonts w:asciiTheme="majorHAnsi" w:hAnsiTheme="majorHAnsi"/>
          <w:sz w:val="22"/>
          <w:szCs w:val="22"/>
        </w:rPr>
        <w:t>Flicek</w:t>
      </w:r>
      <w:proofErr w:type="spellEnd"/>
      <w:r w:rsidRPr="00525ADE">
        <w:rPr>
          <w:rFonts w:asciiTheme="majorHAnsi" w:hAnsiTheme="majorHAnsi"/>
          <w:sz w:val="22"/>
          <w:szCs w:val="22"/>
        </w:rPr>
        <w:t xml:space="preserve">, P., Gabriel, S. B., Gibbs, R. A., Green, E. D., </w:t>
      </w:r>
      <w:proofErr w:type="spellStart"/>
      <w:r w:rsidRPr="00525ADE">
        <w:rPr>
          <w:rFonts w:asciiTheme="majorHAnsi" w:hAnsiTheme="majorHAnsi"/>
          <w:sz w:val="22"/>
          <w:szCs w:val="22"/>
        </w:rPr>
        <w:t>Hurles</w:t>
      </w:r>
      <w:proofErr w:type="spellEnd"/>
      <w:r w:rsidRPr="00525ADE">
        <w:rPr>
          <w:rFonts w:asciiTheme="majorHAnsi" w:hAnsiTheme="majorHAnsi"/>
          <w:sz w:val="22"/>
          <w:szCs w:val="22"/>
        </w:rPr>
        <w:t xml:space="preserve">, M. E., </w:t>
      </w:r>
      <w:proofErr w:type="spellStart"/>
      <w:r w:rsidRPr="00525ADE">
        <w:rPr>
          <w:rFonts w:asciiTheme="majorHAnsi" w:hAnsiTheme="majorHAnsi"/>
          <w:sz w:val="22"/>
          <w:szCs w:val="22"/>
        </w:rPr>
        <w:t>Knoppers</w:t>
      </w:r>
      <w:proofErr w:type="spellEnd"/>
      <w:r w:rsidRPr="00525ADE">
        <w:rPr>
          <w:rFonts w:asciiTheme="majorHAnsi" w:hAnsiTheme="majorHAnsi"/>
          <w:sz w:val="22"/>
          <w:szCs w:val="22"/>
        </w:rPr>
        <w:t xml:space="preserve">, B. M., Korbel, J. O., Lander, E. S., Lee, C., </w:t>
      </w:r>
      <w:proofErr w:type="spellStart"/>
      <w:r w:rsidRPr="00525ADE">
        <w:rPr>
          <w:rFonts w:asciiTheme="majorHAnsi" w:hAnsiTheme="majorHAnsi"/>
          <w:sz w:val="22"/>
          <w:szCs w:val="22"/>
        </w:rPr>
        <w:t>Lehrach</w:t>
      </w:r>
      <w:proofErr w:type="spellEnd"/>
      <w:r w:rsidRPr="00525ADE">
        <w:rPr>
          <w:rFonts w:asciiTheme="majorHAnsi" w:hAnsiTheme="majorHAnsi"/>
          <w:sz w:val="22"/>
          <w:szCs w:val="22"/>
        </w:rPr>
        <w:t xml:space="preserve">, H., … Schloss, J. A. (2015). A global reference for human genetic variation. In </w:t>
      </w:r>
      <w:r w:rsidRPr="00525ADE">
        <w:rPr>
          <w:rFonts w:asciiTheme="majorHAnsi" w:hAnsiTheme="majorHAnsi"/>
          <w:i/>
          <w:iCs/>
          <w:sz w:val="22"/>
          <w:szCs w:val="22"/>
        </w:rPr>
        <w:t>Nature</w:t>
      </w:r>
      <w:r w:rsidRPr="00525ADE">
        <w:rPr>
          <w:rFonts w:asciiTheme="majorHAnsi" w:hAnsiTheme="majorHAnsi"/>
          <w:sz w:val="22"/>
          <w:szCs w:val="22"/>
        </w:rPr>
        <w:t xml:space="preserve"> (Vol. 526, Issue 7571, pp. 68–74). Nature Publishing Group. https://doi.org/10.1038/nature15393</w:t>
      </w:r>
    </w:p>
    <w:p w14:paraId="2F175B89" w14:textId="38D86603"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Chen, C. H., Ferreira, J. C. B., Joshi, A. U., Stevens, M. C., Li, S. J., Hsu, J. H. M., Maclean, R., Ferreira, N. D., Cervantes, P. R., Martinez, D. D., Barrientos, F. L., </w:t>
      </w:r>
      <w:proofErr w:type="spellStart"/>
      <w:r w:rsidRPr="00140154">
        <w:rPr>
          <w:rFonts w:asciiTheme="majorHAnsi" w:hAnsiTheme="majorHAnsi"/>
          <w:sz w:val="22"/>
          <w:szCs w:val="22"/>
        </w:rPr>
        <w:t>Quintanares</w:t>
      </w:r>
      <w:proofErr w:type="spellEnd"/>
      <w:r w:rsidRPr="00140154">
        <w:rPr>
          <w:rFonts w:asciiTheme="majorHAnsi" w:hAnsiTheme="majorHAnsi"/>
          <w:sz w:val="22"/>
          <w:szCs w:val="22"/>
        </w:rPr>
        <w:t xml:space="preserve">, G. H. R., &amp; </w:t>
      </w:r>
      <w:proofErr w:type="spellStart"/>
      <w:r w:rsidRPr="00140154">
        <w:rPr>
          <w:rFonts w:asciiTheme="majorHAnsi" w:hAnsiTheme="majorHAnsi"/>
          <w:sz w:val="22"/>
          <w:szCs w:val="22"/>
        </w:rPr>
        <w:t>Mochly</w:t>
      </w:r>
      <w:proofErr w:type="spellEnd"/>
      <w:r w:rsidRPr="00140154">
        <w:rPr>
          <w:rFonts w:asciiTheme="majorHAnsi" w:hAnsiTheme="majorHAnsi"/>
          <w:sz w:val="22"/>
          <w:szCs w:val="22"/>
        </w:rPr>
        <w:t xml:space="preserve">-Rosen, D. (2020). Novel and prevalent non-East Asian ALDH2 variants; Implications for global susceptibility to aldehydes’ toxicity. </w:t>
      </w:r>
      <w:proofErr w:type="spellStart"/>
      <w:r w:rsidRPr="00140154">
        <w:rPr>
          <w:rFonts w:asciiTheme="majorHAnsi" w:hAnsiTheme="majorHAnsi"/>
          <w:i/>
          <w:iCs/>
          <w:sz w:val="22"/>
          <w:szCs w:val="22"/>
        </w:rPr>
        <w:t>EBioMedicine</w:t>
      </w:r>
      <w:proofErr w:type="spellEnd"/>
      <w:r w:rsidRPr="00140154">
        <w:rPr>
          <w:rFonts w:asciiTheme="majorHAnsi" w:hAnsiTheme="majorHAnsi"/>
          <w:sz w:val="22"/>
          <w:szCs w:val="22"/>
        </w:rPr>
        <w:t xml:space="preserve">, </w:t>
      </w:r>
      <w:r w:rsidRPr="00140154">
        <w:rPr>
          <w:rFonts w:asciiTheme="majorHAnsi" w:hAnsiTheme="majorHAnsi"/>
          <w:i/>
          <w:iCs/>
          <w:sz w:val="22"/>
          <w:szCs w:val="22"/>
        </w:rPr>
        <w:t>55</w:t>
      </w:r>
      <w:r w:rsidRPr="00140154">
        <w:rPr>
          <w:rFonts w:asciiTheme="majorHAnsi" w:hAnsiTheme="majorHAnsi"/>
          <w:sz w:val="22"/>
          <w:szCs w:val="22"/>
        </w:rPr>
        <w:t>. https://doi.org/10.1016/j.ebiom.2020.102753</w:t>
      </w:r>
    </w:p>
    <w:p w14:paraId="2E1F764E"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Fang, Z., Lin, A., Chen, J., Zhang, X., Liu, H., Li, H., Hu, Y., Zhang, X., Zhang, J., </w:t>
      </w:r>
      <w:proofErr w:type="spellStart"/>
      <w:r w:rsidRPr="00140154">
        <w:rPr>
          <w:rFonts w:asciiTheme="majorHAnsi" w:hAnsiTheme="majorHAnsi"/>
          <w:sz w:val="22"/>
          <w:szCs w:val="22"/>
        </w:rPr>
        <w:t>Qiu</w:t>
      </w:r>
      <w:proofErr w:type="spellEnd"/>
      <w:r w:rsidRPr="00140154">
        <w:rPr>
          <w:rFonts w:asciiTheme="majorHAnsi" w:hAnsiTheme="majorHAnsi"/>
          <w:sz w:val="22"/>
          <w:szCs w:val="22"/>
        </w:rPr>
        <w:t xml:space="preserve">, L., Mei, L., Shao, J., &amp; Chen, X. (2016). CREB1 directly activates the transcription of ribonucleotide reductase small subunit M2 and promotes the aggressiveness of human colorectal cancer. </w:t>
      </w:r>
      <w:proofErr w:type="spellStart"/>
      <w:r w:rsidRPr="00140154">
        <w:rPr>
          <w:rFonts w:asciiTheme="majorHAnsi" w:hAnsiTheme="majorHAnsi"/>
          <w:i/>
          <w:iCs/>
          <w:sz w:val="22"/>
          <w:szCs w:val="22"/>
        </w:rPr>
        <w:t>Oncotarget</w:t>
      </w:r>
      <w:proofErr w:type="spellEnd"/>
      <w:r w:rsidRPr="00140154">
        <w:rPr>
          <w:rFonts w:asciiTheme="majorHAnsi" w:hAnsiTheme="majorHAnsi"/>
          <w:sz w:val="22"/>
          <w:szCs w:val="22"/>
        </w:rPr>
        <w:t xml:space="preserve">, </w:t>
      </w:r>
      <w:r w:rsidRPr="00140154">
        <w:rPr>
          <w:rFonts w:asciiTheme="majorHAnsi" w:hAnsiTheme="majorHAnsi"/>
          <w:i/>
          <w:iCs/>
          <w:sz w:val="22"/>
          <w:szCs w:val="22"/>
        </w:rPr>
        <w:t>7</w:t>
      </w:r>
      <w:r w:rsidRPr="00140154">
        <w:rPr>
          <w:rFonts w:asciiTheme="majorHAnsi" w:hAnsiTheme="majorHAnsi"/>
          <w:sz w:val="22"/>
          <w:szCs w:val="22"/>
        </w:rPr>
        <w:t>(47), 78055–78068. https://doi.org/10.18632/oncotarget.12938</w:t>
      </w:r>
    </w:p>
    <w:p w14:paraId="080A5885"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Li, M., Luo, X. J., </w:t>
      </w:r>
      <w:proofErr w:type="spellStart"/>
      <w:r w:rsidRPr="00140154">
        <w:rPr>
          <w:rFonts w:asciiTheme="majorHAnsi" w:hAnsiTheme="majorHAnsi"/>
          <w:sz w:val="22"/>
          <w:szCs w:val="22"/>
        </w:rPr>
        <w:t>Rietschel</w:t>
      </w:r>
      <w:proofErr w:type="spellEnd"/>
      <w:r w:rsidRPr="00140154">
        <w:rPr>
          <w:rFonts w:asciiTheme="majorHAnsi" w:hAnsiTheme="majorHAnsi"/>
          <w:sz w:val="22"/>
          <w:szCs w:val="22"/>
        </w:rPr>
        <w:t xml:space="preserve">, M., Lewis, C. M., </w:t>
      </w:r>
      <w:proofErr w:type="spellStart"/>
      <w:r w:rsidRPr="00140154">
        <w:rPr>
          <w:rFonts w:asciiTheme="majorHAnsi" w:hAnsiTheme="majorHAnsi"/>
          <w:sz w:val="22"/>
          <w:szCs w:val="22"/>
        </w:rPr>
        <w:t>Mattheisen</w:t>
      </w:r>
      <w:proofErr w:type="spellEnd"/>
      <w:r w:rsidRPr="00140154">
        <w:rPr>
          <w:rFonts w:asciiTheme="majorHAnsi" w:hAnsiTheme="majorHAnsi"/>
          <w:sz w:val="22"/>
          <w:szCs w:val="22"/>
        </w:rPr>
        <w:t>, M., Müller-</w:t>
      </w:r>
      <w:proofErr w:type="spellStart"/>
      <w:r w:rsidRPr="00140154">
        <w:rPr>
          <w:rFonts w:asciiTheme="majorHAnsi" w:hAnsiTheme="majorHAnsi"/>
          <w:sz w:val="22"/>
          <w:szCs w:val="22"/>
        </w:rPr>
        <w:t>Myhsok</w:t>
      </w:r>
      <w:proofErr w:type="spellEnd"/>
      <w:r w:rsidRPr="00140154">
        <w:rPr>
          <w:rFonts w:asciiTheme="majorHAnsi" w:hAnsiTheme="majorHAnsi"/>
          <w:sz w:val="22"/>
          <w:szCs w:val="22"/>
        </w:rPr>
        <w:t xml:space="preserve">, B., </w:t>
      </w:r>
      <w:proofErr w:type="spellStart"/>
      <w:r w:rsidRPr="00140154">
        <w:rPr>
          <w:rFonts w:asciiTheme="majorHAnsi" w:hAnsiTheme="majorHAnsi"/>
          <w:sz w:val="22"/>
          <w:szCs w:val="22"/>
        </w:rPr>
        <w:t>Jamain</w:t>
      </w:r>
      <w:proofErr w:type="spellEnd"/>
      <w:r w:rsidRPr="00140154">
        <w:rPr>
          <w:rFonts w:asciiTheme="majorHAnsi" w:hAnsiTheme="majorHAnsi"/>
          <w:sz w:val="22"/>
          <w:szCs w:val="22"/>
        </w:rPr>
        <w:t xml:space="preserve">, S., Leboyer, M., </w:t>
      </w:r>
      <w:proofErr w:type="spellStart"/>
      <w:r w:rsidRPr="00140154">
        <w:rPr>
          <w:rFonts w:asciiTheme="majorHAnsi" w:hAnsiTheme="majorHAnsi"/>
          <w:sz w:val="22"/>
          <w:szCs w:val="22"/>
        </w:rPr>
        <w:t>Landén</w:t>
      </w:r>
      <w:proofErr w:type="spellEnd"/>
      <w:r w:rsidRPr="00140154">
        <w:rPr>
          <w:rFonts w:asciiTheme="majorHAnsi" w:hAnsiTheme="majorHAnsi"/>
          <w:sz w:val="22"/>
          <w:szCs w:val="22"/>
        </w:rPr>
        <w:t xml:space="preserve">, M., Thompson, P. M., </w:t>
      </w:r>
      <w:proofErr w:type="spellStart"/>
      <w:r w:rsidRPr="00140154">
        <w:rPr>
          <w:rFonts w:asciiTheme="majorHAnsi" w:hAnsiTheme="majorHAnsi"/>
          <w:sz w:val="22"/>
          <w:szCs w:val="22"/>
        </w:rPr>
        <w:t>Cichon</w:t>
      </w:r>
      <w:proofErr w:type="spellEnd"/>
      <w:r w:rsidRPr="00140154">
        <w:rPr>
          <w:rFonts w:asciiTheme="majorHAnsi" w:hAnsiTheme="majorHAnsi"/>
          <w:sz w:val="22"/>
          <w:szCs w:val="22"/>
        </w:rPr>
        <w:t xml:space="preserve">, S., </w:t>
      </w:r>
      <w:proofErr w:type="spellStart"/>
      <w:r w:rsidRPr="00140154">
        <w:rPr>
          <w:rFonts w:asciiTheme="majorHAnsi" w:hAnsiTheme="majorHAnsi"/>
          <w:sz w:val="22"/>
          <w:szCs w:val="22"/>
        </w:rPr>
        <w:t>Nöthen</w:t>
      </w:r>
      <w:proofErr w:type="spellEnd"/>
      <w:r w:rsidRPr="00140154">
        <w:rPr>
          <w:rFonts w:asciiTheme="majorHAnsi" w:hAnsiTheme="majorHAnsi"/>
          <w:sz w:val="22"/>
          <w:szCs w:val="22"/>
        </w:rPr>
        <w:t xml:space="preserve">, M. M., Schulze, T. G., Sullivan, P. F., Bergen, S. E., </w:t>
      </w:r>
      <w:r w:rsidRPr="00140154">
        <w:rPr>
          <w:rFonts w:asciiTheme="majorHAnsi" w:hAnsiTheme="majorHAnsi"/>
          <w:sz w:val="22"/>
          <w:szCs w:val="22"/>
        </w:rPr>
        <w:lastRenderedPageBreak/>
        <w:t xml:space="preserve">Donohoe, G., Morris, D. W., Hargreaves, A., Gill, M., … </w:t>
      </w:r>
      <w:proofErr w:type="spellStart"/>
      <w:r w:rsidRPr="00140154">
        <w:rPr>
          <w:rFonts w:asciiTheme="majorHAnsi" w:hAnsiTheme="majorHAnsi"/>
          <w:sz w:val="22"/>
          <w:szCs w:val="22"/>
        </w:rPr>
        <w:t>Su</w:t>
      </w:r>
      <w:proofErr w:type="spellEnd"/>
      <w:r w:rsidRPr="00140154">
        <w:rPr>
          <w:rFonts w:asciiTheme="majorHAnsi" w:hAnsiTheme="majorHAnsi"/>
          <w:sz w:val="22"/>
          <w:szCs w:val="22"/>
        </w:rPr>
        <w:t xml:space="preserve">, B. (2014). Allelic differences between Europeans and Chinese for CREB1 SNPs and their implications in gene expression regulation, hippocampal structure and function, and bipolar disorder susceptibility. </w:t>
      </w:r>
      <w:r w:rsidRPr="00140154">
        <w:rPr>
          <w:rFonts w:asciiTheme="majorHAnsi" w:hAnsiTheme="majorHAnsi"/>
          <w:i/>
          <w:iCs/>
          <w:sz w:val="22"/>
          <w:szCs w:val="22"/>
        </w:rPr>
        <w:t>Molecular Psychiatry</w:t>
      </w:r>
      <w:r w:rsidRPr="00140154">
        <w:rPr>
          <w:rFonts w:asciiTheme="majorHAnsi" w:hAnsiTheme="majorHAnsi"/>
          <w:sz w:val="22"/>
          <w:szCs w:val="22"/>
        </w:rPr>
        <w:t xml:space="preserve">, </w:t>
      </w:r>
      <w:r w:rsidRPr="00140154">
        <w:rPr>
          <w:rFonts w:asciiTheme="majorHAnsi" w:hAnsiTheme="majorHAnsi"/>
          <w:i/>
          <w:iCs/>
          <w:sz w:val="22"/>
          <w:szCs w:val="22"/>
        </w:rPr>
        <w:t>19</w:t>
      </w:r>
      <w:r w:rsidRPr="00140154">
        <w:rPr>
          <w:rFonts w:asciiTheme="majorHAnsi" w:hAnsiTheme="majorHAnsi"/>
          <w:sz w:val="22"/>
          <w:szCs w:val="22"/>
        </w:rPr>
        <w:t>(4), 452–461. https://doi.org/10.1038/mp.2013.37</w:t>
      </w:r>
    </w:p>
    <w:p w14:paraId="0FF2930D"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 xml:space="preserve">Murray, N., Norton, H. L., &amp; Parra, E. J. (2015). Distribution of two OCA2 polymorphisms associated with pigmentation in East-Asian populations. </w:t>
      </w:r>
      <w:r w:rsidRPr="00140154">
        <w:rPr>
          <w:rFonts w:asciiTheme="majorHAnsi" w:hAnsiTheme="majorHAnsi"/>
          <w:i/>
          <w:iCs/>
          <w:sz w:val="22"/>
          <w:szCs w:val="22"/>
        </w:rPr>
        <w:t>Human Genome Variation</w:t>
      </w:r>
      <w:r w:rsidRPr="00140154">
        <w:rPr>
          <w:rFonts w:asciiTheme="majorHAnsi" w:hAnsiTheme="majorHAnsi"/>
          <w:sz w:val="22"/>
          <w:szCs w:val="22"/>
        </w:rPr>
        <w:t xml:space="preserve">, </w:t>
      </w:r>
      <w:r w:rsidRPr="00140154">
        <w:rPr>
          <w:rFonts w:asciiTheme="majorHAnsi" w:hAnsiTheme="majorHAnsi"/>
          <w:i/>
          <w:iCs/>
          <w:sz w:val="22"/>
          <w:szCs w:val="22"/>
        </w:rPr>
        <w:t>2</w:t>
      </w:r>
      <w:r w:rsidRPr="00140154">
        <w:rPr>
          <w:rFonts w:asciiTheme="majorHAnsi" w:hAnsiTheme="majorHAnsi"/>
          <w:sz w:val="22"/>
          <w:szCs w:val="22"/>
        </w:rPr>
        <w:t>(1), 1–5. https://doi.org/10.1038/hgv.2015.58</w:t>
      </w:r>
    </w:p>
    <w:p w14:paraId="68001E0E" w14:textId="77777777" w:rsidR="00140154" w:rsidRPr="00140154" w:rsidRDefault="00140154" w:rsidP="00140154">
      <w:pPr>
        <w:pStyle w:val="NormalWeb"/>
        <w:ind w:left="480" w:hanging="480"/>
        <w:rPr>
          <w:rFonts w:asciiTheme="majorHAnsi" w:hAnsiTheme="majorHAnsi"/>
          <w:sz w:val="22"/>
          <w:szCs w:val="22"/>
        </w:rPr>
      </w:pPr>
      <w:r w:rsidRPr="00140154">
        <w:rPr>
          <w:rFonts w:asciiTheme="majorHAnsi" w:hAnsiTheme="majorHAnsi"/>
          <w:sz w:val="22"/>
          <w:szCs w:val="22"/>
        </w:rPr>
        <w:t>Quillen, E. E., Norton, H. L., Parra, E. J., Lona-</w:t>
      </w:r>
      <w:proofErr w:type="spellStart"/>
      <w:r w:rsidRPr="00140154">
        <w:rPr>
          <w:rFonts w:asciiTheme="majorHAnsi" w:hAnsiTheme="majorHAnsi"/>
          <w:sz w:val="22"/>
          <w:szCs w:val="22"/>
        </w:rPr>
        <w:t>Durazo</w:t>
      </w:r>
      <w:proofErr w:type="spellEnd"/>
      <w:r w:rsidRPr="00140154">
        <w:rPr>
          <w:rFonts w:asciiTheme="majorHAnsi" w:hAnsiTheme="majorHAnsi"/>
          <w:sz w:val="22"/>
          <w:szCs w:val="22"/>
        </w:rPr>
        <w:t xml:space="preserve">, F., Ang, K. C., </w:t>
      </w:r>
      <w:proofErr w:type="spellStart"/>
      <w:r w:rsidRPr="00140154">
        <w:rPr>
          <w:rFonts w:asciiTheme="majorHAnsi" w:hAnsiTheme="majorHAnsi"/>
          <w:sz w:val="22"/>
          <w:szCs w:val="22"/>
        </w:rPr>
        <w:t>Illiescu</w:t>
      </w:r>
      <w:proofErr w:type="spellEnd"/>
      <w:r w:rsidRPr="00140154">
        <w:rPr>
          <w:rFonts w:asciiTheme="majorHAnsi" w:hAnsiTheme="majorHAnsi"/>
          <w:sz w:val="22"/>
          <w:szCs w:val="22"/>
        </w:rPr>
        <w:t xml:space="preserve">, F. M., Pearson, L. N., Shriver, M. D., </w:t>
      </w:r>
      <w:proofErr w:type="spellStart"/>
      <w:r w:rsidRPr="00140154">
        <w:rPr>
          <w:rFonts w:asciiTheme="majorHAnsi" w:hAnsiTheme="majorHAnsi"/>
          <w:sz w:val="22"/>
          <w:szCs w:val="22"/>
        </w:rPr>
        <w:t>Lasisi</w:t>
      </w:r>
      <w:proofErr w:type="spellEnd"/>
      <w:r w:rsidRPr="00140154">
        <w:rPr>
          <w:rFonts w:asciiTheme="majorHAnsi" w:hAnsiTheme="majorHAnsi"/>
          <w:sz w:val="22"/>
          <w:szCs w:val="22"/>
        </w:rPr>
        <w:t xml:space="preserve">, T., </w:t>
      </w:r>
      <w:proofErr w:type="spellStart"/>
      <w:r w:rsidRPr="00140154">
        <w:rPr>
          <w:rFonts w:asciiTheme="majorHAnsi" w:hAnsiTheme="majorHAnsi"/>
          <w:sz w:val="22"/>
          <w:szCs w:val="22"/>
        </w:rPr>
        <w:t>Gokcumen</w:t>
      </w:r>
      <w:proofErr w:type="spellEnd"/>
      <w:r w:rsidRPr="00140154">
        <w:rPr>
          <w:rFonts w:asciiTheme="majorHAnsi" w:hAnsiTheme="majorHAnsi"/>
          <w:sz w:val="22"/>
          <w:szCs w:val="22"/>
        </w:rPr>
        <w:t xml:space="preserve">, O., Starr, I., Lin, Y. L., Martin, A. R., &amp; Jablonski, N. G. (2019). Shades of complexity: New perspectives on the evolution and genetic architecture of human skin. </w:t>
      </w:r>
      <w:r w:rsidRPr="00140154">
        <w:rPr>
          <w:rFonts w:asciiTheme="majorHAnsi" w:hAnsiTheme="majorHAnsi"/>
          <w:i/>
          <w:iCs/>
          <w:sz w:val="22"/>
          <w:szCs w:val="22"/>
        </w:rPr>
        <w:t>American Journal of Physical Anthropology</w:t>
      </w:r>
      <w:r w:rsidRPr="00140154">
        <w:rPr>
          <w:rFonts w:asciiTheme="majorHAnsi" w:hAnsiTheme="majorHAnsi"/>
          <w:sz w:val="22"/>
          <w:szCs w:val="22"/>
        </w:rPr>
        <w:t xml:space="preserve">, </w:t>
      </w:r>
      <w:r w:rsidRPr="00140154">
        <w:rPr>
          <w:rFonts w:asciiTheme="majorHAnsi" w:hAnsiTheme="majorHAnsi"/>
          <w:i/>
          <w:iCs/>
          <w:sz w:val="22"/>
          <w:szCs w:val="22"/>
        </w:rPr>
        <w:t>168</w:t>
      </w:r>
      <w:r w:rsidRPr="00140154">
        <w:rPr>
          <w:rFonts w:asciiTheme="majorHAnsi" w:hAnsiTheme="majorHAnsi"/>
          <w:sz w:val="22"/>
          <w:szCs w:val="22"/>
        </w:rPr>
        <w:t>, 4–26. https://doi.org/10.1002/ajpa.23737</w:t>
      </w:r>
    </w:p>
    <w:p w14:paraId="678DF219" w14:textId="77777777" w:rsidR="00140154" w:rsidRPr="00140154" w:rsidRDefault="00140154" w:rsidP="00140154">
      <w:pPr>
        <w:pStyle w:val="NormalWeb"/>
        <w:ind w:left="480" w:hanging="480"/>
        <w:rPr>
          <w:rFonts w:asciiTheme="majorHAnsi" w:hAnsiTheme="majorHAnsi"/>
          <w:sz w:val="22"/>
          <w:szCs w:val="22"/>
        </w:rPr>
      </w:pPr>
      <w:proofErr w:type="spellStart"/>
      <w:r w:rsidRPr="00140154">
        <w:rPr>
          <w:rFonts w:asciiTheme="majorHAnsi" w:hAnsiTheme="majorHAnsi"/>
          <w:sz w:val="22"/>
          <w:szCs w:val="22"/>
        </w:rPr>
        <w:t>Spuesens</w:t>
      </w:r>
      <w:proofErr w:type="spellEnd"/>
      <w:r w:rsidRPr="00140154">
        <w:rPr>
          <w:rFonts w:asciiTheme="majorHAnsi" w:hAnsiTheme="majorHAnsi"/>
          <w:sz w:val="22"/>
          <w:szCs w:val="22"/>
        </w:rPr>
        <w:t xml:space="preserve">, E. B. M., Brouwer, R. W. W., Mol, K. H. J. M., </w:t>
      </w:r>
      <w:proofErr w:type="spellStart"/>
      <w:r w:rsidRPr="00140154">
        <w:rPr>
          <w:rFonts w:asciiTheme="majorHAnsi" w:hAnsiTheme="majorHAnsi"/>
          <w:sz w:val="22"/>
          <w:szCs w:val="22"/>
        </w:rPr>
        <w:t>Hoogenboezem</w:t>
      </w:r>
      <w:proofErr w:type="spellEnd"/>
      <w:r w:rsidRPr="00140154">
        <w:rPr>
          <w:rFonts w:asciiTheme="majorHAnsi" w:hAnsiTheme="majorHAnsi"/>
          <w:sz w:val="22"/>
          <w:szCs w:val="22"/>
        </w:rPr>
        <w:t xml:space="preserve">, T., </w:t>
      </w:r>
      <w:proofErr w:type="spellStart"/>
      <w:r w:rsidRPr="00140154">
        <w:rPr>
          <w:rFonts w:asciiTheme="majorHAnsi" w:hAnsiTheme="majorHAnsi"/>
          <w:sz w:val="22"/>
          <w:szCs w:val="22"/>
        </w:rPr>
        <w:t>Kockx</w:t>
      </w:r>
      <w:proofErr w:type="spellEnd"/>
      <w:r w:rsidRPr="00140154">
        <w:rPr>
          <w:rFonts w:asciiTheme="majorHAnsi" w:hAnsiTheme="majorHAnsi"/>
          <w:sz w:val="22"/>
          <w:szCs w:val="22"/>
        </w:rPr>
        <w:t xml:space="preserve">, C. E. M., Jansen, R., Van </w:t>
      </w:r>
      <w:proofErr w:type="spellStart"/>
      <w:r w:rsidRPr="00140154">
        <w:rPr>
          <w:rFonts w:asciiTheme="majorHAnsi" w:hAnsiTheme="majorHAnsi"/>
          <w:sz w:val="22"/>
          <w:szCs w:val="22"/>
        </w:rPr>
        <w:t>IJcken</w:t>
      </w:r>
      <w:proofErr w:type="spellEnd"/>
      <w:r w:rsidRPr="00140154">
        <w:rPr>
          <w:rFonts w:asciiTheme="majorHAnsi" w:hAnsiTheme="majorHAnsi"/>
          <w:sz w:val="22"/>
          <w:szCs w:val="22"/>
        </w:rPr>
        <w:t xml:space="preserve">, W. F. J., Van Rossum, A. M. C., &amp; </w:t>
      </w:r>
      <w:proofErr w:type="spellStart"/>
      <w:r w:rsidRPr="00140154">
        <w:rPr>
          <w:rFonts w:asciiTheme="majorHAnsi" w:hAnsiTheme="majorHAnsi"/>
          <w:sz w:val="22"/>
          <w:szCs w:val="22"/>
        </w:rPr>
        <w:t>Vink</w:t>
      </w:r>
      <w:proofErr w:type="spellEnd"/>
      <w:r w:rsidRPr="00140154">
        <w:rPr>
          <w:rFonts w:asciiTheme="majorHAnsi" w:hAnsiTheme="majorHAnsi"/>
          <w:sz w:val="22"/>
          <w:szCs w:val="22"/>
        </w:rPr>
        <w:t xml:space="preserve">, C. (2016). Comparison of mycoplasma pneumoniae genome sequences from strains isolated from symptomatic and asymptomatic patients. </w:t>
      </w:r>
      <w:r w:rsidRPr="00140154">
        <w:rPr>
          <w:rFonts w:asciiTheme="majorHAnsi" w:hAnsiTheme="majorHAnsi"/>
          <w:i/>
          <w:iCs/>
          <w:sz w:val="22"/>
          <w:szCs w:val="22"/>
        </w:rPr>
        <w:t>Frontiers in Microbiology</w:t>
      </w:r>
      <w:r w:rsidRPr="00140154">
        <w:rPr>
          <w:rFonts w:asciiTheme="majorHAnsi" w:hAnsiTheme="majorHAnsi"/>
          <w:sz w:val="22"/>
          <w:szCs w:val="22"/>
        </w:rPr>
        <w:t xml:space="preserve">, </w:t>
      </w:r>
      <w:r w:rsidRPr="00140154">
        <w:rPr>
          <w:rFonts w:asciiTheme="majorHAnsi" w:hAnsiTheme="majorHAnsi"/>
          <w:i/>
          <w:iCs/>
          <w:sz w:val="22"/>
          <w:szCs w:val="22"/>
        </w:rPr>
        <w:t>7</w:t>
      </w:r>
      <w:r w:rsidRPr="00140154">
        <w:rPr>
          <w:rFonts w:asciiTheme="majorHAnsi" w:hAnsiTheme="majorHAnsi"/>
          <w:sz w:val="22"/>
          <w:szCs w:val="22"/>
        </w:rPr>
        <w:t>(OCT), 1701. https://doi.org/10.3389/fmicb.2016.01701</w:t>
      </w:r>
    </w:p>
    <w:p w14:paraId="4B8DA251" w14:textId="77777777" w:rsidR="00140154" w:rsidRPr="00140154" w:rsidRDefault="00140154" w:rsidP="00140154">
      <w:pPr>
        <w:pStyle w:val="NormalWeb"/>
        <w:ind w:left="480" w:hanging="480"/>
        <w:rPr>
          <w:rFonts w:asciiTheme="majorHAnsi" w:hAnsiTheme="majorHAnsi"/>
          <w:sz w:val="22"/>
          <w:szCs w:val="22"/>
        </w:rPr>
      </w:pPr>
      <w:proofErr w:type="spellStart"/>
      <w:r w:rsidRPr="00140154">
        <w:rPr>
          <w:rFonts w:asciiTheme="majorHAnsi" w:hAnsiTheme="majorHAnsi"/>
          <w:sz w:val="22"/>
          <w:szCs w:val="22"/>
        </w:rPr>
        <w:t>Tamasauskas</w:t>
      </w:r>
      <w:proofErr w:type="spellEnd"/>
      <w:r w:rsidRPr="00140154">
        <w:rPr>
          <w:rFonts w:asciiTheme="majorHAnsi" w:hAnsiTheme="majorHAnsi"/>
          <w:sz w:val="22"/>
          <w:szCs w:val="22"/>
        </w:rPr>
        <w:t xml:space="preserve">, D., </w:t>
      </w:r>
      <w:proofErr w:type="spellStart"/>
      <w:r w:rsidRPr="00140154">
        <w:rPr>
          <w:rFonts w:asciiTheme="majorHAnsi" w:hAnsiTheme="majorHAnsi"/>
          <w:sz w:val="22"/>
          <w:szCs w:val="22"/>
        </w:rPr>
        <w:t>Sakalauskas</w:t>
      </w:r>
      <w:proofErr w:type="spellEnd"/>
      <w:r w:rsidRPr="00140154">
        <w:rPr>
          <w:rFonts w:asciiTheme="majorHAnsi" w:hAnsiTheme="majorHAnsi"/>
          <w:sz w:val="22"/>
          <w:szCs w:val="22"/>
        </w:rPr>
        <w:t xml:space="preserve">, V., &amp; </w:t>
      </w:r>
      <w:proofErr w:type="spellStart"/>
      <w:r w:rsidRPr="00140154">
        <w:rPr>
          <w:rFonts w:asciiTheme="majorHAnsi" w:hAnsiTheme="majorHAnsi"/>
          <w:sz w:val="22"/>
          <w:szCs w:val="22"/>
        </w:rPr>
        <w:t>Kriksciuniene</w:t>
      </w:r>
      <w:proofErr w:type="spellEnd"/>
      <w:r w:rsidRPr="00140154">
        <w:rPr>
          <w:rFonts w:asciiTheme="majorHAnsi" w:hAnsiTheme="majorHAnsi"/>
          <w:sz w:val="22"/>
          <w:szCs w:val="22"/>
        </w:rPr>
        <w:t xml:space="preserve">, D. (2012). Evaluation framework of hierarchical clustering methods for binary data. </w:t>
      </w:r>
      <w:r w:rsidRPr="00140154">
        <w:rPr>
          <w:rFonts w:asciiTheme="majorHAnsi" w:hAnsiTheme="majorHAnsi"/>
          <w:i/>
          <w:iCs/>
          <w:sz w:val="22"/>
          <w:szCs w:val="22"/>
        </w:rPr>
        <w:t>Proceedings of the 2012 12th International Conference on Hybrid Intelligent Systems, HIS 2012</w:t>
      </w:r>
      <w:r w:rsidRPr="00140154">
        <w:rPr>
          <w:rFonts w:asciiTheme="majorHAnsi" w:hAnsiTheme="majorHAnsi"/>
          <w:sz w:val="22"/>
          <w:szCs w:val="22"/>
        </w:rPr>
        <w:t>, 421–426. https://doi.org/10.1109/HIS.2012.6421371</w:t>
      </w:r>
    </w:p>
    <w:p w14:paraId="586EDC66" w14:textId="77777777" w:rsidR="00786955" w:rsidRPr="00786955" w:rsidRDefault="00786955" w:rsidP="00786955">
      <w:pPr>
        <w:rPr>
          <w:rFonts w:ascii="Calibri" w:hAnsi="Calibri"/>
          <w:sz w:val="22"/>
          <w:szCs w:val="22"/>
        </w:rPr>
      </w:pPr>
    </w:p>
    <w:p w14:paraId="300A296B" w14:textId="77777777"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10E3CB16" w14:textId="77777777" w:rsidR="00786955" w:rsidRPr="00A13266" w:rsidRDefault="00786955" w:rsidP="00786955">
      <w:pPr>
        <w:rPr>
          <w:rFonts w:ascii="Calibri" w:hAnsi="Calibri"/>
          <w:b/>
          <w:sz w:val="22"/>
          <w:szCs w:val="22"/>
        </w:rPr>
      </w:pPr>
    </w:p>
    <w:p w14:paraId="0DF2BCF9" w14:textId="77777777"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14:paraId="344855DA" w14:textId="77777777" w:rsidR="00786955" w:rsidRPr="00A13266" w:rsidRDefault="00786955" w:rsidP="00786955">
      <w:pPr>
        <w:rPr>
          <w:rFonts w:ascii="Calibri" w:hAnsi="Calibri"/>
          <w:sz w:val="22"/>
          <w:szCs w:val="22"/>
        </w:rPr>
      </w:pPr>
    </w:p>
    <w:p w14:paraId="56126B47" w14:textId="77777777"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14:paraId="1BAA6FE4" w14:textId="77777777" w:rsidR="00786955" w:rsidRPr="00A13266" w:rsidRDefault="00786955" w:rsidP="00786955">
      <w:pPr>
        <w:rPr>
          <w:rFonts w:ascii="Calibri" w:hAnsi="Calibri"/>
          <w:sz w:val="22"/>
          <w:szCs w:val="22"/>
        </w:rPr>
      </w:pPr>
    </w:p>
    <w:p w14:paraId="74934349" w14:textId="77777777"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14:paraId="50892FF8" w14:textId="77777777" w:rsidR="00786955" w:rsidRPr="00A13266" w:rsidRDefault="00786955" w:rsidP="00786955">
      <w:pPr>
        <w:rPr>
          <w:rFonts w:ascii="Calibri" w:hAnsi="Calibri"/>
          <w:sz w:val="22"/>
          <w:szCs w:val="22"/>
        </w:rPr>
      </w:pPr>
    </w:p>
    <w:p w14:paraId="3A021F07" w14:textId="77777777"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14:paraId="7E6D1286" w14:textId="77777777" w:rsidR="00786955" w:rsidRPr="00A13266" w:rsidRDefault="00786955" w:rsidP="00786955">
      <w:pPr>
        <w:rPr>
          <w:rFonts w:ascii="Calibri" w:hAnsi="Calibri"/>
          <w:sz w:val="22"/>
          <w:szCs w:val="22"/>
        </w:rPr>
      </w:pPr>
    </w:p>
    <w:p w14:paraId="396CADB8" w14:textId="77777777"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14:paraId="19513C3F" w14:textId="77777777" w:rsidR="00786955" w:rsidRPr="00A13266" w:rsidRDefault="00786955" w:rsidP="00786955">
      <w:pPr>
        <w:rPr>
          <w:rFonts w:ascii="Calibri" w:hAnsi="Calibri"/>
          <w:sz w:val="22"/>
          <w:szCs w:val="22"/>
        </w:rPr>
      </w:pPr>
    </w:p>
    <w:p w14:paraId="5C80EC8A" w14:textId="77777777" w:rsidR="00786955" w:rsidRPr="00A13266" w:rsidRDefault="00786955" w:rsidP="00786955">
      <w:pPr>
        <w:rPr>
          <w:rFonts w:ascii="Calibri" w:hAnsi="Calibri"/>
          <w:sz w:val="22"/>
          <w:szCs w:val="22"/>
        </w:rPr>
      </w:pPr>
      <w:r w:rsidRPr="00A13266">
        <w:rPr>
          <w:rFonts w:ascii="Calibri" w:hAnsi="Calibri"/>
          <w:sz w:val="22"/>
          <w:szCs w:val="22"/>
        </w:rPr>
        <w:t>Task 6: Appendix</w:t>
      </w:r>
    </w:p>
    <w:p w14:paraId="58FF580D" w14:textId="77777777" w:rsidR="00786955" w:rsidRPr="00A13266" w:rsidRDefault="00786955" w:rsidP="00786955">
      <w:pPr>
        <w:rPr>
          <w:rFonts w:ascii="Calibri" w:hAnsi="Calibri"/>
          <w:sz w:val="22"/>
          <w:szCs w:val="22"/>
        </w:rPr>
      </w:pPr>
    </w:p>
    <w:p w14:paraId="56E1D678" w14:textId="77777777"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14:paraId="30ED9B14" w14:textId="77777777" w:rsidR="00786955" w:rsidRPr="00A13266" w:rsidRDefault="00786955" w:rsidP="00786955">
      <w:pPr>
        <w:rPr>
          <w:rFonts w:ascii="Calibri" w:hAnsi="Calibri"/>
          <w:sz w:val="22"/>
          <w:szCs w:val="22"/>
        </w:rPr>
      </w:pPr>
    </w:p>
    <w:p w14:paraId="26630DCF" w14:textId="77777777"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74"/>
        <w:gridCol w:w="2707"/>
        <w:gridCol w:w="2713"/>
        <w:gridCol w:w="2714"/>
      </w:tblGrid>
      <w:tr w:rsidR="00786955" w:rsidRPr="00A13266" w14:paraId="11C30DB7" w14:textId="77777777" w:rsidTr="00464523">
        <w:tc>
          <w:tcPr>
            <w:tcW w:w="1384" w:type="dxa"/>
          </w:tcPr>
          <w:p w14:paraId="411572E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EE4C97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5A1124F5"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5EC39F4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14:paraId="16888E36" w14:textId="77777777" w:rsidTr="00464523">
        <w:tc>
          <w:tcPr>
            <w:tcW w:w="1384" w:type="dxa"/>
          </w:tcPr>
          <w:p w14:paraId="02F1D69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12C104D1"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11E289B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ACAF0E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14:paraId="6CB97C61" w14:textId="77777777" w:rsidTr="00464523">
        <w:tc>
          <w:tcPr>
            <w:tcW w:w="1384" w:type="dxa"/>
          </w:tcPr>
          <w:p w14:paraId="0FC45B4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7AED717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02273D40"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36657154"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786955" w:rsidRPr="00A13266" w14:paraId="51AEB6BF" w14:textId="77777777" w:rsidTr="00464523">
        <w:tc>
          <w:tcPr>
            <w:tcW w:w="1384" w:type="dxa"/>
          </w:tcPr>
          <w:p w14:paraId="22E5966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CC8400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94DB02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46C817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04B7C709" w14:textId="77777777" w:rsidTr="00464523">
        <w:tc>
          <w:tcPr>
            <w:tcW w:w="1384" w:type="dxa"/>
          </w:tcPr>
          <w:p w14:paraId="36A5B06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D6D324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12F16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685C3D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1ADED31B" w14:textId="77777777" w:rsidTr="00464523">
        <w:tc>
          <w:tcPr>
            <w:tcW w:w="1384" w:type="dxa"/>
          </w:tcPr>
          <w:p w14:paraId="195B5E5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13F00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909DB3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A2BBC2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291E2889" w14:textId="77777777" w:rsidTr="00464523">
        <w:tc>
          <w:tcPr>
            <w:tcW w:w="1384" w:type="dxa"/>
          </w:tcPr>
          <w:p w14:paraId="7155749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7666D77D"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6265C261"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74DEF9B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14:paraId="1D919A34" w14:textId="77777777" w:rsidTr="00464523">
        <w:tc>
          <w:tcPr>
            <w:tcW w:w="1384" w:type="dxa"/>
          </w:tcPr>
          <w:p w14:paraId="0505E7D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4E9ADA7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14:paraId="25BB36FC"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14:paraId="1A3926C9" w14:textId="77777777" w:rsidR="00786955" w:rsidRPr="00A13266" w:rsidRDefault="00786955" w:rsidP="00464523">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75D584AB" w14:textId="77777777" w:rsidR="00786955" w:rsidRPr="00A13266" w:rsidRDefault="00786955" w:rsidP="00786955">
      <w:pPr>
        <w:rPr>
          <w:rFonts w:ascii="Calibri" w:hAnsi="Calibri"/>
          <w:sz w:val="22"/>
          <w:szCs w:val="22"/>
        </w:rPr>
      </w:pPr>
    </w:p>
    <w:p w14:paraId="1B4F94C7" w14:textId="77777777" w:rsidR="00786955" w:rsidRDefault="00786955" w:rsidP="00786955"/>
    <w:p w14:paraId="570B451F" w14:textId="77777777" w:rsidR="00E6668A" w:rsidRDefault="00E6668A"/>
    <w:sectPr w:rsidR="00E6668A" w:rsidSect="00BA06AC">
      <w:headerReference w:type="first" r:id="rId15"/>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48472" w14:textId="77777777" w:rsidR="0049195E" w:rsidRDefault="0049195E" w:rsidP="00786955">
      <w:r>
        <w:separator/>
      </w:r>
    </w:p>
  </w:endnote>
  <w:endnote w:type="continuationSeparator" w:id="0">
    <w:p w14:paraId="11C0E417" w14:textId="77777777" w:rsidR="0049195E" w:rsidRDefault="0049195E"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F0797" w14:textId="77777777" w:rsidR="0049195E" w:rsidRDefault="0049195E" w:rsidP="00786955">
      <w:r>
        <w:separator/>
      </w:r>
    </w:p>
  </w:footnote>
  <w:footnote w:type="continuationSeparator" w:id="0">
    <w:p w14:paraId="4ABDA772" w14:textId="77777777" w:rsidR="0049195E" w:rsidRDefault="0049195E" w:rsidP="0078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54EB" w14:textId="77777777" w:rsidR="00786955" w:rsidRDefault="00786955" w:rsidP="00786955">
    <w:pPr>
      <w:rPr>
        <w:rFonts w:ascii="Calibri" w:hAnsi="Calibri"/>
        <w:b/>
        <w:sz w:val="22"/>
        <w:szCs w:val="22"/>
      </w:rPr>
    </w:pPr>
    <w:r>
      <w:rPr>
        <w:rFonts w:ascii="Calibri" w:hAnsi="Calibri"/>
        <w:b/>
        <w:sz w:val="22"/>
        <w:szCs w:val="22"/>
      </w:rPr>
      <w:t>BINF6970: Project 4</w:t>
    </w:r>
  </w:p>
  <w:p w14:paraId="1B596D47" w14:textId="77777777" w:rsidR="00786955" w:rsidRDefault="00786955"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xml:space="preserve">, Heather </w:t>
    </w:r>
    <w:proofErr w:type="spellStart"/>
    <w:r>
      <w:rPr>
        <w:rFonts w:ascii="Calibri" w:hAnsi="Calibri"/>
        <w:b/>
        <w:sz w:val="22"/>
        <w:szCs w:val="22"/>
      </w:rPr>
      <w:t>Treleaven</w:t>
    </w:r>
    <w:proofErr w:type="spellEnd"/>
    <w:r>
      <w:rPr>
        <w:rFonts w:ascii="Calibri" w:hAnsi="Calibri"/>
        <w:b/>
        <w:sz w:val="22"/>
        <w:szCs w:val="22"/>
      </w:rPr>
      <w:t>, Natalie Kim</w:t>
    </w:r>
  </w:p>
  <w:p w14:paraId="50C1EF39" w14:textId="77777777"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55"/>
    <w:rsid w:val="00107623"/>
    <w:rsid w:val="00140154"/>
    <w:rsid w:val="00147192"/>
    <w:rsid w:val="0049195E"/>
    <w:rsid w:val="00525ADE"/>
    <w:rsid w:val="00597629"/>
    <w:rsid w:val="005B2A96"/>
    <w:rsid w:val="00786955"/>
    <w:rsid w:val="007F53E1"/>
    <w:rsid w:val="009A11B7"/>
    <w:rsid w:val="00AA6D41"/>
    <w:rsid w:val="00BA06AC"/>
    <w:rsid w:val="00BC3426"/>
    <w:rsid w:val="00E35B80"/>
    <w:rsid w:val="00E66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DA11D"/>
  <w14:defaultImageDpi w14:val="30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 w:type="paragraph" w:styleId="NormalWeb">
    <w:name w:val="Normal (Web)"/>
    <w:basedOn w:val="Normal"/>
    <w:uiPriority w:val="99"/>
    <w:semiHidden/>
    <w:unhideWhenUsed/>
    <w:rsid w:val="001401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890825">
      <w:bodyDiv w:val="1"/>
      <w:marLeft w:val="0"/>
      <w:marRight w:val="0"/>
      <w:marTop w:val="0"/>
      <w:marBottom w:val="0"/>
      <w:divBdr>
        <w:top w:val="none" w:sz="0" w:space="0" w:color="auto"/>
        <w:left w:val="none" w:sz="0" w:space="0" w:color="auto"/>
        <w:bottom w:val="none" w:sz="0" w:space="0" w:color="auto"/>
        <w:right w:val="none" w:sz="0" w:space="0" w:color="auto"/>
      </w:divBdr>
    </w:div>
    <w:div w:id="10094808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5B5C-7D8F-9D4E-9B4B-63B9FBA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kerry woolnough</cp:lastModifiedBy>
  <cp:revision>8</cp:revision>
  <dcterms:created xsi:type="dcterms:W3CDTF">2021-04-14T20:07:00Z</dcterms:created>
  <dcterms:modified xsi:type="dcterms:W3CDTF">2021-04-14T22:18:00Z</dcterms:modified>
</cp:coreProperties>
</file>