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3312" w14:textId="77777777" w:rsidR="00786955" w:rsidRDefault="00786955" w:rsidP="00786955">
      <w:pPr>
        <w:pBdr>
          <w:bottom w:val="single" w:sz="4" w:space="1" w:color="auto"/>
        </w:pBdr>
        <w:jc w:val="center"/>
        <w:rPr>
          <w:rFonts w:ascii="Calibri" w:hAnsi="Calibri"/>
          <w:b/>
          <w:sz w:val="22"/>
          <w:szCs w:val="22"/>
        </w:rPr>
      </w:pPr>
    </w:p>
    <w:p w14:paraId="1BD6F915" w14:textId="77777777" w:rsidR="00786955" w:rsidRPr="00A13266" w:rsidRDefault="00786955" w:rsidP="00786955">
      <w:pPr>
        <w:pBdr>
          <w:bottom w:val="single" w:sz="4" w:space="1" w:color="auto"/>
        </w:pBdr>
        <w:jc w:val="center"/>
        <w:rPr>
          <w:rFonts w:ascii="Calibri" w:hAnsi="Calibri"/>
          <w:b/>
          <w:sz w:val="22"/>
          <w:szCs w:val="22"/>
        </w:rPr>
      </w:pPr>
      <w:r>
        <w:rPr>
          <w:rFonts w:ascii="Calibri" w:hAnsi="Calibri"/>
          <w:b/>
          <w:sz w:val="22"/>
          <w:szCs w:val="22"/>
        </w:rPr>
        <w:t>BACKGROUND AND OBJECTIVE</w:t>
      </w:r>
    </w:p>
    <w:p w14:paraId="211E4F4E" w14:textId="77777777" w:rsidR="00786955" w:rsidRDefault="00786955" w:rsidP="00786955">
      <w:pPr>
        <w:rPr>
          <w:rFonts w:ascii="Calibri" w:hAnsi="Calibri" w:cs="Calibri"/>
          <w:sz w:val="22"/>
          <w:szCs w:val="22"/>
        </w:rPr>
      </w:pPr>
    </w:p>
    <w:p w14:paraId="22D5316A" w14:textId="77777777" w:rsidR="00786955" w:rsidRPr="006B344D" w:rsidRDefault="00786955" w:rsidP="00786955">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genome project 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alipathic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67D56D52" w14:textId="77777777" w:rsidR="00786955" w:rsidRDefault="00786955" w:rsidP="00786955">
      <w:pPr>
        <w:pBdr>
          <w:bottom w:val="single" w:sz="4" w:space="1" w:color="auto"/>
        </w:pBdr>
        <w:jc w:val="center"/>
        <w:rPr>
          <w:rFonts w:ascii="Calibri" w:hAnsi="Calibri"/>
          <w:b/>
          <w:sz w:val="22"/>
          <w:szCs w:val="22"/>
        </w:rPr>
      </w:pPr>
    </w:p>
    <w:p w14:paraId="01CFDD60"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1E6C65A6" w14:textId="77777777" w:rsidR="00786955" w:rsidRPr="00A13266" w:rsidRDefault="00786955" w:rsidP="00786955">
      <w:pPr>
        <w:jc w:val="center"/>
        <w:rPr>
          <w:rFonts w:ascii="Calibri" w:hAnsi="Calibri"/>
          <w:b/>
          <w:sz w:val="22"/>
          <w:szCs w:val="22"/>
        </w:rPr>
      </w:pPr>
    </w:p>
    <w:p w14:paraId="3F844682" w14:textId="77777777" w:rsidR="00786955" w:rsidRDefault="00786955" w:rsidP="00786955">
      <w:pPr>
        <w:jc w:val="center"/>
        <w:rPr>
          <w:rFonts w:ascii="Calibri" w:hAnsi="Calibri"/>
          <w:sz w:val="22"/>
          <w:szCs w:val="22"/>
        </w:rPr>
      </w:pPr>
      <w:r>
        <w:rPr>
          <w:rFonts w:ascii="Calibri" w:hAnsi="Calibri"/>
          <w:noProof/>
          <w:sz w:val="22"/>
          <w:szCs w:val="22"/>
          <w:lang w:val="en-US"/>
        </w:rPr>
        <w:drawing>
          <wp:inline distT="0" distB="0" distL="0" distR="0" wp14:anchorId="6667A441" wp14:editId="31154454">
            <wp:extent cx="5603240" cy="2128723"/>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442" r="2269"/>
                    <a:stretch/>
                  </pic:blipFill>
                  <pic:spPr bwMode="auto">
                    <a:xfrm>
                      <a:off x="0" y="0"/>
                      <a:ext cx="5607098" cy="213018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091B25B" w14:textId="77777777" w:rsidR="00786955" w:rsidRDefault="00786955" w:rsidP="00786955">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007431B1" w14:textId="77777777" w:rsidR="00786955" w:rsidRDefault="00786955" w:rsidP="00786955">
      <w:pPr>
        <w:ind w:firstLine="720"/>
        <w:rPr>
          <w:rFonts w:ascii="Calibri" w:hAnsi="Calibri"/>
          <w:sz w:val="22"/>
          <w:szCs w:val="22"/>
        </w:rPr>
      </w:pPr>
    </w:p>
    <w:p w14:paraId="04A3049C" w14:textId="77777777" w:rsidR="00786955" w:rsidRDefault="00786955" w:rsidP="00786955">
      <w:pPr>
        <w:ind w:firstLine="720"/>
        <w:rPr>
          <w:rFonts w:ascii="Calibri" w:hAnsi="Calibri"/>
          <w:sz w:val="22"/>
          <w:szCs w:val="22"/>
        </w:rPr>
      </w:pPr>
      <w:r w:rsidRPr="00A13266">
        <w:rPr>
          <w:rFonts w:ascii="Calibri" w:hAnsi="Calibri"/>
          <w:sz w:val="22"/>
          <w:szCs w:val="22"/>
        </w:rPr>
        <w:t>The data used in this set of analyses were downloaded from DataSlicer</w:t>
      </w:r>
      <w:r>
        <w:rPr>
          <w:rFonts w:ascii="Calibri" w:hAnsi="Calibri"/>
          <w:sz w:val="22"/>
          <w:szCs w:val="22"/>
        </w:rPr>
        <w:t>, which is hosted on the e</w:t>
      </w:r>
      <w:r w:rsidRPr="004763DD">
        <w:rPr>
          <w:rFonts w:ascii="Calibri" w:hAnsi="Calibri"/>
          <w:sz w:val="22"/>
          <w:szCs w:val="22"/>
        </w:rPr>
        <w:t>nsembl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xml:space="preserve">.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(vcfs)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7CF475B7" w14:textId="77777777" w:rsidR="00786955" w:rsidRDefault="00786955" w:rsidP="00786955">
      <w:pPr>
        <w:rPr>
          <w:rFonts w:ascii="Calibri" w:hAnsi="Calibri"/>
          <w:sz w:val="22"/>
          <w:szCs w:val="22"/>
        </w:rPr>
      </w:pPr>
    </w:p>
    <w:p w14:paraId="4954D6CA"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56C0CDC9" w14:textId="77777777" w:rsidR="00786955" w:rsidRDefault="00786955" w:rsidP="00786955">
      <w:pPr>
        <w:rPr>
          <w:rFonts w:ascii="Calibri" w:hAnsi="Calibri"/>
          <w:sz w:val="22"/>
          <w:szCs w:val="22"/>
        </w:rPr>
      </w:pPr>
    </w:p>
    <w:p w14:paraId="3DA38005" w14:textId="77777777" w:rsidR="00786955" w:rsidRDefault="00786955" w:rsidP="00786955">
      <w:pPr>
        <w:rPr>
          <w:rFonts w:ascii="Calibri" w:hAnsi="Calibri"/>
          <w:b/>
          <w:sz w:val="22"/>
          <w:szCs w:val="22"/>
        </w:rPr>
      </w:pPr>
      <w:r>
        <w:rPr>
          <w:rFonts w:ascii="Calibri" w:hAnsi="Calibri"/>
          <w:b/>
          <w:sz w:val="22"/>
          <w:szCs w:val="22"/>
        </w:rPr>
        <w:t>Logistic Regression</w:t>
      </w:r>
    </w:p>
    <w:p w14:paraId="44731E27" w14:textId="77777777" w:rsidR="00786955" w:rsidRPr="00786955" w:rsidRDefault="00786955" w:rsidP="00786955">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F588BF2" w14:textId="77777777" w:rsidR="00786955" w:rsidRDefault="00786955" w:rsidP="00786955">
      <w:pPr>
        <w:rPr>
          <w:rFonts w:ascii="Calibri" w:hAnsi="Calibri"/>
          <w:b/>
          <w:sz w:val="22"/>
          <w:szCs w:val="22"/>
        </w:rPr>
      </w:pPr>
    </w:p>
    <w:p w14:paraId="52FD8B38" w14:textId="77777777" w:rsidR="00786955" w:rsidRPr="00786955" w:rsidRDefault="00786955" w:rsidP="00786955">
      <w:pPr>
        <w:rPr>
          <w:rFonts w:ascii="Calibri" w:hAnsi="Calibri"/>
          <w:b/>
          <w:sz w:val="22"/>
          <w:szCs w:val="22"/>
        </w:rPr>
      </w:pPr>
      <w:r w:rsidRPr="00786955">
        <w:rPr>
          <w:rFonts w:ascii="Calibri" w:hAnsi="Calibri"/>
          <w:b/>
          <w:sz w:val="22"/>
          <w:szCs w:val="22"/>
        </w:rPr>
        <w:t>PCA &amp; Unsupervised Clustering</w:t>
      </w:r>
    </w:p>
    <w:p w14:paraId="63D2C80C" w14:textId="77777777" w:rsidR="00786955" w:rsidRPr="00786955" w:rsidRDefault="00786955" w:rsidP="00786955">
      <w:pPr>
        <w:rPr>
          <w:rFonts w:ascii="Calibri" w:hAnsi="Calibri"/>
          <w:sz w:val="22"/>
          <w:szCs w:val="22"/>
        </w:rPr>
      </w:pPr>
      <w:r w:rsidRPr="00786955">
        <w:rPr>
          <w:rFonts w:ascii="Calibri" w:hAnsi="Calibri"/>
          <w:sz w:val="22"/>
          <w:szCs w:val="22"/>
        </w:rPr>
        <w:tab/>
        <w:t xml:space="preserve">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(Tamasauskas et al., 2012). Agglomerative hierarchical clustering was also performed performed on the top three principal components using euclidean distance and average linkage (to reduce sensitivity to outliers) as previously employed for variant analysis (Spuesens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285152FF" w14:textId="77777777" w:rsidR="00786955" w:rsidRDefault="00786955" w:rsidP="00786955">
      <w:pPr>
        <w:rPr>
          <w:rFonts w:ascii="Calibri" w:hAnsi="Calibri"/>
          <w:sz w:val="22"/>
          <w:szCs w:val="22"/>
        </w:rPr>
      </w:pPr>
    </w:p>
    <w:p w14:paraId="52E9C3EC" w14:textId="77777777" w:rsidR="00786955" w:rsidRPr="00786955" w:rsidRDefault="00786955" w:rsidP="00786955">
      <w:pPr>
        <w:rPr>
          <w:rFonts w:ascii="Calibri" w:hAnsi="Calibri"/>
          <w:b/>
          <w:sz w:val="22"/>
          <w:szCs w:val="22"/>
        </w:rPr>
      </w:pPr>
      <w:r w:rsidRPr="00786955">
        <w:rPr>
          <w:rFonts w:ascii="Calibri" w:hAnsi="Calibri"/>
          <w:b/>
          <w:sz w:val="22"/>
          <w:szCs w:val="22"/>
        </w:rPr>
        <w:t>Decision Trees</w:t>
      </w:r>
    </w:p>
    <w:p w14:paraId="6D0E12EB" w14:textId="77777777" w:rsidR="00786955" w:rsidRPr="00786955" w:rsidRDefault="00786955" w:rsidP="00786955">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4FF8A793" w14:textId="77777777" w:rsidR="00786955" w:rsidRDefault="00786955" w:rsidP="00786955">
      <w:pPr>
        <w:rPr>
          <w:rFonts w:ascii="Calibri" w:hAnsi="Calibri"/>
          <w:sz w:val="22"/>
          <w:szCs w:val="22"/>
        </w:rPr>
      </w:pPr>
    </w:p>
    <w:p w14:paraId="114182F4" w14:textId="77777777" w:rsidR="00786955" w:rsidRPr="00A13266" w:rsidRDefault="00786955" w:rsidP="00786955">
      <w:pPr>
        <w:pBdr>
          <w:bottom w:val="single" w:sz="6" w:space="1" w:color="auto"/>
        </w:pBdr>
        <w:jc w:val="center"/>
        <w:rPr>
          <w:rFonts w:ascii="Calibri" w:hAnsi="Calibri"/>
          <w:b/>
          <w:sz w:val="22"/>
          <w:szCs w:val="22"/>
        </w:rPr>
      </w:pPr>
      <w:r>
        <w:rPr>
          <w:rFonts w:ascii="Calibri" w:hAnsi="Calibri"/>
          <w:b/>
          <w:sz w:val="22"/>
          <w:szCs w:val="22"/>
        </w:rPr>
        <w:t>RESULTS</w:t>
      </w:r>
    </w:p>
    <w:p w14:paraId="1949883C" w14:textId="77777777" w:rsidR="00786955" w:rsidRPr="00A13266" w:rsidRDefault="00786955" w:rsidP="00786955">
      <w:pPr>
        <w:rPr>
          <w:rFonts w:ascii="Calibri" w:hAnsi="Calibri"/>
          <w:sz w:val="22"/>
          <w:szCs w:val="22"/>
        </w:rPr>
      </w:pPr>
    </w:p>
    <w:p w14:paraId="34FC251D" w14:textId="77777777" w:rsidR="00786955" w:rsidRDefault="00786955" w:rsidP="00786955">
      <w:pPr>
        <w:rPr>
          <w:rFonts w:ascii="Calibri" w:hAnsi="Calibri"/>
          <w:b/>
          <w:sz w:val="22"/>
          <w:szCs w:val="22"/>
        </w:rPr>
      </w:pPr>
      <w:r>
        <w:rPr>
          <w:rFonts w:ascii="Calibri" w:hAnsi="Calibri"/>
          <w:b/>
          <w:sz w:val="22"/>
          <w:szCs w:val="22"/>
        </w:rPr>
        <w:t>Logistic Regression</w:t>
      </w:r>
    </w:p>
    <w:p w14:paraId="48288FAB" w14:textId="77777777" w:rsidR="00786955" w:rsidRDefault="00786955" w:rsidP="00786955">
      <w:pPr>
        <w:ind w:firstLine="720"/>
        <w:rPr>
          <w:rFonts w:ascii="Calibri" w:eastAsia="Batang" w:hAnsi="Calibri" w:cs="Batang"/>
          <w:sz w:val="22"/>
          <w:szCs w:val="22"/>
          <w:lang w:val="en-US" w:eastAsia="ko-KR"/>
        </w:rPr>
      </w:pPr>
      <w:r w:rsidRPr="00A13266">
        <w:rPr>
          <w:rFonts w:ascii="Calibri" w:hAnsi="Calibri"/>
          <w:sz w:val="22"/>
          <w:szCs w:val="22"/>
        </w:rPr>
        <w:t>The logistic regression model fitted on the training data reported a lambda.min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w:t>
      </w:r>
      <w:r w:rsidRPr="00A13266">
        <w:rPr>
          <w:rFonts w:ascii="Calibri" w:hAnsi="Calibri"/>
          <w:sz w:val="22"/>
          <w:szCs w:val="22"/>
        </w:rPr>
        <w:lastRenderedPageBreak/>
        <w:t>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2A</w:t>
      </w:r>
      <w:r w:rsidRPr="00A13266">
        <w:rPr>
          <w:rFonts w:ascii="Calibri" w:hAnsi="Calibri"/>
          <w:sz w:val="22"/>
          <w:szCs w:val="22"/>
        </w:rPr>
        <w:t>). The fitted model was applied to the validation set using lambda.min or lamba.1se to find that both yielded AUCs of 0.9999 (Sensitivity = 0.9952, Specificity = 0.9948, Balanced accuracy = 0.9950</w:t>
      </w:r>
      <w:r>
        <w:rPr>
          <w:rFonts w:ascii="Calibri" w:hAnsi="Calibri"/>
          <w:sz w:val="22"/>
          <w:szCs w:val="22"/>
        </w:rPr>
        <w:t>; Fig. 2B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2C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 xml:space="preserve">_33951693_207.0 was determined to be the most important features by far (coef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 xml:space="preserve">_207578440_1487.0 (coef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571C6D8F" w14:textId="77777777" w:rsidR="00786955" w:rsidRPr="004D475B" w:rsidRDefault="00786955" w:rsidP="00786955">
      <w:pPr>
        <w:rPr>
          <w:rFonts w:ascii="Calibri" w:eastAsia="Batang" w:hAnsi="Calibri" w:cs="Batang"/>
          <w:sz w:val="22"/>
          <w:szCs w:val="22"/>
          <w:lang w:val="en-US" w:eastAsia="ko-KR"/>
        </w:rPr>
      </w:pPr>
    </w:p>
    <w:p w14:paraId="78A3EA00" w14:textId="77777777" w:rsidR="00786955" w:rsidRPr="00A13266" w:rsidRDefault="00786955" w:rsidP="00786955">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43550726" w14:textId="77777777" w:rsidR="00786955" w:rsidRPr="00A13266" w:rsidRDefault="00786955" w:rsidP="00786955">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17EB27E1" wp14:editId="3365A2A7">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D1DB82F" wp14:editId="582FC2E8">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3B552456" wp14:editId="4C5FB9DA">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0000E1A" w14:textId="77777777" w:rsidR="00786955" w:rsidRPr="00A13266" w:rsidRDefault="00786955" w:rsidP="00786955">
      <w:pPr>
        <w:rPr>
          <w:rFonts w:ascii="Calibri" w:hAnsi="Calibri"/>
          <w:sz w:val="22"/>
          <w:szCs w:val="22"/>
        </w:rPr>
      </w:pPr>
      <w:r>
        <w:rPr>
          <w:rFonts w:ascii="Calibri" w:hAnsi="Calibri"/>
          <w:sz w:val="22"/>
          <w:szCs w:val="22"/>
        </w:rPr>
        <w:t>Figure 2</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0D29D85C" w14:textId="77777777" w:rsidR="00786955" w:rsidRPr="00786955" w:rsidRDefault="00786955" w:rsidP="00786955">
      <w:pPr>
        <w:rPr>
          <w:rFonts w:ascii="Calibri" w:hAnsi="Calibri"/>
          <w:sz w:val="22"/>
          <w:szCs w:val="22"/>
        </w:rPr>
      </w:pPr>
    </w:p>
    <w:p w14:paraId="195DFDE4" w14:textId="77777777" w:rsidR="00786955" w:rsidRDefault="00786955" w:rsidP="00786955">
      <w:pPr>
        <w:rPr>
          <w:rFonts w:ascii="Calibri" w:hAnsi="Calibri"/>
          <w:b/>
          <w:sz w:val="22"/>
          <w:szCs w:val="22"/>
        </w:rPr>
      </w:pPr>
      <w:r w:rsidRPr="00786955">
        <w:rPr>
          <w:rFonts w:ascii="Calibri" w:hAnsi="Calibri"/>
          <w:b/>
          <w:sz w:val="22"/>
          <w:szCs w:val="22"/>
        </w:rPr>
        <w:t>PCA &amp; Unsupervised Clustering</w:t>
      </w:r>
    </w:p>
    <w:p w14:paraId="45E1DDB5" w14:textId="77777777" w:rsidR="00786955" w:rsidRDefault="00786955" w:rsidP="00786955">
      <w:pPr>
        <w:rPr>
          <w:rFonts w:ascii="Calibri" w:hAnsi="Calibri"/>
          <w:b/>
          <w:sz w:val="22"/>
          <w:szCs w:val="22"/>
        </w:rPr>
      </w:pPr>
    </w:p>
    <w:p w14:paraId="05034658" w14:textId="77777777" w:rsidR="00786955" w:rsidRDefault="00786955" w:rsidP="00786955">
      <w:pPr>
        <w:rPr>
          <w:rFonts w:ascii="Calibri" w:hAnsi="Calibri"/>
          <w:b/>
          <w:sz w:val="22"/>
          <w:szCs w:val="22"/>
        </w:rPr>
      </w:pPr>
      <w:r>
        <w:rPr>
          <w:rFonts w:ascii="Calibri" w:hAnsi="Calibri"/>
          <w:b/>
          <w:sz w:val="22"/>
          <w:szCs w:val="22"/>
        </w:rPr>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B</w:t>
      </w:r>
    </w:p>
    <w:p w14:paraId="69AE4C6C" w14:textId="77777777" w:rsidR="00786955" w:rsidRDefault="00786955" w:rsidP="00786955">
      <w:pPr>
        <w:jc w:val="center"/>
        <w:rPr>
          <w:rFonts w:ascii="Calibri" w:hAnsi="Calibri"/>
          <w:b/>
          <w:sz w:val="22"/>
          <w:szCs w:val="22"/>
        </w:rPr>
      </w:pPr>
      <w:r>
        <w:rPr>
          <w:rFonts w:ascii="Calibri" w:hAnsi="Calibri" w:cs="Calibri"/>
          <w:noProof/>
          <w:sz w:val="22"/>
          <w:szCs w:val="22"/>
          <w:lang w:val="en-US"/>
        </w:rPr>
        <w:drawing>
          <wp:inline distT="0" distB="0" distL="0" distR="0" wp14:anchorId="0F69CC65" wp14:editId="68D2FD41">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r>
        <w:rPr>
          <w:rFonts w:ascii="Calibri" w:hAnsi="Calibri" w:cs="Calibri"/>
          <w:noProof/>
          <w:sz w:val="22"/>
          <w:szCs w:val="22"/>
          <w:lang w:val="en-US"/>
        </w:rPr>
        <w:drawing>
          <wp:inline distT="0" distB="0" distL="0" distR="0" wp14:anchorId="014A9A28" wp14:editId="2608A775">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EB6BCC0" w14:textId="77777777" w:rsidR="00786955" w:rsidRDefault="00786955" w:rsidP="00786955">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3. </w:t>
      </w:r>
      <w:r w:rsidRPr="00786955">
        <w:rPr>
          <w:rFonts w:ascii="Calibri" w:hAnsi="Calibri"/>
          <w:b/>
          <w:sz w:val="22"/>
          <w:szCs w:val="22"/>
        </w:rPr>
        <w:t>A</w:t>
      </w:r>
      <w:r>
        <w:rPr>
          <w:rFonts w:ascii="Calibri" w:hAnsi="Calibri"/>
          <w:sz w:val="22"/>
          <w:szCs w:val="22"/>
        </w:rPr>
        <w:t xml:space="preserve">) PCA biplot of Samples coloured by Population. </w:t>
      </w:r>
      <w:r w:rsidRPr="00786955">
        <w:rPr>
          <w:rFonts w:ascii="Calibri" w:hAnsi="Calibri"/>
          <w:b/>
          <w:sz w:val="22"/>
          <w:szCs w:val="22"/>
        </w:rPr>
        <w:t>B</w:t>
      </w:r>
      <w:r>
        <w:rPr>
          <w:rFonts w:ascii="Calibri" w:hAnsi="Calibri"/>
          <w:sz w:val="22"/>
          <w:szCs w:val="22"/>
        </w:rPr>
        <w:t>) Dendrograms of samples coloured by population for agglomerative hierarchical clustering performed on the top 3 principal components.</w:t>
      </w:r>
    </w:p>
    <w:p w14:paraId="2373F2B6" w14:textId="77777777" w:rsidR="00786955" w:rsidRPr="00786955" w:rsidRDefault="00786955" w:rsidP="00786955">
      <w:pPr>
        <w:rPr>
          <w:rFonts w:ascii="Calibri" w:hAnsi="Calibri"/>
          <w:sz w:val="22"/>
          <w:szCs w:val="22"/>
        </w:rPr>
      </w:pPr>
    </w:p>
    <w:p w14:paraId="3232E53E" w14:textId="55B043B7" w:rsidR="00786955" w:rsidRDefault="00786955" w:rsidP="00786955">
      <w:pPr>
        <w:rPr>
          <w:rFonts w:ascii="Calibri" w:hAnsi="Calibri" w:cs="Calibri"/>
          <w:sz w:val="22"/>
          <w:szCs w:val="22"/>
        </w:rPr>
      </w:pPr>
      <w:r>
        <w:rPr>
          <w:rFonts w:ascii="Calibri" w:hAnsi="Calibri"/>
          <w:b/>
          <w:sz w:val="22"/>
          <w:szCs w:val="22"/>
        </w:rPr>
        <w:lastRenderedPageBreak/>
        <w:tab/>
      </w:r>
      <w:r w:rsidRPr="009654E4">
        <w:rPr>
          <w:rFonts w:ascii="Calibri" w:hAnsi="Calibri" w:cs="Calibri"/>
          <w:bCs/>
          <w:sz w:val="22"/>
          <w:szCs w:val="22"/>
        </w:rPr>
        <w:t xml:space="preserve">When agglomerative clustering was </w:t>
      </w:r>
      <w:r w:rsidRPr="009654E4">
        <w:rPr>
          <w:rFonts w:ascii="Calibri" w:hAnsi="Calibri" w:cs="Calibri"/>
          <w:sz w:val="22"/>
          <w:szCs w:val="22"/>
        </w:rPr>
        <w:t>performed on the original counts, the resulting dendrogram had to be split into a greater number of branches in order to obtain clusters predominantly composed of a given population</w:t>
      </w:r>
      <w:r w:rsidR="00BA06AC">
        <w:rPr>
          <w:rFonts w:ascii="Calibri" w:hAnsi="Calibri" w:cs="Calibri"/>
          <w:sz w:val="22"/>
          <w:szCs w:val="22"/>
        </w:rPr>
        <w:t xml:space="preserve">. </w:t>
      </w:r>
      <w:r w:rsidRPr="009654E4">
        <w:rPr>
          <w:rFonts w:ascii="Calibri" w:hAnsi="Calibri" w:cs="Calibri"/>
          <w:sz w:val="22"/>
          <w:szCs w:val="22"/>
        </w:rPr>
        <w:t>When agglomerative clustering was performed on the principal components, the dendrogram could be cut into more simply into two branches each of which was predominantly composed of one of the two populations (98.2% EAS, and 96% EUR, respectively).</w:t>
      </w:r>
      <w:r>
        <w:rPr>
          <w:rFonts w:ascii="Calibri" w:hAnsi="Calibri" w:cs="Calibri"/>
          <w:sz w:val="22"/>
          <w:szCs w:val="22"/>
        </w:rPr>
        <w:t xml:space="preserve"> </w:t>
      </w:r>
      <w:r w:rsidRPr="009654E4">
        <w:rPr>
          <w:rFonts w:ascii="Calibri" w:hAnsi="Calibri" w:cs="Calibri"/>
          <w:sz w:val="22"/>
          <w:szCs w:val="22"/>
        </w:rPr>
        <w:t>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w:t>
      </w:r>
      <w:r w:rsidR="00BA06AC">
        <w:rPr>
          <w:rFonts w:ascii="Calibri" w:hAnsi="Calibri" w:cs="Calibri"/>
          <w:sz w:val="22"/>
          <w:szCs w:val="22"/>
        </w:rPr>
        <w:t>s</w:t>
      </w:r>
      <w:r w:rsidRPr="009654E4">
        <w:rPr>
          <w:rFonts w:ascii="Calibri" w:hAnsi="Calibri" w:cs="Calibri"/>
          <w:sz w:val="22"/>
          <w:szCs w:val="22"/>
        </w:rPr>
        <w:t>. These findings</w:t>
      </w:r>
      <w:r w:rsidR="00BA06AC">
        <w:rPr>
          <w:rFonts w:ascii="Calibri" w:hAnsi="Calibri" w:cs="Calibri"/>
          <w:sz w:val="22"/>
          <w:szCs w:val="22"/>
        </w:rPr>
        <w:t xml:space="preserve"> were</w:t>
      </w:r>
      <w:r w:rsidRPr="009654E4">
        <w:rPr>
          <w:rFonts w:ascii="Calibri" w:hAnsi="Calibri" w:cs="Calibri"/>
          <w:sz w:val="22"/>
          <w:szCs w:val="22"/>
        </w:rPr>
        <w:t xml:space="preserve"> corroborated by the optimal number of clusters predicted by the gap statistic and elbow methods, and also by what was observed in the dendrogram for top 3 PCs. </w:t>
      </w:r>
      <w:r w:rsidR="00BA06AC">
        <w:rPr>
          <w:rFonts w:ascii="Calibri" w:hAnsi="Calibri"/>
          <w:sz w:val="22"/>
          <w:szCs w:val="22"/>
        </w:rPr>
        <w:t xml:space="preserve">The k=2 clusters were also found to be highly stable; when the analysis was repeated on 5 sets of perturbed observations, for all sets </w:t>
      </w:r>
      <w:r w:rsidR="00BA06AC">
        <w:rPr>
          <w:rFonts w:ascii="Calibri" w:hAnsi="Calibri"/>
        </w:rPr>
        <w:t>sensitivity was between 0.984 and 0.986, specificity was between 0.991 and 0.995, and the number of misclassifications for each class was similar (7-8 for EAS and 2-4 for EUR).</w:t>
      </w:r>
    </w:p>
    <w:p w14:paraId="65914D0B" w14:textId="77777777" w:rsidR="00786955" w:rsidRDefault="00786955" w:rsidP="00786955">
      <w:pPr>
        <w:rPr>
          <w:rFonts w:ascii="Calibri" w:hAnsi="Calibri" w:cs="Calibri"/>
          <w:sz w:val="22"/>
          <w:szCs w:val="22"/>
        </w:rPr>
      </w:pPr>
    </w:p>
    <w:p w14:paraId="124590D1" w14:textId="77777777" w:rsidR="00786955" w:rsidRPr="00786955" w:rsidRDefault="00786955" w:rsidP="00786955">
      <w:pPr>
        <w:rPr>
          <w:rFonts w:ascii="Calibri" w:hAnsi="Calibri" w:cs="Calibri"/>
          <w:b/>
          <w:sz w:val="22"/>
          <w:szCs w:val="22"/>
        </w:rPr>
      </w:pPr>
      <w:r w:rsidRPr="00786955">
        <w:rPr>
          <w:rFonts w:ascii="Calibri" w:hAnsi="Calibri" w:cs="Calibri"/>
          <w:b/>
          <w:sz w:val="22"/>
          <w:szCs w:val="22"/>
        </w:rPr>
        <w:t>Decision Trees</w:t>
      </w:r>
    </w:p>
    <w:p w14:paraId="11D15208" w14:textId="474CA4EC" w:rsidR="00786955" w:rsidRPr="00786955" w:rsidRDefault="00E35B80" w:rsidP="00786955">
      <w:pPr>
        <w:rPr>
          <w:rFonts w:ascii="Calibri" w:hAnsi="Calibri" w:cs="Calibri"/>
          <w:noProof/>
          <w:sz w:val="22"/>
          <w:szCs w:val="22"/>
        </w:rPr>
      </w:pPr>
      <w:r>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232A9E99" wp14:editId="5BE630B1">
                <wp:simplePos x="0" y="0"/>
                <wp:positionH relativeFrom="column">
                  <wp:posOffset>-75477</wp:posOffset>
                </wp:positionH>
                <wp:positionV relativeFrom="paragraph">
                  <wp:posOffset>1520978</wp:posOffset>
                </wp:positionV>
                <wp:extent cx="3762704" cy="28377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62704" cy="283779"/>
                        </a:xfrm>
                        <a:prstGeom prst="rect">
                          <a:avLst/>
                        </a:prstGeom>
                        <a:noFill/>
                        <a:ln w="6350">
                          <a:noFill/>
                        </a:ln>
                      </wps:spPr>
                      <wps:txbx>
                        <w:txbxContent>
                          <w:p w14:paraId="3B15E1AB" w14:textId="4C9008E6" w:rsidR="00E35B80" w:rsidRPr="00E35B80" w:rsidRDefault="00E35B80">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2A9E99" id="_x0000_t202" coordsize="21600,21600" o:spt="202" path="m,l,21600r21600,l21600,xe">
                <v:stroke joinstyle="miter"/>
                <v:path gradientshapeok="t" o:connecttype="rect"/>
              </v:shapetype>
              <v:shape id="Text Box 3" o:spid="_x0000_s1026" type="#_x0000_t202" style="position:absolute;margin-left:-5.95pt;margin-top:119.75pt;width:296.3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" filled="f" stroked="f" strokeweight=".5pt">
                <v:textbox>
                  <w:txbxContent>
                    <w:p w14:paraId="3B15E1AB" w14:textId="4C9008E6" w:rsidR="00E35B80" w:rsidRPr="00E35B80" w:rsidRDefault="00E35B80">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txbxContent>
                </v:textbox>
              </v:shape>
            </w:pict>
          </mc:Fallback>
        </mc:AlternateContent>
      </w:r>
      <w:r w:rsidR="00786955" w:rsidRPr="00786955">
        <w:rPr>
          <w:rFonts w:ascii="Calibri" w:hAnsi="Calibri" w:cs="Calibri"/>
          <w:b/>
          <w:noProof/>
          <w:sz w:val="22"/>
          <w:szCs w:val="22"/>
        </w:rPr>
        <w:tab/>
      </w:r>
      <w:r w:rsidR="00786955" w:rsidRPr="00786955">
        <w:rPr>
          <w:rFonts w:ascii="Calibri" w:hAnsi="Calibri" w:cs="Calibri"/>
          <w:noProof/>
          <w:sz w:val="22"/>
          <w:szCs w:val="22"/>
        </w:rPr>
        <w:t>Bagging generated 300 trees, examples</w:t>
      </w:r>
      <w:r w:rsidR="00786955">
        <w:rPr>
          <w:rFonts w:ascii="Calibri" w:hAnsi="Calibri" w:cs="Calibri"/>
          <w:noProof/>
          <w:sz w:val="22"/>
          <w:szCs w:val="22"/>
        </w:rPr>
        <w:t xml:space="preserve"> of which are visualized in Fig</w:t>
      </w:r>
      <w:r w:rsidR="007F53E1">
        <w:rPr>
          <w:rFonts w:ascii="Calibri" w:hAnsi="Calibri" w:cs="Calibri"/>
          <w:noProof/>
          <w:sz w:val="22"/>
          <w:szCs w:val="22"/>
        </w:rPr>
        <w:t>.</w:t>
      </w:r>
      <w:r w:rsidR="00786955">
        <w:rPr>
          <w:rFonts w:ascii="Calibri" w:hAnsi="Calibri" w:cs="Calibri"/>
          <w:noProof/>
          <w:sz w:val="22"/>
          <w:szCs w:val="22"/>
        </w:rPr>
        <w:t xml:space="preserve"> 4</w:t>
      </w:r>
      <w:r w:rsidR="007F53E1">
        <w:rPr>
          <w:rFonts w:ascii="Calibri" w:hAnsi="Calibri" w:cs="Calibri"/>
          <w:noProof/>
          <w:sz w:val="22"/>
          <w:szCs w:val="22"/>
        </w:rPr>
        <w:t>A</w:t>
      </w:r>
      <w:r w:rsidR="00786955" w:rsidRPr="00786955">
        <w:rPr>
          <w:rFonts w:ascii="Calibri" w:hAnsi="Calibri" w:cs="Calibri"/>
          <w:noProof/>
          <w:sz w:val="22"/>
          <w:szCs w:val="22"/>
        </w:rPr>
        <w:t xml:space="preserve">.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w:t>
      </w:r>
      <w:r w:rsidR="007F53E1">
        <w:rPr>
          <w:rFonts w:ascii="Calibri" w:hAnsi="Calibri" w:cs="Calibri"/>
          <w:noProof/>
          <w:sz w:val="22"/>
          <w:szCs w:val="22"/>
        </w:rPr>
        <w:t>Fig.</w:t>
      </w:r>
      <w:r w:rsidR="00786955" w:rsidRPr="00786955">
        <w:rPr>
          <w:rFonts w:ascii="Calibri" w:hAnsi="Calibri" w:cs="Calibri"/>
          <w:noProof/>
          <w:sz w:val="22"/>
          <w:szCs w:val="22"/>
        </w:rPr>
        <w:t xml:space="preserve"> </w:t>
      </w:r>
      <w:r w:rsidR="007F53E1">
        <w:rPr>
          <w:rFonts w:ascii="Calibri" w:hAnsi="Calibri" w:cs="Calibri"/>
          <w:noProof/>
          <w:sz w:val="22"/>
          <w:szCs w:val="22"/>
        </w:rPr>
        <w:t>4B</w:t>
      </w:r>
      <w:r w:rsidR="00786955" w:rsidRPr="00786955">
        <w:rPr>
          <w:rFonts w:ascii="Calibri" w:hAnsi="Calibri" w:cs="Calibri"/>
          <w:noProof/>
          <w:sz w:val="22"/>
          <w:szCs w:val="22"/>
        </w:rPr>
        <w:t>.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2644C7E9" w14:textId="03D96D8E" w:rsidR="00786955" w:rsidRDefault="00786955" w:rsidP="00786955">
      <w:pPr>
        <w:rPr>
          <w:rFonts w:ascii="Calibri" w:hAnsi="Calibri" w:cs="Calibri"/>
          <w:noProof/>
          <w:sz w:val="22"/>
          <w:szCs w:val="22"/>
        </w:rPr>
      </w:pPr>
    </w:p>
    <w:p w14:paraId="37B608AA" w14:textId="68C33959" w:rsidR="00786955" w:rsidRDefault="007F53E1" w:rsidP="00786955">
      <w:pPr>
        <w:rPr>
          <w:rFonts w:ascii="Calibri" w:hAnsi="Calibri"/>
          <w:b/>
          <w:sz w:val="22"/>
          <w:szCs w:val="22"/>
        </w:rPr>
      </w:pPr>
      <w:r>
        <w:rPr>
          <w:noProof/>
          <w:lang w:val="en-US"/>
        </w:rPr>
        <w:drawing>
          <wp:inline distT="0" distB="0" distL="0" distR="0" wp14:anchorId="247BF907" wp14:editId="249B3EAA">
            <wp:extent cx="2974428" cy="19177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3"/>
                    <a:srcRect l="3984" t="3391"/>
                    <a:stretch/>
                  </pic:blipFill>
                  <pic:spPr bwMode="auto">
                    <a:xfrm>
                      <a:off x="0" y="0"/>
                      <a:ext cx="3019222" cy="1946635"/>
                    </a:xfrm>
                    <a:prstGeom prst="rect">
                      <a:avLst/>
                    </a:prstGeom>
                    <a:ln>
                      <a:noFill/>
                    </a:ln>
                    <a:extLst>
                      <a:ext uri="{53640926-AAD7-44D8-BBD7-CCE9431645EC}">
                        <a14:shadowObscured xmlns:a14="http://schemas.microsoft.com/office/drawing/2010/main"/>
                      </a:ext>
                    </a:extLst>
                  </pic:spPr>
                </pic:pic>
              </a:graphicData>
            </a:graphic>
          </wp:inline>
        </w:drawing>
      </w:r>
      <w:r w:rsidR="00786955">
        <w:rPr>
          <w:noProof/>
          <w:lang w:val="en-US"/>
        </w:rPr>
        <w:drawing>
          <wp:inline distT="0" distB="0" distL="0" distR="0" wp14:anchorId="338FA51E" wp14:editId="3392989D">
            <wp:extent cx="3058511" cy="1911372"/>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3018" cy="1926687"/>
                    </a:xfrm>
                    <a:prstGeom prst="rect">
                      <a:avLst/>
                    </a:prstGeom>
                  </pic:spPr>
                </pic:pic>
              </a:graphicData>
            </a:graphic>
          </wp:inline>
        </w:drawing>
      </w:r>
    </w:p>
    <w:p w14:paraId="5D77457C" w14:textId="77777777" w:rsidR="00786955" w:rsidRPr="00C86BBA" w:rsidRDefault="00786955" w:rsidP="00786955">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43B19D2F" w14:textId="77777777" w:rsidR="00786955" w:rsidRDefault="00786955" w:rsidP="00786955">
      <w:pPr>
        <w:rPr>
          <w:rFonts w:ascii="Calibri" w:hAnsi="Calibri"/>
          <w:b/>
          <w:sz w:val="22"/>
          <w:szCs w:val="22"/>
        </w:rPr>
      </w:pPr>
    </w:p>
    <w:p w14:paraId="0FE7E693"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CONCLUSIONS AND DISCUSSION</w:t>
      </w:r>
    </w:p>
    <w:p w14:paraId="4E85485A" w14:textId="77777777" w:rsidR="00786955" w:rsidRDefault="00786955" w:rsidP="00786955">
      <w:pPr>
        <w:rPr>
          <w:rFonts w:ascii="Calibri" w:hAnsi="Calibri"/>
          <w:b/>
          <w:sz w:val="22"/>
          <w:szCs w:val="22"/>
        </w:rPr>
      </w:pPr>
    </w:p>
    <w:p w14:paraId="6A359250" w14:textId="77777777" w:rsidR="00786955" w:rsidRPr="00A13266" w:rsidRDefault="00786955" w:rsidP="00786955">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14:paraId="243AFD4D" w14:textId="77777777" w:rsidR="00786955" w:rsidRPr="00A13266" w:rsidRDefault="00786955" w:rsidP="00786955">
      <w:pPr>
        <w:rPr>
          <w:rFonts w:ascii="Calibri" w:hAnsi="Calibri"/>
          <w:sz w:val="22"/>
          <w:szCs w:val="22"/>
        </w:rPr>
      </w:pPr>
    </w:p>
    <w:p w14:paraId="2A5C0B42" w14:textId="454DD754" w:rsidR="00AA6D41" w:rsidRDefault="00786955" w:rsidP="00AA6D41">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564A9817" w14:textId="5E556969" w:rsidR="00147192" w:rsidRDefault="00147192" w:rsidP="00AA6D41">
      <w:pPr>
        <w:rPr>
          <w:rFonts w:ascii="Calibri" w:hAnsi="Calibri"/>
          <w:sz w:val="22"/>
          <w:szCs w:val="22"/>
        </w:rPr>
      </w:pPr>
      <w:r>
        <w:rPr>
          <w:rFonts w:ascii="Calibri" w:hAnsi="Calibri"/>
          <w:sz w:val="22"/>
          <w:szCs w:val="22"/>
        </w:rPr>
        <w:tab/>
      </w:r>
      <w:r>
        <w:rPr>
          <w:rFonts w:ascii="Calibri" w:hAnsi="Calibri"/>
          <w:sz w:val="22"/>
          <w:szCs w:val="22"/>
        </w:rPr>
        <w:t>Although the results of unsupervised learning methods such as clustering and blind signal separation (</w:t>
      </w:r>
      <w:proofErr w:type="gramStart"/>
      <w:r>
        <w:rPr>
          <w:rFonts w:ascii="Calibri" w:hAnsi="Calibri"/>
          <w:sz w:val="22"/>
          <w:szCs w:val="22"/>
        </w:rPr>
        <w:t>e.g.</w:t>
      </w:r>
      <w:proofErr w:type="gramEnd"/>
      <w:r>
        <w:rPr>
          <w:rFonts w:ascii="Calibri" w:hAnsi="Calibri"/>
          <w:sz w:val="22"/>
          <w:szCs w:val="22"/>
        </w:rPr>
        <w:t xml:space="preserve"> PCA) can be more subjective then their supervised counterparts, they are </w:t>
      </w:r>
      <w:r>
        <w:rPr>
          <w:rFonts w:ascii="Calibri" w:hAnsi="Calibri"/>
          <w:sz w:val="22"/>
          <w:szCs w:val="22"/>
        </w:rPr>
        <w:t>particularly</w:t>
      </w:r>
      <w:r>
        <w:rPr>
          <w:rFonts w:ascii="Calibri" w:hAnsi="Calibri"/>
          <w:sz w:val="22"/>
          <w:szCs w:val="22"/>
        </w:rPr>
        <w:t xml:space="preserve"> (though non-exclusively) valuable for identifying underlying patterns in the data the data. Here, using the first three principal components, agglomerative and k-means clustering enabled us to visualize subgroups within the observations and the relative relatedness between them. Samples appeared to form 2 clusters (by population) which further proved to be stable when observations were </w:t>
      </w:r>
      <w:r>
        <w:rPr>
          <w:rFonts w:ascii="Calibri" w:hAnsi="Calibri"/>
          <w:sz w:val="22"/>
          <w:szCs w:val="22"/>
        </w:rPr>
        <w:t>perturbed</w:t>
      </w:r>
      <w:r>
        <w:rPr>
          <w:rFonts w:ascii="Calibri" w:hAnsi="Calibri"/>
          <w:sz w:val="22"/>
          <w:szCs w:val="22"/>
        </w:rPr>
        <w:t>.</w:t>
      </w:r>
    </w:p>
    <w:p w14:paraId="15FB2D6A" w14:textId="55F16FD4" w:rsidR="00AA6D41" w:rsidRPr="00AA6D41" w:rsidRDefault="00AA6D41" w:rsidP="00AA6D41">
      <w:pPr>
        <w:ind w:firstLine="720"/>
        <w:rPr>
          <w:rFonts w:ascii="Calibri" w:hAnsi="Calibri" w:cs="Calibri"/>
          <w:sz w:val="22"/>
          <w:szCs w:val="22"/>
        </w:rPr>
      </w:pPr>
      <w:r w:rsidRPr="00AA6D41">
        <w:rPr>
          <w:rFonts w:ascii="Calibri" w:hAnsi="Calibri" w:cs="Calibri"/>
          <w:sz w:val="22"/>
          <w:szCs w:val="22"/>
        </w:rPr>
        <w:t xml:space="preserve">Decision trees with bagging are a very simple and effective way to perform classification as they use a simple yes/no format to classify new data into given groups. This is a very intuitive way to classify, especially genotype data. Genotypes are one of three possibilities: homozygous dominant, heterozygous, or homozygous recessive. This provides the decision tree with very clear boundaries for branches and makes identification of influential SNPs more straight forward. Unfortunately, with very large datasets, which is common with genotypes, bagging is very computationally expensive. This being said, bagging provided good results and in theory would be a great application for population clustering based on SNPs. Overall, decision trees and bagging are a great tool, but logistic regression and other clustering techniques are able to identify similar patterns within the data, with far less computational effort.  </w:t>
      </w:r>
    </w:p>
    <w:p w14:paraId="1E008BAD" w14:textId="77777777" w:rsidR="00AA6D41" w:rsidRPr="00AA6D41" w:rsidRDefault="00AA6D41" w:rsidP="00786955">
      <w:pPr>
        <w:rPr>
          <w:rFonts w:ascii="Calibri" w:hAnsi="Calibri" w:cs="Calibri"/>
          <w:sz w:val="22"/>
          <w:szCs w:val="22"/>
        </w:rPr>
      </w:pPr>
    </w:p>
    <w:p w14:paraId="51B171CE" w14:textId="77777777" w:rsidR="00786955" w:rsidRDefault="00786955" w:rsidP="00786955">
      <w:pPr>
        <w:keepNext/>
      </w:pPr>
    </w:p>
    <w:p w14:paraId="1F67D4F6"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REFERENCES</w:t>
      </w:r>
    </w:p>
    <w:p w14:paraId="6D61B522" w14:textId="77777777" w:rsidR="00786955" w:rsidRDefault="00786955" w:rsidP="00786955">
      <w:pPr>
        <w:jc w:val="center"/>
        <w:rPr>
          <w:rFonts w:ascii="Calibri" w:hAnsi="Calibri"/>
          <w:b/>
          <w:sz w:val="22"/>
          <w:szCs w:val="22"/>
        </w:rPr>
      </w:pPr>
    </w:p>
    <w:p w14:paraId="2F175B89"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Chen, C. H., Ferreira, J. C. B., Joshi, A. U., Stevens, M. C., Li, S. J., Hsu, J. H. M., Maclean, R., Ferreira, N. D., Cervantes, P. R., Martinez, D. D., Barrientos, F. L., Quintanares, G. H. R., &amp; Mochly-Rosen, D. (2020). Novel and prevalent non-East Asian ALDH2 variants; Implications for global susceptibility to aldehydes’ toxicity. </w:t>
      </w:r>
      <w:r w:rsidRPr="00140154">
        <w:rPr>
          <w:rFonts w:asciiTheme="majorHAnsi" w:hAnsiTheme="majorHAnsi"/>
          <w:i/>
          <w:iCs/>
          <w:sz w:val="22"/>
          <w:szCs w:val="22"/>
        </w:rPr>
        <w:t>EBioMedicine</w:t>
      </w:r>
      <w:r w:rsidRPr="00140154">
        <w:rPr>
          <w:rFonts w:asciiTheme="majorHAnsi" w:hAnsiTheme="majorHAnsi"/>
          <w:sz w:val="22"/>
          <w:szCs w:val="22"/>
        </w:rPr>
        <w:t xml:space="preserve">, </w:t>
      </w:r>
      <w:r w:rsidRPr="00140154">
        <w:rPr>
          <w:rFonts w:asciiTheme="majorHAnsi" w:hAnsiTheme="majorHAnsi"/>
          <w:i/>
          <w:iCs/>
          <w:sz w:val="22"/>
          <w:szCs w:val="22"/>
        </w:rPr>
        <w:t>55</w:t>
      </w:r>
      <w:r w:rsidRPr="00140154">
        <w:rPr>
          <w:rFonts w:asciiTheme="majorHAnsi" w:hAnsiTheme="majorHAnsi"/>
          <w:sz w:val="22"/>
          <w:szCs w:val="22"/>
        </w:rPr>
        <w:t>. https://doi.org/10.1016/j.ebiom.2020.102753</w:t>
      </w:r>
    </w:p>
    <w:p w14:paraId="2E1F764E"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Fang, Z., Lin, A., Chen, J., Zhang, X., Liu, H., Li, H., Hu, Y., Zhang, X., Zhang, J., Qiu, L., Mei, L., Shao, J., &amp; Chen, X. (2016). CREB1 directly activates the transcription of ribonucleotide reductase small subunit M2 and promotes the aggressiveness of human colorectal cancer. </w:t>
      </w:r>
      <w:r w:rsidRPr="00140154">
        <w:rPr>
          <w:rFonts w:asciiTheme="majorHAnsi" w:hAnsiTheme="majorHAnsi"/>
          <w:i/>
          <w:iCs/>
          <w:sz w:val="22"/>
          <w:szCs w:val="22"/>
        </w:rPr>
        <w:t>Oncotarget</w:t>
      </w:r>
      <w:r w:rsidRPr="00140154">
        <w:rPr>
          <w:rFonts w:asciiTheme="majorHAnsi" w:hAnsiTheme="majorHAnsi"/>
          <w:sz w:val="22"/>
          <w:szCs w:val="22"/>
        </w:rPr>
        <w:t xml:space="preserve">, </w:t>
      </w:r>
      <w:r w:rsidRPr="00140154">
        <w:rPr>
          <w:rFonts w:asciiTheme="majorHAnsi" w:hAnsiTheme="majorHAnsi"/>
          <w:i/>
          <w:iCs/>
          <w:sz w:val="22"/>
          <w:szCs w:val="22"/>
        </w:rPr>
        <w:t>7</w:t>
      </w:r>
      <w:r w:rsidRPr="00140154">
        <w:rPr>
          <w:rFonts w:asciiTheme="majorHAnsi" w:hAnsiTheme="majorHAnsi"/>
          <w:sz w:val="22"/>
          <w:szCs w:val="22"/>
        </w:rPr>
        <w:t>(47), 78055–78068. https://doi.org/10.18632/oncotarget.12938</w:t>
      </w:r>
    </w:p>
    <w:p w14:paraId="080A5885"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Li, M., Luo, X. J., Rietschel, M., Lewis, C. M., Mattheisen, M., Müller-Myhsok, B., Jamain, S., Leboyer, M., Landén, M., Thompson, P. M., Cichon, S., Nöthen, M. M., Schulze, T. G., Sullivan, P. F., Bergen, S. E., Donohoe, G., Morris, D. W., Hargreaves, A., Gill, M., … Su, B. (2014). Allelic differences between Europeans and Chinese for CREB1 SNPs and their implications in gene expression regulation, hippocampal structure and function, and bipolar disorder susceptibility. </w:t>
      </w:r>
      <w:r w:rsidRPr="00140154">
        <w:rPr>
          <w:rFonts w:asciiTheme="majorHAnsi" w:hAnsiTheme="majorHAnsi"/>
          <w:i/>
          <w:iCs/>
          <w:sz w:val="22"/>
          <w:szCs w:val="22"/>
        </w:rPr>
        <w:t>Molecular Psychiatry</w:t>
      </w:r>
      <w:r w:rsidRPr="00140154">
        <w:rPr>
          <w:rFonts w:asciiTheme="majorHAnsi" w:hAnsiTheme="majorHAnsi"/>
          <w:sz w:val="22"/>
          <w:szCs w:val="22"/>
        </w:rPr>
        <w:t xml:space="preserve">, </w:t>
      </w:r>
      <w:r w:rsidRPr="00140154">
        <w:rPr>
          <w:rFonts w:asciiTheme="majorHAnsi" w:hAnsiTheme="majorHAnsi"/>
          <w:i/>
          <w:iCs/>
          <w:sz w:val="22"/>
          <w:szCs w:val="22"/>
        </w:rPr>
        <w:t>19</w:t>
      </w:r>
      <w:r w:rsidRPr="00140154">
        <w:rPr>
          <w:rFonts w:asciiTheme="majorHAnsi" w:hAnsiTheme="majorHAnsi"/>
          <w:sz w:val="22"/>
          <w:szCs w:val="22"/>
        </w:rPr>
        <w:t>(4), 452–461. https://doi.org/10.1038/mp.2013.37</w:t>
      </w:r>
    </w:p>
    <w:p w14:paraId="0FF2930D"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lastRenderedPageBreak/>
        <w:t xml:space="preserve">Murray, N., Norton, H. L., &amp; Parra, E. J. (2015). Distribution of two OCA2 polymorphisms associated with pigmentation in East-Asian populations. </w:t>
      </w:r>
      <w:r w:rsidRPr="00140154">
        <w:rPr>
          <w:rFonts w:asciiTheme="majorHAnsi" w:hAnsiTheme="majorHAnsi"/>
          <w:i/>
          <w:iCs/>
          <w:sz w:val="22"/>
          <w:szCs w:val="22"/>
        </w:rPr>
        <w:t>Human Genome Variation</w:t>
      </w:r>
      <w:r w:rsidRPr="00140154">
        <w:rPr>
          <w:rFonts w:asciiTheme="majorHAnsi" w:hAnsiTheme="majorHAnsi"/>
          <w:sz w:val="22"/>
          <w:szCs w:val="22"/>
        </w:rPr>
        <w:t xml:space="preserve">, </w:t>
      </w:r>
      <w:r w:rsidRPr="00140154">
        <w:rPr>
          <w:rFonts w:asciiTheme="majorHAnsi" w:hAnsiTheme="majorHAnsi"/>
          <w:i/>
          <w:iCs/>
          <w:sz w:val="22"/>
          <w:szCs w:val="22"/>
        </w:rPr>
        <w:t>2</w:t>
      </w:r>
      <w:r w:rsidRPr="00140154">
        <w:rPr>
          <w:rFonts w:asciiTheme="majorHAnsi" w:hAnsiTheme="majorHAnsi"/>
          <w:sz w:val="22"/>
          <w:szCs w:val="22"/>
        </w:rPr>
        <w:t>(1), 1–5. https://doi.org/10.1038/hgv.2015.58</w:t>
      </w:r>
    </w:p>
    <w:p w14:paraId="68001E0E"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Quillen, E. E., Norton, H. L., Parra, E. J., Lona-Durazo, F., Ang, K. C., Illiescu, F. M., Pearson, L. N., Shriver, M. D., Lasisi, T., Gokcumen, O., Starr, I., Lin, Y. L., Martin, A. R., &amp; Jablonski, N. G. (2019). Shades of complexity: New perspectives on the evolution and genetic architecture of human skin. </w:t>
      </w:r>
      <w:r w:rsidRPr="00140154">
        <w:rPr>
          <w:rFonts w:asciiTheme="majorHAnsi" w:hAnsiTheme="majorHAnsi"/>
          <w:i/>
          <w:iCs/>
          <w:sz w:val="22"/>
          <w:szCs w:val="22"/>
        </w:rPr>
        <w:t>American Journal of Physical Anthropology</w:t>
      </w:r>
      <w:r w:rsidRPr="00140154">
        <w:rPr>
          <w:rFonts w:asciiTheme="majorHAnsi" w:hAnsiTheme="majorHAnsi"/>
          <w:sz w:val="22"/>
          <w:szCs w:val="22"/>
        </w:rPr>
        <w:t xml:space="preserve">, </w:t>
      </w:r>
      <w:r w:rsidRPr="00140154">
        <w:rPr>
          <w:rFonts w:asciiTheme="majorHAnsi" w:hAnsiTheme="majorHAnsi"/>
          <w:i/>
          <w:iCs/>
          <w:sz w:val="22"/>
          <w:szCs w:val="22"/>
        </w:rPr>
        <w:t>168</w:t>
      </w:r>
      <w:r w:rsidRPr="00140154">
        <w:rPr>
          <w:rFonts w:asciiTheme="majorHAnsi" w:hAnsiTheme="majorHAnsi"/>
          <w:sz w:val="22"/>
          <w:szCs w:val="22"/>
        </w:rPr>
        <w:t>, 4–26. https://doi.org/10.1002/ajpa.23737</w:t>
      </w:r>
    </w:p>
    <w:p w14:paraId="678DF219"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Spuesens, E. B. M., Brouwer, R. W. W., Mol, K. H. J. M., Hoogenboezem, T., Kockx, C. E. M., Jansen, R., Van IJcken, W. F. J., Van Rossum, A. M. C., &amp; Vink, C. (2016). Comparison of mycoplasma pneumoniae genome sequences from strains isolated from symptomatic and asymptomatic patients. </w:t>
      </w:r>
      <w:r w:rsidRPr="00140154">
        <w:rPr>
          <w:rFonts w:asciiTheme="majorHAnsi" w:hAnsiTheme="majorHAnsi"/>
          <w:i/>
          <w:iCs/>
          <w:sz w:val="22"/>
          <w:szCs w:val="22"/>
        </w:rPr>
        <w:t>Frontiers in Microbiology</w:t>
      </w:r>
      <w:r w:rsidRPr="00140154">
        <w:rPr>
          <w:rFonts w:asciiTheme="majorHAnsi" w:hAnsiTheme="majorHAnsi"/>
          <w:sz w:val="22"/>
          <w:szCs w:val="22"/>
        </w:rPr>
        <w:t xml:space="preserve">, </w:t>
      </w:r>
      <w:r w:rsidRPr="00140154">
        <w:rPr>
          <w:rFonts w:asciiTheme="majorHAnsi" w:hAnsiTheme="majorHAnsi"/>
          <w:i/>
          <w:iCs/>
          <w:sz w:val="22"/>
          <w:szCs w:val="22"/>
        </w:rPr>
        <w:t>7</w:t>
      </w:r>
      <w:r w:rsidRPr="00140154">
        <w:rPr>
          <w:rFonts w:asciiTheme="majorHAnsi" w:hAnsiTheme="majorHAnsi"/>
          <w:sz w:val="22"/>
          <w:szCs w:val="22"/>
        </w:rPr>
        <w:t>(OCT), 1701. https://doi.org/10.3389/fmicb.2016.01701</w:t>
      </w:r>
    </w:p>
    <w:p w14:paraId="4B8DA251"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Tamasauskas, D., Sakalauskas, V., &amp; Kriksciuniene, D. (2012). Evaluation framework of hierarchical clustering methods for binary data. </w:t>
      </w:r>
      <w:r w:rsidRPr="00140154">
        <w:rPr>
          <w:rFonts w:asciiTheme="majorHAnsi" w:hAnsiTheme="majorHAnsi"/>
          <w:i/>
          <w:iCs/>
          <w:sz w:val="22"/>
          <w:szCs w:val="22"/>
        </w:rPr>
        <w:t>Proceedings of the 2012 12th International Conference on Hybrid Intelligent Systems, HIS 2012</w:t>
      </w:r>
      <w:r w:rsidRPr="00140154">
        <w:rPr>
          <w:rFonts w:asciiTheme="majorHAnsi" w:hAnsiTheme="majorHAnsi"/>
          <w:sz w:val="22"/>
          <w:szCs w:val="22"/>
        </w:rPr>
        <w:t>, 421–426. https://doi.org/10.1109/HIS.2012.6421371</w:t>
      </w:r>
    </w:p>
    <w:p w14:paraId="586EDC66" w14:textId="77777777" w:rsidR="00786955" w:rsidRPr="00786955" w:rsidRDefault="00786955" w:rsidP="00786955">
      <w:pPr>
        <w:rPr>
          <w:rFonts w:ascii="Calibri" w:hAnsi="Calibri"/>
          <w:sz w:val="22"/>
          <w:szCs w:val="22"/>
        </w:rPr>
      </w:pPr>
    </w:p>
    <w:p w14:paraId="300A296B" w14:textId="77777777" w:rsidR="00786955" w:rsidRPr="00A13266" w:rsidRDefault="00786955" w:rsidP="00786955">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10E3CB16" w14:textId="77777777" w:rsidR="00786955" w:rsidRPr="00A13266" w:rsidRDefault="00786955" w:rsidP="00786955">
      <w:pPr>
        <w:rPr>
          <w:rFonts w:ascii="Calibri" w:hAnsi="Calibri"/>
          <w:b/>
          <w:sz w:val="22"/>
          <w:szCs w:val="22"/>
        </w:rPr>
      </w:pPr>
    </w:p>
    <w:p w14:paraId="0DF2BCF9" w14:textId="77777777" w:rsidR="00786955" w:rsidRPr="00A13266" w:rsidRDefault="00786955" w:rsidP="00786955">
      <w:pPr>
        <w:rPr>
          <w:rFonts w:ascii="Calibri" w:hAnsi="Calibri"/>
          <w:sz w:val="22"/>
          <w:szCs w:val="22"/>
        </w:rPr>
      </w:pPr>
      <w:r w:rsidRPr="00A13266">
        <w:rPr>
          <w:rFonts w:ascii="Calibri" w:hAnsi="Calibri"/>
          <w:sz w:val="22"/>
          <w:szCs w:val="22"/>
        </w:rPr>
        <w:t>Task 1: Background and objective</w:t>
      </w:r>
    </w:p>
    <w:p w14:paraId="344855DA" w14:textId="77777777" w:rsidR="00786955" w:rsidRPr="00A13266" w:rsidRDefault="00786955" w:rsidP="00786955">
      <w:pPr>
        <w:rPr>
          <w:rFonts w:ascii="Calibri" w:hAnsi="Calibri"/>
          <w:sz w:val="22"/>
          <w:szCs w:val="22"/>
        </w:rPr>
      </w:pPr>
    </w:p>
    <w:p w14:paraId="56126B47" w14:textId="77777777" w:rsidR="00786955" w:rsidRPr="00A13266" w:rsidRDefault="00786955" w:rsidP="00786955">
      <w:pPr>
        <w:rPr>
          <w:rFonts w:ascii="Calibri" w:hAnsi="Calibri"/>
          <w:sz w:val="22"/>
          <w:szCs w:val="22"/>
        </w:rPr>
      </w:pPr>
      <w:r w:rsidRPr="00A13266">
        <w:rPr>
          <w:rFonts w:ascii="Calibri" w:hAnsi="Calibri"/>
          <w:sz w:val="22"/>
          <w:szCs w:val="22"/>
        </w:rPr>
        <w:t>Task 2: Detail and description of data</w:t>
      </w:r>
    </w:p>
    <w:p w14:paraId="1BAA6FE4" w14:textId="77777777" w:rsidR="00786955" w:rsidRPr="00A13266" w:rsidRDefault="00786955" w:rsidP="00786955">
      <w:pPr>
        <w:rPr>
          <w:rFonts w:ascii="Calibri" w:hAnsi="Calibri"/>
          <w:sz w:val="22"/>
          <w:szCs w:val="22"/>
        </w:rPr>
      </w:pPr>
    </w:p>
    <w:p w14:paraId="74934349" w14:textId="77777777" w:rsidR="00786955" w:rsidRPr="00A13266" w:rsidRDefault="00786955" w:rsidP="00786955">
      <w:pPr>
        <w:rPr>
          <w:rFonts w:ascii="Calibri" w:hAnsi="Calibri"/>
          <w:sz w:val="22"/>
          <w:szCs w:val="22"/>
        </w:rPr>
      </w:pPr>
      <w:r w:rsidRPr="00A13266">
        <w:rPr>
          <w:rFonts w:ascii="Calibri" w:hAnsi="Calibri"/>
          <w:sz w:val="22"/>
          <w:szCs w:val="22"/>
        </w:rPr>
        <w:t>Task 3: Detail of data analysis methods</w:t>
      </w:r>
    </w:p>
    <w:p w14:paraId="50892FF8" w14:textId="77777777" w:rsidR="00786955" w:rsidRPr="00A13266" w:rsidRDefault="00786955" w:rsidP="00786955">
      <w:pPr>
        <w:rPr>
          <w:rFonts w:ascii="Calibri" w:hAnsi="Calibri"/>
          <w:sz w:val="22"/>
          <w:szCs w:val="22"/>
        </w:rPr>
      </w:pPr>
    </w:p>
    <w:p w14:paraId="3A021F07" w14:textId="77777777" w:rsidR="00786955" w:rsidRPr="00A13266" w:rsidRDefault="00786955" w:rsidP="00786955">
      <w:pPr>
        <w:rPr>
          <w:rFonts w:ascii="Calibri" w:hAnsi="Calibri"/>
          <w:sz w:val="22"/>
          <w:szCs w:val="22"/>
        </w:rPr>
      </w:pPr>
      <w:r w:rsidRPr="00A13266">
        <w:rPr>
          <w:rFonts w:ascii="Calibri" w:hAnsi="Calibri"/>
          <w:sz w:val="22"/>
          <w:szCs w:val="22"/>
        </w:rPr>
        <w:t>Task 4: Summary of results</w:t>
      </w:r>
    </w:p>
    <w:p w14:paraId="7E6D1286" w14:textId="77777777" w:rsidR="00786955" w:rsidRPr="00A13266" w:rsidRDefault="00786955" w:rsidP="00786955">
      <w:pPr>
        <w:rPr>
          <w:rFonts w:ascii="Calibri" w:hAnsi="Calibri"/>
          <w:sz w:val="22"/>
          <w:szCs w:val="22"/>
        </w:rPr>
      </w:pPr>
    </w:p>
    <w:p w14:paraId="396CADB8" w14:textId="77777777" w:rsidR="00786955" w:rsidRPr="00A13266" w:rsidRDefault="00786955" w:rsidP="00786955">
      <w:pPr>
        <w:rPr>
          <w:rFonts w:ascii="Calibri" w:hAnsi="Calibri"/>
          <w:sz w:val="22"/>
          <w:szCs w:val="22"/>
        </w:rPr>
      </w:pPr>
      <w:r w:rsidRPr="00A13266">
        <w:rPr>
          <w:rFonts w:ascii="Calibri" w:hAnsi="Calibri"/>
          <w:sz w:val="22"/>
          <w:szCs w:val="22"/>
        </w:rPr>
        <w:t>Task 5: Conclusions and discussions</w:t>
      </w:r>
    </w:p>
    <w:p w14:paraId="19513C3F" w14:textId="77777777" w:rsidR="00786955" w:rsidRPr="00A13266" w:rsidRDefault="00786955" w:rsidP="00786955">
      <w:pPr>
        <w:rPr>
          <w:rFonts w:ascii="Calibri" w:hAnsi="Calibri"/>
          <w:sz w:val="22"/>
          <w:szCs w:val="22"/>
        </w:rPr>
      </w:pPr>
    </w:p>
    <w:p w14:paraId="5C80EC8A" w14:textId="77777777" w:rsidR="00786955" w:rsidRPr="00A13266" w:rsidRDefault="00786955" w:rsidP="00786955">
      <w:pPr>
        <w:rPr>
          <w:rFonts w:ascii="Calibri" w:hAnsi="Calibri"/>
          <w:sz w:val="22"/>
          <w:szCs w:val="22"/>
        </w:rPr>
      </w:pPr>
      <w:r w:rsidRPr="00A13266">
        <w:rPr>
          <w:rFonts w:ascii="Calibri" w:hAnsi="Calibri"/>
          <w:sz w:val="22"/>
          <w:szCs w:val="22"/>
        </w:rPr>
        <w:t>Task 6: Appendix</w:t>
      </w:r>
    </w:p>
    <w:p w14:paraId="58FF580D" w14:textId="77777777" w:rsidR="00786955" w:rsidRPr="00A13266" w:rsidRDefault="00786955" w:rsidP="00786955">
      <w:pPr>
        <w:rPr>
          <w:rFonts w:ascii="Calibri" w:hAnsi="Calibri"/>
          <w:sz w:val="22"/>
          <w:szCs w:val="22"/>
        </w:rPr>
      </w:pPr>
    </w:p>
    <w:p w14:paraId="56E1D678" w14:textId="77777777" w:rsidR="00786955" w:rsidRPr="00A13266" w:rsidRDefault="00786955" w:rsidP="00786955">
      <w:pPr>
        <w:rPr>
          <w:rFonts w:ascii="Calibri" w:hAnsi="Calibri"/>
          <w:sz w:val="22"/>
          <w:szCs w:val="22"/>
        </w:rPr>
      </w:pPr>
      <w:r w:rsidRPr="00A13266">
        <w:rPr>
          <w:rFonts w:ascii="Calibri" w:hAnsi="Calibri"/>
          <w:sz w:val="22"/>
          <w:szCs w:val="22"/>
        </w:rPr>
        <w:t>Task 7: Report compilation</w:t>
      </w:r>
    </w:p>
    <w:p w14:paraId="30ED9B14" w14:textId="77777777" w:rsidR="00786955" w:rsidRPr="00A13266" w:rsidRDefault="00786955" w:rsidP="00786955">
      <w:pPr>
        <w:rPr>
          <w:rFonts w:ascii="Calibri" w:hAnsi="Calibri"/>
          <w:sz w:val="22"/>
          <w:szCs w:val="22"/>
        </w:rPr>
      </w:pPr>
    </w:p>
    <w:p w14:paraId="26630DCF" w14:textId="77777777" w:rsidR="00786955" w:rsidRPr="00A13266" w:rsidRDefault="00786955" w:rsidP="00786955">
      <w:pPr>
        <w:rPr>
          <w:rFonts w:ascii="Calibri" w:hAnsi="Calibri"/>
          <w:sz w:val="22"/>
          <w:szCs w:val="22"/>
        </w:rPr>
      </w:pPr>
    </w:p>
    <w:tbl>
      <w:tblPr>
        <w:tblStyle w:val="TableGrid"/>
        <w:tblW w:w="0" w:type="auto"/>
        <w:tblLook w:val="04A0" w:firstRow="1" w:lastRow="0" w:firstColumn="1" w:lastColumn="0" w:noHBand="0" w:noVBand="1"/>
      </w:tblPr>
      <w:tblGrid>
        <w:gridCol w:w="1374"/>
        <w:gridCol w:w="2707"/>
        <w:gridCol w:w="2713"/>
        <w:gridCol w:w="2714"/>
      </w:tblGrid>
      <w:tr w:rsidR="00786955" w:rsidRPr="00A13266" w14:paraId="11C30DB7" w14:textId="77777777" w:rsidTr="00464523">
        <w:tc>
          <w:tcPr>
            <w:tcW w:w="1384" w:type="dxa"/>
          </w:tcPr>
          <w:p w14:paraId="411572E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EE4C973"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5A1124F5"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5EC39F4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Kerry</w:t>
            </w:r>
          </w:p>
        </w:tc>
      </w:tr>
      <w:tr w:rsidR="00786955" w:rsidRPr="00A13266" w14:paraId="16888E36" w14:textId="77777777" w:rsidTr="00464523">
        <w:tc>
          <w:tcPr>
            <w:tcW w:w="1384" w:type="dxa"/>
          </w:tcPr>
          <w:p w14:paraId="02F1D69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12C104D1"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11E289B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ACAF0E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r>
      <w:tr w:rsidR="00786955" w:rsidRPr="00A13266" w14:paraId="6CB97C61" w14:textId="77777777" w:rsidTr="00464523">
        <w:tc>
          <w:tcPr>
            <w:tcW w:w="1384" w:type="dxa"/>
          </w:tcPr>
          <w:p w14:paraId="0FC45B4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7AED717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02273D40"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36657154"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786955" w:rsidRPr="00A13266" w14:paraId="51AEB6BF" w14:textId="77777777" w:rsidTr="00464523">
        <w:tc>
          <w:tcPr>
            <w:tcW w:w="1384" w:type="dxa"/>
          </w:tcPr>
          <w:p w14:paraId="22E5966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CC8400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94DB02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46C8172"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04B7C709" w14:textId="77777777" w:rsidTr="00464523">
        <w:tc>
          <w:tcPr>
            <w:tcW w:w="1384" w:type="dxa"/>
          </w:tcPr>
          <w:p w14:paraId="36A5B06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0D6D324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12F16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685C3D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1ADED31B" w14:textId="77777777" w:rsidTr="00464523">
        <w:tc>
          <w:tcPr>
            <w:tcW w:w="1384" w:type="dxa"/>
          </w:tcPr>
          <w:p w14:paraId="195B5E5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13F00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909DB3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A2BBC2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291E2889" w14:textId="77777777" w:rsidTr="00464523">
        <w:tc>
          <w:tcPr>
            <w:tcW w:w="1384" w:type="dxa"/>
          </w:tcPr>
          <w:p w14:paraId="7155749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7666D77D"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6265C261"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74DEF9B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786955" w:rsidRPr="00A13266" w14:paraId="1D919A34" w14:textId="77777777" w:rsidTr="00464523">
        <w:tc>
          <w:tcPr>
            <w:tcW w:w="1384" w:type="dxa"/>
          </w:tcPr>
          <w:p w14:paraId="0505E7D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4E9ADA7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(20%)</w:t>
            </w:r>
          </w:p>
        </w:tc>
        <w:tc>
          <w:tcPr>
            <w:tcW w:w="2731" w:type="dxa"/>
          </w:tcPr>
          <w:p w14:paraId="25BB36FC"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c>
          <w:tcPr>
            <w:tcW w:w="2731" w:type="dxa"/>
          </w:tcPr>
          <w:p w14:paraId="1A3926C9" w14:textId="77777777" w:rsidR="00786955" w:rsidRPr="00A13266" w:rsidRDefault="00786955" w:rsidP="00464523">
            <w:pPr>
              <w:spacing w:before="120" w:after="120"/>
              <w:jc w:val="center"/>
              <w:rPr>
                <w:rFonts w:ascii="Calibri" w:hAnsi="Calibri"/>
                <w:sz w:val="22"/>
                <w:szCs w:val="22"/>
              </w:rPr>
            </w:pPr>
            <w:proofErr w:type="gramStart"/>
            <w:r>
              <w:rPr>
                <w:rFonts w:ascii="Calibri" w:hAnsi="Calibri"/>
                <w:sz w:val="22"/>
                <w:szCs w:val="22"/>
              </w:rPr>
              <w:t>Compilation( 40</w:t>
            </w:r>
            <w:proofErr w:type="gramEnd"/>
            <w:r>
              <w:rPr>
                <w:rFonts w:ascii="Calibri" w:hAnsi="Calibri"/>
                <w:sz w:val="22"/>
                <w:szCs w:val="22"/>
              </w:rPr>
              <w:t>%)</w:t>
            </w:r>
          </w:p>
        </w:tc>
      </w:tr>
    </w:tbl>
    <w:p w14:paraId="75D584AB" w14:textId="77777777" w:rsidR="00786955" w:rsidRPr="00A13266" w:rsidRDefault="00786955" w:rsidP="00786955">
      <w:pPr>
        <w:rPr>
          <w:rFonts w:ascii="Calibri" w:hAnsi="Calibri"/>
          <w:sz w:val="22"/>
          <w:szCs w:val="22"/>
        </w:rPr>
      </w:pPr>
    </w:p>
    <w:p w14:paraId="1B4F94C7" w14:textId="77777777" w:rsidR="00786955" w:rsidRDefault="00786955" w:rsidP="00786955"/>
    <w:p w14:paraId="570B451F" w14:textId="77777777" w:rsidR="00E6668A" w:rsidRDefault="00E6668A"/>
    <w:sectPr w:rsidR="00E6668A" w:rsidSect="00BA06AC">
      <w:headerReference w:type="first" r:id="rId15"/>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45B66" w14:textId="77777777" w:rsidR="004A0E96" w:rsidRDefault="004A0E96" w:rsidP="00786955">
      <w:r>
        <w:separator/>
      </w:r>
    </w:p>
  </w:endnote>
  <w:endnote w:type="continuationSeparator" w:id="0">
    <w:p w14:paraId="046B41A8" w14:textId="77777777" w:rsidR="004A0E96" w:rsidRDefault="004A0E96" w:rsidP="0078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AC58B" w14:textId="77777777" w:rsidR="004A0E96" w:rsidRDefault="004A0E96" w:rsidP="00786955">
      <w:r>
        <w:separator/>
      </w:r>
    </w:p>
  </w:footnote>
  <w:footnote w:type="continuationSeparator" w:id="0">
    <w:p w14:paraId="25D70D1C" w14:textId="77777777" w:rsidR="004A0E96" w:rsidRDefault="004A0E96" w:rsidP="0078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54EB" w14:textId="77777777" w:rsidR="00786955" w:rsidRDefault="00786955" w:rsidP="00786955">
    <w:pPr>
      <w:rPr>
        <w:rFonts w:ascii="Calibri" w:hAnsi="Calibri"/>
        <w:b/>
        <w:sz w:val="22"/>
        <w:szCs w:val="22"/>
      </w:rPr>
    </w:pPr>
    <w:r>
      <w:rPr>
        <w:rFonts w:ascii="Calibri" w:hAnsi="Calibri"/>
        <w:b/>
        <w:sz w:val="22"/>
        <w:szCs w:val="22"/>
      </w:rPr>
      <w:t>BINF6970: Project 4</w:t>
    </w:r>
  </w:p>
  <w:p w14:paraId="1B596D47" w14:textId="77777777" w:rsidR="00786955" w:rsidRDefault="00786955" w:rsidP="00786955">
    <w:pPr>
      <w:rPr>
        <w:rFonts w:ascii="Calibri" w:hAnsi="Calibri"/>
        <w:b/>
        <w:sz w:val="22"/>
        <w:szCs w:val="22"/>
      </w:rPr>
    </w:pPr>
    <w:r>
      <w:rPr>
        <w:rFonts w:ascii="Calibri" w:hAnsi="Calibri"/>
        <w:b/>
        <w:sz w:val="22"/>
        <w:szCs w:val="22"/>
      </w:rPr>
      <w:t>Kerry Woolnough, Heather Treleaven, Natalie Kim</w:t>
    </w:r>
  </w:p>
  <w:p w14:paraId="50C1EF39" w14:textId="77777777" w:rsidR="00786955" w:rsidRPr="00786955" w:rsidRDefault="00786955"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55"/>
    <w:rsid w:val="00140154"/>
    <w:rsid w:val="00147192"/>
    <w:rsid w:val="004A0E96"/>
    <w:rsid w:val="00597629"/>
    <w:rsid w:val="005B2A96"/>
    <w:rsid w:val="00786955"/>
    <w:rsid w:val="007F53E1"/>
    <w:rsid w:val="009A11B7"/>
    <w:rsid w:val="00AA6D41"/>
    <w:rsid w:val="00BA06AC"/>
    <w:rsid w:val="00BC3426"/>
    <w:rsid w:val="00E35B80"/>
    <w:rsid w:val="00E66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DA11D"/>
  <w14:defaultImageDpi w14:val="300"/>
  <w15:docId w15:val="{9DDDFC4C-7D82-1447-A06F-868D33C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 w:type="paragraph" w:styleId="NormalWeb">
    <w:name w:val="Normal (Web)"/>
    <w:basedOn w:val="Normal"/>
    <w:uiPriority w:val="99"/>
    <w:semiHidden/>
    <w:unhideWhenUsed/>
    <w:rsid w:val="001401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4808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5B5C-7D8F-9D4E-9B4B-63B9FBA6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kerry woolnough</cp:lastModifiedBy>
  <cp:revision>7</cp:revision>
  <dcterms:created xsi:type="dcterms:W3CDTF">2021-04-14T20:07:00Z</dcterms:created>
  <dcterms:modified xsi:type="dcterms:W3CDTF">2021-04-14T21:35:00Z</dcterms:modified>
</cp:coreProperties>
</file>